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5AB29">
      <w:pPr>
        <w:jc w:val="left"/>
        <w:rPr>
          <w:rFonts w:ascii="宋体" w:hAnsi="宋体"/>
          <w:sz w:val="20"/>
          <w:szCs w:val="20"/>
        </w:rPr>
      </w:pPr>
      <w:bookmarkStart w:id="0" w:name="_Toc451845312"/>
      <w:r>
        <mc:AlternateContent>
          <mc:Choice Requires="wps">
            <w:drawing>
              <wp:anchor distT="0" distB="0" distL="114300" distR="114300" simplePos="0" relativeHeight="251660288" behindDoc="0" locked="0" layoutInCell="1" allowOverlap="1">
                <wp:simplePos x="0" y="0"/>
                <wp:positionH relativeFrom="column">
                  <wp:posOffset>5386070</wp:posOffset>
                </wp:positionH>
                <wp:positionV relativeFrom="paragraph">
                  <wp:posOffset>131445</wp:posOffset>
                </wp:positionV>
                <wp:extent cx="806450" cy="593725"/>
                <wp:effectExtent l="0" t="0" r="12700" b="15875"/>
                <wp:wrapNone/>
                <wp:docPr id="21" name="矩形 475"/>
                <wp:cNvGraphicFramePr/>
                <a:graphic xmlns:a="http://schemas.openxmlformats.org/drawingml/2006/main">
                  <a:graphicData uri="http://schemas.microsoft.com/office/word/2010/wordprocessingShape">
                    <wps:wsp>
                      <wps:cNvSpPr>
                        <a:spLocks noChangeArrowheads="1"/>
                      </wps:cNvSpPr>
                      <wps:spPr bwMode="auto">
                        <a:xfrm>
                          <a:off x="0" y="0"/>
                          <a:ext cx="806450" cy="593725"/>
                        </a:xfrm>
                        <a:prstGeom prst="rect">
                          <a:avLst/>
                        </a:prstGeom>
                        <a:noFill/>
                        <a:ln>
                          <a:noFill/>
                        </a:ln>
                      </wps:spPr>
                      <wps:txbx>
                        <w:txbxContent>
                          <w:p w14:paraId="46142111">
                            <w:pPr>
                              <w:rPr>
                                <w:rFonts w:eastAsia="黑体"/>
                                <w:sz w:val="84"/>
                                <w:szCs w:val="84"/>
                              </w:rPr>
                            </w:pPr>
                            <w:r>
                              <w:rPr>
                                <w:rFonts w:eastAsia="黑体"/>
                                <w:sz w:val="84"/>
                                <w:szCs w:val="84"/>
                              </w:rPr>
                              <w:t>DB</w:t>
                            </w:r>
                          </w:p>
                        </w:txbxContent>
                      </wps:txbx>
                      <wps:bodyPr rot="0" vert="horz" wrap="square" lIns="0" tIns="0" rIns="0" bIns="0" anchor="t" anchorCtr="0" upright="1">
                        <a:noAutofit/>
                      </wps:bodyPr>
                    </wps:wsp>
                  </a:graphicData>
                </a:graphic>
              </wp:anchor>
            </w:drawing>
          </mc:Choice>
          <mc:Fallback>
            <w:pict>
              <v:rect id="矩形 475" o:spid="_x0000_s1026" o:spt="1" style="position:absolute;left:0pt;margin-left:424.1pt;margin-top:10.35pt;height:46.75pt;width:63.5pt;z-index:251660288;mso-width-relative:page;mso-height-relative:page;" filled="f" stroked="f" coordsize="21600,21600" o:gfxdata="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8ZgUDaAAAACgEAAA8AAAAAAAAAAQAgAAAAIgAA&#10;AGRycy9kb3ducmV2LnhtbFBLAQIUABQAAAAIAIdO4kCU9a31BgIAAPoDAAAOAAAAAAAAAAEAIAAA&#10;ACkBAABkcnMvZTJvRG9jLnhtbFBLBQYAAAAABgAGAFkBAAChBQAAAAA=&#10;">
                <v:fill on="f" focussize="0,0"/>
                <v:stroke on="f"/>
                <v:imagedata o:title=""/>
                <o:lock v:ext="edit" aspectratio="f"/>
                <v:textbox inset="0mm,0mm,0mm,0mm">
                  <w:txbxContent>
                    <w:p w14:paraId="46142111">
                      <w:pPr>
                        <w:rPr>
                          <w:rFonts w:eastAsia="黑体"/>
                          <w:sz w:val="84"/>
                          <w:szCs w:val="84"/>
                        </w:rPr>
                      </w:pPr>
                      <w:r>
                        <w:rPr>
                          <w:rFonts w:eastAsia="黑体"/>
                          <w:sz w:val="84"/>
                          <w:szCs w:val="84"/>
                        </w:rPr>
                        <w:t>DB</w:t>
                      </w:r>
                    </w:p>
                  </w:txbxContent>
                </v:textbox>
              </v:rect>
            </w:pict>
          </mc:Fallback>
        </mc:AlternateContent>
      </w:r>
    </w:p>
    <w:p w14:paraId="51E41BFC">
      <w:pPr>
        <w:jc w:val="left"/>
        <w:rPr>
          <w:rFonts w:ascii="宋体" w:hAnsi="宋体"/>
          <w:sz w:val="20"/>
          <w:szCs w:val="20"/>
        </w:rPr>
      </w:pPr>
    </w:p>
    <w:p w14:paraId="0097D007">
      <w:pPr>
        <w:spacing w:before="62" w:beforeLines="20"/>
        <w:jc w:val="center"/>
        <w:rPr>
          <w:rFonts w:ascii="黑体" w:hAnsi="黑体" w:eastAsia="黑体"/>
          <w:sz w:val="36"/>
          <w:szCs w:val="36"/>
        </w:rPr>
      </w:pPr>
      <w:r>
        <w:rPr>
          <w:rFonts w:hint="eastAsia" w:ascii="黑体" w:hAnsi="黑体" w:eastAsia="黑体"/>
          <w:sz w:val="44"/>
          <w:szCs w:val="44"/>
        </w:rPr>
        <w:t>北京</w:t>
      </w:r>
      <w:r>
        <w:rPr>
          <w:rFonts w:ascii="黑体" w:hAnsi="黑体" w:eastAsia="黑体"/>
          <w:sz w:val="44"/>
          <w:szCs w:val="44"/>
        </w:rPr>
        <w:t>市地方标准</w:t>
      </w:r>
    </w:p>
    <w:p w14:paraId="28F75BEE">
      <w:pPr>
        <w:spacing w:before="124" w:beforeLines="40"/>
        <w:ind w:firstLine="3150" w:firstLineChars="1500"/>
        <w:jc w:val="right"/>
        <w:rPr>
          <w:rFonts w:ascii="黑体" w:hAnsi="黑体" w:eastAsia="黑体"/>
        </w:rPr>
      </w:pPr>
      <w:r>
        <w:rPr>
          <w:rFonts w:hint="eastAsia" w:ascii="黑体" w:hAnsi="黑体" w:eastAsia="黑体"/>
        </w:rPr>
        <w:t>编  号</w:t>
      </w:r>
      <w:r>
        <w:rPr>
          <w:rFonts w:ascii="黑体" w:hAnsi="黑体" w:eastAsia="黑体"/>
        </w:rPr>
        <w:t>：</w:t>
      </w:r>
      <w:r>
        <w:rPr>
          <w:rFonts w:eastAsia="黑体"/>
        </w:rPr>
        <w:t>DB</w:t>
      </w:r>
      <w:r>
        <w:rPr>
          <w:rFonts w:hint="eastAsia" w:eastAsia="黑体"/>
        </w:rPr>
        <w:t>11</w:t>
      </w:r>
      <w:r>
        <w:rPr>
          <w:rFonts w:eastAsia="黑体"/>
        </w:rPr>
        <w:t>/</w:t>
      </w:r>
      <w:r>
        <w:rPr>
          <w:rFonts w:hint="eastAsia" w:eastAsia="黑体"/>
        </w:rPr>
        <w:t>T</w:t>
      </w:r>
      <w:r>
        <w:rPr>
          <w:rFonts w:eastAsia="黑体"/>
        </w:rPr>
        <w:t xml:space="preserve"> </w:t>
      </w:r>
      <w:r>
        <w:rPr>
          <w:rFonts w:hint="eastAsia" w:eastAsia="黑体"/>
        </w:rPr>
        <w:t>xxxx</w:t>
      </w:r>
      <w:r>
        <w:rPr>
          <w:rFonts w:ascii="宋体" w:hAnsi="宋体"/>
          <w:b/>
        </w:rPr>
        <w:t>-</w:t>
      </w:r>
      <w:r>
        <w:rPr>
          <w:rFonts w:hint="eastAsia" w:eastAsia="黑体"/>
        </w:rPr>
        <w:t>20xx</w:t>
      </w:r>
    </w:p>
    <w:p w14:paraId="7B8A244E">
      <w:pPr>
        <w:spacing w:before="31" w:beforeLines="10"/>
        <w:ind w:firstLine="3150" w:firstLineChars="1500"/>
        <w:jc w:val="center"/>
        <w:rPr>
          <w:rFonts w:ascii="黑体" w:hAnsi="黑体" w:eastAsia="黑体"/>
        </w:rPr>
      </w:pPr>
      <w:r>
        <w:rPr>
          <w:rFonts w:hint="eastAsia" w:ascii="黑体" w:hAnsi="黑体" w:eastAsia="黑体"/>
        </w:rPr>
        <w:t xml:space="preserve">                             </w:t>
      </w:r>
      <w:r>
        <w:rPr>
          <w:rFonts w:ascii="黑体" w:hAnsi="黑体" w:eastAsia="黑体"/>
        </w:rPr>
        <w:t>备案号：</w:t>
      </w:r>
      <w:r>
        <w:rPr>
          <w:rFonts w:eastAsia="黑体"/>
        </w:rPr>
        <w:t>J</w:t>
      </w:r>
      <w:r>
        <w:rPr>
          <w:rFonts w:hint="eastAsia" w:eastAsia="黑体"/>
        </w:rPr>
        <w:t>xxxx</w:t>
      </w:r>
      <w:r>
        <w:rPr>
          <w:rFonts w:ascii="宋体" w:hAnsi="宋体"/>
          <w:b/>
        </w:rPr>
        <w:t>-</w:t>
      </w:r>
      <w:r>
        <w:rPr>
          <w:rFonts w:eastAsia="黑体"/>
        </w:rPr>
        <w:t>20</w:t>
      </w:r>
      <w:r>
        <w:rPr>
          <w:rFonts w:hint="eastAsia" w:eastAsia="黑体"/>
        </w:rPr>
        <w:t>xx</w:t>
      </w:r>
    </w:p>
    <w:p w14:paraId="0D9F7542">
      <w:pPr>
        <w:jc w:val="left"/>
        <w:rPr>
          <w:rFonts w:ascii="宋体" w:hAnsi="宋体"/>
          <w:sz w:val="20"/>
          <w:szCs w:val="20"/>
        </w:rPr>
      </w:pPr>
    </w:p>
    <w:p w14:paraId="61FE02C4">
      <w:pPr>
        <w:jc w:val="left"/>
        <w:rPr>
          <w:rFonts w:ascii="宋体" w:hAnsi="宋体"/>
          <w:sz w:val="20"/>
          <w:szCs w:val="20"/>
        </w:rPr>
      </w:pPr>
      <w: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24765</wp:posOffset>
                </wp:positionV>
                <wp:extent cx="6330315" cy="4445"/>
                <wp:effectExtent l="0" t="0" r="13335" b="33655"/>
                <wp:wrapNone/>
                <wp:docPr id="20" name="自选图形 476"/>
                <wp:cNvGraphicFramePr/>
                <a:graphic xmlns:a="http://schemas.openxmlformats.org/drawingml/2006/main">
                  <a:graphicData uri="http://schemas.microsoft.com/office/word/2010/wordprocessingShape">
                    <wps:wsp>
                      <wps:cNvCnPr>
                        <a:cxnSpLocks noChangeShapeType="1"/>
                      </wps:cNvCnPr>
                      <wps:spPr bwMode="auto">
                        <a:xfrm>
                          <a:off x="0" y="0"/>
                          <a:ext cx="6330315" cy="4445"/>
                        </a:xfrm>
                        <a:prstGeom prst="straightConnector1">
                          <a:avLst/>
                        </a:prstGeom>
                        <a:noFill/>
                        <a:ln w="12700">
                          <a:solidFill>
                            <a:srgbClr val="000000"/>
                          </a:solidFill>
                          <a:round/>
                        </a:ln>
                        <a:effectLst/>
                      </wps:spPr>
                      <wps:bodyPr/>
                    </wps:wsp>
                  </a:graphicData>
                </a:graphic>
              </wp:anchor>
            </w:drawing>
          </mc:Choice>
          <mc:Fallback>
            <w:pict>
              <v:shape id="自选图形 476" o:spid="_x0000_s1026" o:spt="32" type="#_x0000_t32" style="position:absolute;left:0pt;margin-left:-0.4pt;margin-top:1.95pt;height:0.35pt;width:498.45pt;z-index:251661312;mso-width-relative:page;mso-height-relative:page;" filled="f" stroked="t" coordsize="21600,21600" o:gfxdata="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mW3TdIAAAAFAQAADwAAAAAAAAABACAAAAAiAAAAZHJzL2Rvd25yZXYueG1sUEsBAhQA&#10;FAAAAAgAh07iQHzDIVD4AQAAygMAAA4AAAAAAAAAAQAgAAAAIQEAAGRycy9lMm9Eb2MueG1sUEsF&#10;BgAAAAAGAAYAWQEAAIsFAAAAAA==&#10;">
                <v:fill on="f" focussize="0,0"/>
                <v:stroke weight="1pt" color="#000000" joinstyle="round"/>
                <v:imagedata o:title=""/>
                <o:lock v:ext="edit" aspectratio="f"/>
              </v:shape>
            </w:pict>
          </mc:Fallback>
        </mc:AlternateContent>
      </w:r>
    </w:p>
    <w:p w14:paraId="2C0A9B44">
      <w:pPr>
        <w:jc w:val="left"/>
        <w:rPr>
          <w:rFonts w:ascii="宋体" w:hAnsi="宋体"/>
          <w:sz w:val="20"/>
          <w:szCs w:val="20"/>
        </w:rPr>
      </w:pPr>
    </w:p>
    <w:p w14:paraId="44CF25E9">
      <w:pPr>
        <w:jc w:val="left"/>
        <w:rPr>
          <w:rFonts w:ascii="宋体" w:hAnsi="宋体"/>
          <w:sz w:val="20"/>
          <w:szCs w:val="20"/>
        </w:rPr>
      </w:pPr>
    </w:p>
    <w:p w14:paraId="18279FFC">
      <w:pPr>
        <w:jc w:val="center"/>
        <w:rPr>
          <w:rFonts w:ascii="黑体" w:hAnsi="黑体" w:eastAsia="黑体"/>
          <w:sz w:val="42"/>
          <w:szCs w:val="42"/>
        </w:rPr>
      </w:pPr>
      <w:r>
        <w:rPr>
          <w:rFonts w:hint="eastAsia" w:ascii="黑体" w:hAnsi="宋体" w:eastAsia="黑体"/>
          <w:sz w:val="52"/>
          <w:szCs w:val="52"/>
        </w:rPr>
        <w:t>城市轨道交通工程矩形顶管施工与质量验收规范</w:t>
      </w:r>
    </w:p>
    <w:p w14:paraId="738F2194">
      <w:pPr>
        <w:jc w:val="center"/>
        <w:rPr>
          <w:b/>
          <w:spacing w:val="-4"/>
          <w:sz w:val="36"/>
          <w:szCs w:val="36"/>
        </w:rPr>
      </w:pPr>
      <w:r>
        <w:rPr>
          <w:b/>
          <w:spacing w:val="-4"/>
          <w:sz w:val="36"/>
          <w:szCs w:val="36"/>
        </w:rPr>
        <w:t>Standard</w:t>
      </w:r>
      <w:r>
        <w:rPr>
          <w:rFonts w:hint="eastAsia"/>
          <w:b/>
          <w:spacing w:val="-4"/>
          <w:sz w:val="36"/>
          <w:szCs w:val="36"/>
        </w:rPr>
        <w:t xml:space="preserve"> for construction and quality acceptance </w:t>
      </w:r>
      <w:r>
        <w:rPr>
          <w:b/>
          <w:spacing w:val="-4"/>
          <w:sz w:val="36"/>
          <w:szCs w:val="36"/>
        </w:rPr>
        <w:t xml:space="preserve">for </w:t>
      </w:r>
      <w:r>
        <w:rPr>
          <w:rFonts w:hint="eastAsia"/>
          <w:b/>
          <w:spacing w:val="-4"/>
          <w:sz w:val="36"/>
          <w:szCs w:val="36"/>
        </w:rPr>
        <w:t>rectangular pipe jacking</w:t>
      </w:r>
      <w:r>
        <w:rPr>
          <w:b/>
          <w:spacing w:val="-4"/>
          <w:sz w:val="36"/>
          <w:szCs w:val="36"/>
        </w:rPr>
        <w:t xml:space="preserve"> of urban rail transit engineering</w:t>
      </w:r>
    </w:p>
    <w:p w14:paraId="0224D986">
      <w:pPr>
        <w:jc w:val="left"/>
        <w:rPr>
          <w:b/>
          <w:spacing w:val="-4"/>
          <w:sz w:val="36"/>
          <w:szCs w:val="36"/>
        </w:rPr>
      </w:pPr>
    </w:p>
    <w:p w14:paraId="3EBDB1F6">
      <w:pPr>
        <w:jc w:val="left"/>
        <w:rPr>
          <w:rFonts w:ascii="宋体" w:hAnsi="宋体"/>
          <w:sz w:val="20"/>
          <w:szCs w:val="20"/>
        </w:rPr>
      </w:pPr>
    </w:p>
    <w:p w14:paraId="48C3370D">
      <w:pPr>
        <w:jc w:val="left"/>
        <w:rPr>
          <w:rFonts w:ascii="宋体" w:hAnsi="宋体"/>
          <w:sz w:val="20"/>
          <w:szCs w:val="20"/>
        </w:rPr>
      </w:pPr>
    </w:p>
    <w:p w14:paraId="645D356E">
      <w:pPr>
        <w:jc w:val="left"/>
        <w:rPr>
          <w:rFonts w:ascii="宋体" w:hAnsi="宋体"/>
          <w:sz w:val="20"/>
          <w:szCs w:val="20"/>
        </w:rPr>
      </w:pPr>
    </w:p>
    <w:p w14:paraId="48E090CB">
      <w:pPr>
        <w:jc w:val="left"/>
        <w:rPr>
          <w:rFonts w:ascii="宋体" w:hAnsi="宋体"/>
          <w:sz w:val="20"/>
          <w:szCs w:val="20"/>
        </w:rPr>
      </w:pPr>
    </w:p>
    <w:p w14:paraId="510E90FF">
      <w:pPr>
        <w:jc w:val="left"/>
        <w:rPr>
          <w:rFonts w:ascii="宋体" w:hAnsi="宋体"/>
          <w:sz w:val="20"/>
          <w:szCs w:val="20"/>
        </w:rPr>
      </w:pPr>
    </w:p>
    <w:p w14:paraId="5A558987">
      <w:pPr>
        <w:jc w:val="left"/>
        <w:rPr>
          <w:rFonts w:ascii="宋体" w:hAnsi="宋体"/>
          <w:sz w:val="20"/>
          <w:szCs w:val="20"/>
        </w:rPr>
      </w:pPr>
    </w:p>
    <w:p w14:paraId="44F25442">
      <w:pPr>
        <w:jc w:val="left"/>
        <w:rPr>
          <w:rFonts w:ascii="宋体" w:hAnsi="宋体"/>
          <w:sz w:val="20"/>
          <w:szCs w:val="20"/>
        </w:rPr>
      </w:pPr>
    </w:p>
    <w:p w14:paraId="43950244">
      <w:pPr>
        <w:jc w:val="left"/>
        <w:rPr>
          <w:rFonts w:ascii="宋体" w:hAnsi="宋体"/>
          <w:sz w:val="20"/>
          <w:szCs w:val="20"/>
        </w:rPr>
      </w:pPr>
    </w:p>
    <w:p w14:paraId="696C9376">
      <w:pPr>
        <w:jc w:val="left"/>
        <w:rPr>
          <w:rFonts w:ascii="宋体" w:hAnsi="宋体"/>
          <w:sz w:val="20"/>
          <w:szCs w:val="20"/>
        </w:rPr>
      </w:pPr>
    </w:p>
    <w:p w14:paraId="71185C47">
      <w:pPr>
        <w:jc w:val="left"/>
        <w:rPr>
          <w:rFonts w:ascii="宋体" w:hAnsi="宋体"/>
          <w:sz w:val="20"/>
          <w:szCs w:val="20"/>
        </w:rPr>
      </w:pPr>
    </w:p>
    <w:p w14:paraId="456A046F">
      <w:pPr>
        <w:jc w:val="left"/>
        <w:rPr>
          <w:rFonts w:ascii="宋体" w:hAnsi="宋体"/>
          <w:sz w:val="20"/>
          <w:szCs w:val="20"/>
        </w:rPr>
      </w:pPr>
    </w:p>
    <w:p w14:paraId="1EA24EF5">
      <w:pPr>
        <w:jc w:val="left"/>
        <w:rPr>
          <w:rFonts w:ascii="宋体" w:hAnsi="宋体"/>
          <w:sz w:val="20"/>
          <w:szCs w:val="20"/>
        </w:rPr>
      </w:pPr>
    </w:p>
    <w:p w14:paraId="0B497123">
      <w:pPr>
        <w:jc w:val="left"/>
        <w:rPr>
          <w:rFonts w:ascii="宋体" w:hAnsi="宋体"/>
          <w:sz w:val="20"/>
          <w:szCs w:val="20"/>
        </w:rPr>
      </w:pPr>
    </w:p>
    <w:p w14:paraId="542EF3C4">
      <w:pPr>
        <w:spacing w:before="62" w:beforeLines="20"/>
        <w:jc w:val="left"/>
        <w:rPr>
          <w:rFonts w:eastAsia="黑体"/>
          <w:sz w:val="28"/>
          <w:szCs w:val="28"/>
        </w:rPr>
      </w:pPr>
      <w:r>
        <w:rPr>
          <w:rFonts w:eastAsia="黑体"/>
          <w:b/>
          <w:sz w:val="32"/>
          <w:szCs w:val="32"/>
        </w:rPr>
        <w:t>20</w:t>
      </w:r>
      <w:r>
        <w:rPr>
          <w:rFonts w:hint="eastAsia" w:eastAsia="黑体"/>
          <w:b/>
          <w:sz w:val="32"/>
          <w:szCs w:val="32"/>
        </w:rPr>
        <w:t>**</w:t>
      </w:r>
      <w:r>
        <w:rPr>
          <w:rFonts w:ascii="宋体" w:hAnsi="宋体"/>
          <w:b/>
          <w:sz w:val="32"/>
          <w:szCs w:val="32"/>
        </w:rPr>
        <w:t>-</w:t>
      </w:r>
      <w:r>
        <w:rPr>
          <w:rFonts w:hint="eastAsia" w:eastAsia="黑体"/>
          <w:b/>
          <w:sz w:val="32"/>
          <w:szCs w:val="32"/>
        </w:rPr>
        <w:t>**</w:t>
      </w:r>
      <w:r>
        <w:rPr>
          <w:rFonts w:ascii="宋体" w:hAnsi="宋体"/>
          <w:b/>
          <w:sz w:val="32"/>
          <w:szCs w:val="32"/>
        </w:rPr>
        <w:t>-</w:t>
      </w:r>
      <w:r>
        <w:rPr>
          <w:rFonts w:hint="eastAsia" w:eastAsia="黑体"/>
          <w:b/>
          <w:sz w:val="32"/>
          <w:szCs w:val="32"/>
        </w:rPr>
        <w:t>**</w:t>
      </w:r>
      <w:r>
        <w:rPr>
          <w:rFonts w:eastAsia="黑体"/>
          <w:sz w:val="32"/>
          <w:szCs w:val="32"/>
        </w:rPr>
        <w:t>发布</w:t>
      </w:r>
      <w:r>
        <w:rPr>
          <w:rFonts w:hint="eastAsia" w:eastAsia="黑体"/>
          <w:sz w:val="28"/>
          <w:szCs w:val="28"/>
        </w:rPr>
        <w:t xml:space="preserve"> </w:t>
      </w:r>
      <w:r>
        <w:rPr>
          <w:rFonts w:eastAsia="黑体"/>
          <w:sz w:val="28"/>
          <w:szCs w:val="28"/>
        </w:rPr>
        <w:t xml:space="preserve">        </w:t>
      </w:r>
      <w:r>
        <w:rPr>
          <w:rFonts w:hint="eastAsia" w:eastAsia="黑体"/>
          <w:sz w:val="28"/>
          <w:szCs w:val="28"/>
        </w:rPr>
        <w:t xml:space="preserve">                     </w:t>
      </w:r>
      <w:r>
        <w:rPr>
          <w:rFonts w:eastAsia="黑体"/>
          <w:sz w:val="28"/>
          <w:szCs w:val="28"/>
        </w:rPr>
        <w:t xml:space="preserve">  </w:t>
      </w:r>
      <w:r>
        <w:rPr>
          <w:rFonts w:eastAsia="黑体"/>
          <w:b/>
          <w:sz w:val="32"/>
          <w:szCs w:val="32"/>
        </w:rPr>
        <w:t>20</w:t>
      </w:r>
      <w:r>
        <w:rPr>
          <w:rFonts w:hint="eastAsia" w:eastAsia="黑体"/>
          <w:b/>
          <w:sz w:val="32"/>
          <w:szCs w:val="32"/>
        </w:rPr>
        <w:t>**</w:t>
      </w:r>
      <w:r>
        <w:rPr>
          <w:rFonts w:ascii="宋体" w:hAnsi="宋体"/>
          <w:b/>
          <w:sz w:val="32"/>
          <w:szCs w:val="32"/>
        </w:rPr>
        <w:t>-</w:t>
      </w:r>
      <w:r>
        <w:rPr>
          <w:rFonts w:hint="eastAsia" w:eastAsia="黑体"/>
          <w:b/>
          <w:sz w:val="32"/>
          <w:szCs w:val="32"/>
        </w:rPr>
        <w:t>**</w:t>
      </w:r>
      <w:r>
        <w:rPr>
          <w:rFonts w:ascii="宋体" w:hAnsi="宋体"/>
          <w:b/>
          <w:sz w:val="32"/>
          <w:szCs w:val="32"/>
        </w:rPr>
        <w:t>-</w:t>
      </w:r>
      <w:r>
        <w:rPr>
          <w:rFonts w:hint="eastAsia" w:eastAsia="黑体"/>
          <w:b/>
          <w:sz w:val="32"/>
          <w:szCs w:val="32"/>
        </w:rPr>
        <w:t>**</w:t>
      </w:r>
      <w:r>
        <w:rPr>
          <w:rFonts w:eastAsia="黑体"/>
          <w:sz w:val="32"/>
          <w:szCs w:val="32"/>
        </w:rPr>
        <w:t>实施</w:t>
      </w:r>
    </w:p>
    <w:p w14:paraId="27623600">
      <w:pPr>
        <w:jc w:val="left"/>
        <w:rPr>
          <w:rFonts w:ascii="宋体" w:hAnsi="宋体"/>
          <w:sz w:val="20"/>
          <w:szCs w:val="20"/>
        </w:rPr>
      </w:pPr>
      <w: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103505</wp:posOffset>
                </wp:positionV>
                <wp:extent cx="6202680" cy="1270"/>
                <wp:effectExtent l="0" t="0" r="26670" b="36830"/>
                <wp:wrapNone/>
                <wp:docPr id="19" name="自选图形 477"/>
                <wp:cNvGraphicFramePr/>
                <a:graphic xmlns:a="http://schemas.openxmlformats.org/drawingml/2006/main">
                  <a:graphicData uri="http://schemas.microsoft.com/office/word/2010/wordprocessingShape">
                    <wps:wsp>
                      <wps:cNvCnPr>
                        <a:cxnSpLocks noChangeShapeType="1"/>
                      </wps:cNvCnPr>
                      <wps:spPr bwMode="auto">
                        <a:xfrm flipV="1">
                          <a:off x="0" y="0"/>
                          <a:ext cx="6202680" cy="1270"/>
                        </a:xfrm>
                        <a:prstGeom prst="straightConnector1">
                          <a:avLst/>
                        </a:prstGeom>
                        <a:noFill/>
                        <a:ln w="12700">
                          <a:solidFill>
                            <a:srgbClr val="000000"/>
                          </a:solidFill>
                          <a:round/>
                        </a:ln>
                        <a:effectLst/>
                      </wps:spPr>
                      <wps:bodyPr/>
                    </wps:wsp>
                  </a:graphicData>
                </a:graphic>
              </wp:anchor>
            </w:drawing>
          </mc:Choice>
          <mc:Fallback>
            <w:pict>
              <v:shape id="自选图形 477" o:spid="_x0000_s1026" o:spt="32" type="#_x0000_t32" style="position:absolute;left:0pt;flip:y;margin-left:0.65pt;margin-top:8.15pt;height:0.1pt;width:488.4pt;z-index:251662336;mso-width-relative:page;mso-height-relative:page;" filled="f" stroked="t" coordsize="21600,21600" o:gfxdata="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5olwzTAAAABwEAAA8AAAAAAAAAAQAgAAAAIgAAAGRycy9kb3ducmV2LnhtbFBL&#10;AQIUABQAAAAIAIdO4kBBWcmp+wEAANQDAAAOAAAAAAAAAAEAIAAAACIBAABkcnMvZTJvRG9jLnht&#10;bFBLBQYAAAAABgAGAFkBAACPBQAAAAA=&#10;">
                <v:fill on="f" focussize="0,0"/>
                <v:stroke weight="1pt" color="#000000" joinstyle="round"/>
                <v:imagedata o:title=""/>
                <o:lock v:ext="edit" aspectratio="f"/>
              </v:shape>
            </w:pict>
          </mc:Fallback>
        </mc:AlternateContent>
      </w:r>
    </w:p>
    <w:p w14:paraId="105D0E6E">
      <w:pPr>
        <w:snapToGrid w:val="0"/>
        <w:spacing w:before="93" w:beforeLines="30"/>
        <w:jc w:val="left"/>
        <w:rPr>
          <w:rFonts w:ascii="黑体" w:hAnsi="黑体" w:eastAsia="黑体"/>
          <w:spacing w:val="-4"/>
          <w:sz w:val="32"/>
          <w:szCs w:val="32"/>
        </w:rPr>
      </w:pPr>
      <w:r>
        <mc:AlternateContent>
          <mc:Choice Requires="wps">
            <w:drawing>
              <wp:anchor distT="0" distB="0" distL="114300" distR="114300" simplePos="0" relativeHeight="251659264" behindDoc="0" locked="0" layoutInCell="1" allowOverlap="1">
                <wp:simplePos x="0" y="0"/>
                <wp:positionH relativeFrom="column">
                  <wp:posOffset>4622165</wp:posOffset>
                </wp:positionH>
                <wp:positionV relativeFrom="paragraph">
                  <wp:posOffset>178435</wp:posOffset>
                </wp:positionV>
                <wp:extent cx="1412875" cy="385445"/>
                <wp:effectExtent l="0" t="0" r="15875" b="14605"/>
                <wp:wrapNone/>
                <wp:docPr id="18" name="矩形 474"/>
                <wp:cNvGraphicFramePr/>
                <a:graphic xmlns:a="http://schemas.openxmlformats.org/drawingml/2006/main">
                  <a:graphicData uri="http://schemas.microsoft.com/office/word/2010/wordprocessingShape">
                    <wps:wsp>
                      <wps:cNvSpPr>
                        <a:spLocks noChangeArrowheads="1"/>
                      </wps:cNvSpPr>
                      <wps:spPr bwMode="auto">
                        <a:xfrm>
                          <a:off x="0" y="0"/>
                          <a:ext cx="1412875" cy="385445"/>
                        </a:xfrm>
                        <a:prstGeom prst="rect">
                          <a:avLst/>
                        </a:prstGeom>
                        <a:noFill/>
                        <a:ln>
                          <a:noFill/>
                        </a:ln>
                        <a:effectLst/>
                      </wps:spPr>
                      <wps:txbx>
                        <w:txbxContent>
                          <w:p w14:paraId="297193F5">
                            <w:pPr>
                              <w:rPr>
                                <w:rFonts w:ascii="黑体" w:hAnsi="黑体" w:eastAsia="黑体"/>
                                <w:sz w:val="44"/>
                                <w:szCs w:val="44"/>
                              </w:rPr>
                            </w:pPr>
                            <w:r>
                              <w:rPr>
                                <w:rFonts w:hint="eastAsia" w:ascii="黑体" w:hAnsi="黑体" w:eastAsia="黑体"/>
                                <w:sz w:val="44"/>
                                <w:szCs w:val="44"/>
                              </w:rPr>
                              <w:t>联合发布</w:t>
                            </w:r>
                          </w:p>
                        </w:txbxContent>
                      </wps:txbx>
                      <wps:bodyPr rot="0" vert="horz" wrap="square" lIns="0" tIns="0" rIns="0" bIns="0" anchor="t" anchorCtr="0" upright="1">
                        <a:noAutofit/>
                      </wps:bodyPr>
                    </wps:wsp>
                  </a:graphicData>
                </a:graphic>
              </wp:anchor>
            </w:drawing>
          </mc:Choice>
          <mc:Fallback>
            <w:pict>
              <v:rect id="矩形 474" o:spid="_x0000_s1026" o:spt="1" style="position:absolute;left:0pt;margin-left:363.95pt;margin-top:14.05pt;height:30.35pt;width:111.25pt;z-index:251659264;mso-width-relative:page;mso-height-relative:page;" filled="f" stroked="f" coordsize="21600,21600" o:gfxdata="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xbIq7aAAAACQEAAA8AAAAAAAAAAQAgAAAA&#10;IgAAAGRycy9kb3ducmV2LnhtbFBLAQIUABQAAAAIAIdO4kCUfU7DCQIAAAkEAAAOAAAAAAAAAAEA&#10;IAAAACkBAABkcnMvZTJvRG9jLnhtbFBLBQYAAAAABgAGAFkBAACkBQAAAAA=&#10;">
                <v:fill on="f" focussize="0,0"/>
                <v:stroke on="f"/>
                <v:imagedata o:title=""/>
                <o:lock v:ext="edit" aspectratio="f"/>
                <v:textbox inset="0mm,0mm,0mm,0mm">
                  <w:txbxContent>
                    <w:p w14:paraId="297193F5">
                      <w:pPr>
                        <w:rPr>
                          <w:rFonts w:ascii="黑体" w:hAnsi="黑体" w:eastAsia="黑体"/>
                          <w:sz w:val="44"/>
                          <w:szCs w:val="44"/>
                        </w:rPr>
                      </w:pPr>
                      <w:r>
                        <w:rPr>
                          <w:rFonts w:hint="eastAsia" w:ascii="黑体" w:hAnsi="黑体" w:eastAsia="黑体"/>
                          <w:sz w:val="44"/>
                          <w:szCs w:val="44"/>
                        </w:rPr>
                        <w:t>联合发布</w:t>
                      </w:r>
                    </w:p>
                  </w:txbxContent>
                </v:textbox>
              </v:rect>
            </w:pict>
          </mc:Fallback>
        </mc:AlternateContent>
      </w:r>
      <w:r>
        <w:rPr>
          <w:rFonts w:hint="eastAsia" w:ascii="黑体" w:hAnsi="黑体" w:eastAsia="黑体"/>
          <w:spacing w:val="-4"/>
          <w:sz w:val="44"/>
          <w:szCs w:val="44"/>
        </w:rPr>
        <w:t>北京市住房和城乡建设委员会</w:t>
      </w:r>
    </w:p>
    <w:p w14:paraId="6EFC05C0">
      <w:pPr>
        <w:jc w:val="left"/>
        <w:rPr>
          <w:rFonts w:ascii="黑体" w:hAnsi="黑体" w:eastAsia="黑体"/>
          <w:sz w:val="44"/>
          <w:szCs w:val="44"/>
        </w:rPr>
      </w:pPr>
      <w:r>
        <w:rPr>
          <w:rFonts w:hint="eastAsia" w:ascii="黑体" w:hAnsi="黑体" w:eastAsia="黑体"/>
          <w:spacing w:val="-4"/>
          <w:sz w:val="44"/>
          <w:szCs w:val="44"/>
        </w:rPr>
        <w:t>北</w:t>
      </w:r>
      <w:r>
        <w:rPr>
          <w:rFonts w:hint="eastAsia" w:ascii="黑体" w:hAnsi="黑体" w:eastAsia="黑体"/>
          <w:spacing w:val="-4"/>
          <w:sz w:val="28"/>
          <w:szCs w:val="28"/>
        </w:rPr>
        <w:t xml:space="preserve"> </w:t>
      </w:r>
      <w:r>
        <w:rPr>
          <w:rFonts w:hint="eastAsia" w:ascii="黑体" w:hAnsi="黑体" w:eastAsia="黑体"/>
          <w:spacing w:val="-4"/>
          <w:sz w:val="44"/>
          <w:szCs w:val="44"/>
        </w:rPr>
        <w:t>京</w:t>
      </w:r>
      <w:r>
        <w:rPr>
          <w:rFonts w:hint="eastAsia" w:ascii="黑体" w:hAnsi="黑体" w:eastAsia="黑体"/>
          <w:spacing w:val="-4"/>
          <w:sz w:val="28"/>
          <w:szCs w:val="28"/>
        </w:rPr>
        <w:t xml:space="preserve"> </w:t>
      </w:r>
      <w:r>
        <w:rPr>
          <w:rFonts w:hint="eastAsia" w:ascii="黑体" w:hAnsi="黑体" w:eastAsia="黑体"/>
          <w:spacing w:val="-4"/>
          <w:sz w:val="44"/>
          <w:szCs w:val="44"/>
        </w:rPr>
        <w:t>市</w:t>
      </w:r>
      <w:r>
        <w:rPr>
          <w:rFonts w:hint="eastAsia" w:ascii="黑体" w:hAnsi="黑体" w:eastAsia="黑体"/>
          <w:spacing w:val="-4"/>
          <w:sz w:val="28"/>
          <w:szCs w:val="28"/>
        </w:rPr>
        <w:t xml:space="preserve"> </w:t>
      </w:r>
      <w:r>
        <w:rPr>
          <w:rFonts w:hint="eastAsia" w:ascii="黑体" w:hAnsi="黑体" w:eastAsia="黑体"/>
          <w:spacing w:val="-4"/>
          <w:sz w:val="44"/>
          <w:szCs w:val="44"/>
        </w:rPr>
        <w:t>市</w:t>
      </w:r>
      <w:r>
        <w:rPr>
          <w:rFonts w:hint="eastAsia" w:ascii="黑体" w:hAnsi="黑体" w:eastAsia="黑体"/>
          <w:spacing w:val="-4"/>
          <w:sz w:val="28"/>
          <w:szCs w:val="28"/>
        </w:rPr>
        <w:t xml:space="preserve"> </w:t>
      </w:r>
      <w:r>
        <w:rPr>
          <w:rFonts w:hint="eastAsia" w:ascii="黑体" w:hAnsi="黑体" w:eastAsia="黑体"/>
          <w:spacing w:val="-4"/>
          <w:sz w:val="44"/>
          <w:szCs w:val="44"/>
        </w:rPr>
        <w:t>场</w:t>
      </w:r>
      <w:r>
        <w:rPr>
          <w:rFonts w:hint="eastAsia" w:ascii="黑体" w:hAnsi="黑体" w:eastAsia="黑体"/>
          <w:spacing w:val="-4"/>
          <w:sz w:val="32"/>
          <w:szCs w:val="32"/>
        </w:rPr>
        <w:t xml:space="preserve"> </w:t>
      </w:r>
      <w:r>
        <w:rPr>
          <w:rFonts w:hint="eastAsia" w:ascii="黑体" w:hAnsi="黑体" w:eastAsia="黑体"/>
          <w:spacing w:val="-4"/>
          <w:sz w:val="44"/>
          <w:szCs w:val="44"/>
        </w:rPr>
        <w:t>监</w:t>
      </w:r>
      <w:r>
        <w:rPr>
          <w:rFonts w:hint="eastAsia" w:ascii="黑体" w:hAnsi="黑体" w:eastAsia="黑体"/>
          <w:spacing w:val="-4"/>
          <w:sz w:val="32"/>
          <w:szCs w:val="32"/>
        </w:rPr>
        <w:t xml:space="preserve"> </w:t>
      </w:r>
      <w:r>
        <w:rPr>
          <w:rFonts w:hint="eastAsia" w:ascii="黑体" w:hAnsi="黑体" w:eastAsia="黑体"/>
          <w:spacing w:val="-4"/>
          <w:sz w:val="44"/>
          <w:szCs w:val="44"/>
        </w:rPr>
        <w:t>督</w:t>
      </w:r>
      <w:r>
        <w:rPr>
          <w:rFonts w:hint="eastAsia" w:ascii="黑体" w:hAnsi="黑体" w:eastAsia="黑体"/>
          <w:spacing w:val="-4"/>
          <w:sz w:val="32"/>
          <w:szCs w:val="32"/>
        </w:rPr>
        <w:t xml:space="preserve"> </w:t>
      </w:r>
      <w:r>
        <w:rPr>
          <w:rFonts w:hint="eastAsia" w:ascii="黑体" w:hAnsi="黑体" w:eastAsia="黑体"/>
          <w:spacing w:val="-4"/>
          <w:sz w:val="44"/>
          <w:szCs w:val="44"/>
        </w:rPr>
        <w:t>管</w:t>
      </w:r>
      <w:r>
        <w:rPr>
          <w:rFonts w:hint="eastAsia" w:ascii="黑体" w:hAnsi="黑体" w:eastAsia="黑体"/>
          <w:spacing w:val="-4"/>
          <w:sz w:val="32"/>
          <w:szCs w:val="32"/>
        </w:rPr>
        <w:t xml:space="preserve"> </w:t>
      </w:r>
      <w:r>
        <w:rPr>
          <w:rFonts w:hint="eastAsia" w:ascii="黑体" w:hAnsi="黑体" w:eastAsia="黑体"/>
          <w:spacing w:val="-4"/>
          <w:sz w:val="44"/>
          <w:szCs w:val="44"/>
        </w:rPr>
        <w:t>理</w:t>
      </w:r>
      <w:r>
        <w:rPr>
          <w:rFonts w:hint="eastAsia" w:ascii="黑体" w:hAnsi="黑体" w:eastAsia="黑体"/>
          <w:spacing w:val="-4"/>
          <w:sz w:val="32"/>
          <w:szCs w:val="32"/>
        </w:rPr>
        <w:t xml:space="preserve"> </w:t>
      </w:r>
      <w:r>
        <w:rPr>
          <w:rFonts w:hint="eastAsia" w:ascii="黑体" w:hAnsi="黑体" w:eastAsia="黑体"/>
          <w:spacing w:val="-4"/>
          <w:sz w:val="44"/>
          <w:szCs w:val="44"/>
        </w:rPr>
        <w:t xml:space="preserve">局      </w:t>
      </w:r>
    </w:p>
    <w:p w14:paraId="4DF42104">
      <w:pPr>
        <w:spacing w:before="62" w:beforeLines="20"/>
        <w:jc w:val="center"/>
        <w:rPr>
          <w:b/>
          <w:spacing w:val="-8"/>
          <w:sz w:val="28"/>
          <w:szCs w:val="28"/>
        </w:rPr>
      </w:pPr>
      <w:r>
        <w:rPr>
          <w:rFonts w:ascii="宋体" w:hAnsi="宋体"/>
          <w:sz w:val="20"/>
          <w:szCs w:val="20"/>
        </w:rPr>
        <w:br w:type="page"/>
      </w:r>
    </w:p>
    <w:p w14:paraId="03975647">
      <w:pPr>
        <w:jc w:val="left"/>
        <w:rPr>
          <w:rFonts w:ascii="宋体" w:hAnsi="宋体"/>
          <w:sz w:val="20"/>
          <w:szCs w:val="20"/>
        </w:rPr>
      </w:pPr>
    </w:p>
    <w:p w14:paraId="5B24F724">
      <w:pPr>
        <w:jc w:val="left"/>
        <w:rPr>
          <w:rFonts w:ascii="宋体" w:hAnsi="宋体"/>
          <w:sz w:val="20"/>
          <w:szCs w:val="20"/>
        </w:rPr>
      </w:pPr>
    </w:p>
    <w:p w14:paraId="604B7A47">
      <w:pPr>
        <w:jc w:val="left"/>
        <w:rPr>
          <w:rFonts w:ascii="宋体" w:hAnsi="宋体"/>
          <w:sz w:val="20"/>
          <w:szCs w:val="20"/>
        </w:rPr>
      </w:pPr>
    </w:p>
    <w:p w14:paraId="1EFF3EEE">
      <w:pPr>
        <w:jc w:val="left"/>
        <w:rPr>
          <w:rFonts w:ascii="宋体" w:hAnsi="宋体"/>
          <w:sz w:val="20"/>
          <w:szCs w:val="20"/>
        </w:rPr>
      </w:pPr>
    </w:p>
    <w:p w14:paraId="252E5BC3">
      <w:pPr>
        <w:spacing w:before="156" w:beforeLines="50"/>
        <w:jc w:val="center"/>
        <w:rPr>
          <w:rFonts w:ascii="黑体" w:hAnsi="黑体" w:eastAsia="黑体"/>
          <w:spacing w:val="56"/>
          <w:sz w:val="28"/>
          <w:szCs w:val="28"/>
        </w:rPr>
      </w:pPr>
      <w:r>
        <w:rPr>
          <w:rFonts w:hint="eastAsia" w:ascii="黑体" w:hAnsi="黑体" w:eastAsia="黑体"/>
          <w:spacing w:val="56"/>
          <w:sz w:val="28"/>
          <w:szCs w:val="28"/>
        </w:rPr>
        <w:t>北京市地方标准</w:t>
      </w:r>
    </w:p>
    <w:p w14:paraId="26CFB5DA">
      <w:pPr>
        <w:jc w:val="left"/>
        <w:rPr>
          <w:rFonts w:ascii="宋体" w:hAnsi="宋体"/>
          <w:sz w:val="20"/>
          <w:szCs w:val="20"/>
        </w:rPr>
      </w:pPr>
    </w:p>
    <w:p w14:paraId="350A298A">
      <w:pPr>
        <w:jc w:val="left"/>
        <w:rPr>
          <w:rFonts w:ascii="宋体" w:hAnsi="宋体"/>
          <w:sz w:val="20"/>
          <w:szCs w:val="20"/>
        </w:rPr>
      </w:pPr>
    </w:p>
    <w:p w14:paraId="61161EE8">
      <w:pPr>
        <w:spacing w:before="93" w:beforeLines="30"/>
        <w:jc w:val="center"/>
        <w:rPr>
          <w:rFonts w:ascii="黑体" w:hAnsi="黑体" w:eastAsia="黑体"/>
          <w:sz w:val="28"/>
          <w:szCs w:val="32"/>
        </w:rPr>
      </w:pPr>
      <w:r>
        <w:rPr>
          <w:rFonts w:hint="eastAsia" w:ascii="黑体" w:hAnsi="宋体" w:eastAsia="黑体"/>
          <w:sz w:val="40"/>
          <w:szCs w:val="44"/>
        </w:rPr>
        <w:t>城市轨道交通工程矩形顶管施工与质量验收规范</w:t>
      </w:r>
    </w:p>
    <w:p w14:paraId="0BF1D3B6">
      <w:pPr>
        <w:jc w:val="center"/>
        <w:rPr>
          <w:b/>
          <w:sz w:val="36"/>
          <w:szCs w:val="36"/>
        </w:rPr>
      </w:pPr>
      <w:r>
        <w:rPr>
          <w:b/>
          <w:spacing w:val="-4"/>
          <w:sz w:val="36"/>
          <w:szCs w:val="36"/>
        </w:rPr>
        <w:t>Standard</w:t>
      </w:r>
      <w:r>
        <w:rPr>
          <w:rFonts w:hint="eastAsia"/>
          <w:b/>
          <w:spacing w:val="-4"/>
          <w:sz w:val="36"/>
          <w:szCs w:val="36"/>
        </w:rPr>
        <w:t xml:space="preserve"> for construction and quality acceptance </w:t>
      </w:r>
      <w:r>
        <w:rPr>
          <w:b/>
          <w:spacing w:val="-4"/>
          <w:sz w:val="36"/>
          <w:szCs w:val="36"/>
        </w:rPr>
        <w:t xml:space="preserve">for </w:t>
      </w:r>
      <w:r>
        <w:rPr>
          <w:rFonts w:hint="eastAsia"/>
          <w:b/>
          <w:spacing w:val="-4"/>
          <w:sz w:val="36"/>
          <w:szCs w:val="36"/>
        </w:rPr>
        <w:t>rectangular pipe jacking</w:t>
      </w:r>
      <w:r>
        <w:rPr>
          <w:b/>
          <w:spacing w:val="-4"/>
          <w:sz w:val="36"/>
          <w:szCs w:val="36"/>
        </w:rPr>
        <w:t xml:space="preserve"> of urban rail transit engineering</w:t>
      </w:r>
    </w:p>
    <w:p w14:paraId="49B2545E">
      <w:pPr>
        <w:jc w:val="left"/>
        <w:rPr>
          <w:rFonts w:ascii="宋体" w:hAnsi="宋体"/>
          <w:sz w:val="20"/>
          <w:szCs w:val="20"/>
        </w:rPr>
      </w:pPr>
    </w:p>
    <w:p w14:paraId="23A354B6">
      <w:pPr>
        <w:jc w:val="left"/>
        <w:rPr>
          <w:rFonts w:ascii="宋体" w:hAnsi="宋体"/>
          <w:sz w:val="20"/>
          <w:szCs w:val="20"/>
        </w:rPr>
      </w:pPr>
    </w:p>
    <w:p w14:paraId="75F1F4B0">
      <w:pPr>
        <w:snapToGrid w:val="0"/>
        <w:spacing w:before="156" w:beforeLines="50"/>
        <w:jc w:val="center"/>
        <w:rPr>
          <w:rFonts w:eastAsia="黑体"/>
          <w:sz w:val="24"/>
          <w:szCs w:val="24"/>
        </w:rPr>
      </w:pPr>
      <w:r>
        <w:rPr>
          <w:rFonts w:hint="eastAsia" w:ascii="黑体" w:hAnsi="黑体" w:eastAsia="黑体"/>
          <w:sz w:val="24"/>
          <w:szCs w:val="24"/>
        </w:rPr>
        <w:t>编  号：DB11/T ****</w:t>
      </w:r>
    </w:p>
    <w:p w14:paraId="5850FE6A">
      <w:pPr>
        <w:snapToGrid w:val="0"/>
        <w:spacing w:before="93" w:beforeLines="30" w:line="230" w:lineRule="exact"/>
        <w:ind w:firstLine="3240" w:firstLineChars="1350"/>
        <w:rPr>
          <w:rFonts w:ascii="黑体" w:hAnsi="黑体" w:eastAsia="黑体"/>
        </w:rPr>
      </w:pPr>
      <w:r>
        <w:rPr>
          <w:rFonts w:ascii="黑体" w:hAnsi="黑体" w:eastAsia="黑体"/>
          <w:sz w:val="24"/>
          <w:szCs w:val="24"/>
        </w:rPr>
        <w:t>备案号</w:t>
      </w:r>
      <w:r>
        <w:rPr>
          <w:rFonts w:hint="eastAsia" w:eastAsia="黑体"/>
          <w:sz w:val="24"/>
          <w:szCs w:val="24"/>
        </w:rPr>
        <w:t>：</w:t>
      </w:r>
      <w:r>
        <w:rPr>
          <w:rFonts w:eastAsia="黑体"/>
          <w:sz w:val="24"/>
          <w:szCs w:val="24"/>
        </w:rPr>
        <w:t>J</w:t>
      </w:r>
      <w:r>
        <w:rPr>
          <w:rFonts w:hint="eastAsia" w:eastAsia="黑体"/>
          <w:sz w:val="24"/>
          <w:szCs w:val="24"/>
        </w:rPr>
        <w:t>**</w:t>
      </w:r>
      <w:r>
        <w:rPr>
          <w:rFonts w:ascii="宋体" w:hAnsi="宋体"/>
          <w:b/>
          <w:sz w:val="24"/>
          <w:szCs w:val="24"/>
        </w:rPr>
        <w:t>-</w:t>
      </w:r>
      <w:r>
        <w:rPr>
          <w:rFonts w:eastAsia="黑体"/>
          <w:sz w:val="24"/>
          <w:szCs w:val="24"/>
        </w:rPr>
        <w:t>202</w:t>
      </w:r>
      <w:r>
        <w:rPr>
          <w:rFonts w:hint="eastAsia" w:eastAsia="黑体"/>
          <w:sz w:val="24"/>
          <w:szCs w:val="24"/>
        </w:rPr>
        <w:t xml:space="preserve">*   </w:t>
      </w:r>
    </w:p>
    <w:p w14:paraId="64D9B896">
      <w:pPr>
        <w:jc w:val="left"/>
        <w:rPr>
          <w:rFonts w:ascii="宋体" w:hAnsi="宋体"/>
          <w:sz w:val="20"/>
          <w:szCs w:val="20"/>
        </w:rPr>
      </w:pPr>
    </w:p>
    <w:p w14:paraId="2617B3A9">
      <w:pPr>
        <w:spacing w:line="240" w:lineRule="exact"/>
        <w:jc w:val="left"/>
        <w:rPr>
          <w:rFonts w:ascii="宋体" w:hAnsi="宋体"/>
          <w:sz w:val="20"/>
          <w:szCs w:val="20"/>
        </w:rPr>
      </w:pPr>
    </w:p>
    <w:p w14:paraId="5D2E7FBB">
      <w:pPr>
        <w:jc w:val="left"/>
        <w:rPr>
          <w:rFonts w:ascii="宋体" w:hAnsi="宋体"/>
          <w:sz w:val="20"/>
          <w:szCs w:val="20"/>
        </w:rPr>
      </w:pPr>
    </w:p>
    <w:p w14:paraId="0D920A41">
      <w:pPr>
        <w:snapToGrid w:val="0"/>
        <w:spacing w:line="288" w:lineRule="auto"/>
        <w:ind w:firstLine="2400" w:firstLineChars="1000"/>
        <w:jc w:val="left"/>
        <w:rPr>
          <w:rFonts w:ascii="宋体" w:hAnsi="宋体"/>
          <w:sz w:val="20"/>
          <w:szCs w:val="20"/>
        </w:rPr>
      </w:pPr>
      <w:r>
        <w:rPr>
          <w:rFonts w:hint="eastAsia" w:ascii="宋体" w:hAnsi="宋体"/>
          <w:sz w:val="24"/>
          <w:szCs w:val="24"/>
        </w:rPr>
        <w:t>主编单位：</w:t>
      </w:r>
      <w:r>
        <w:rPr>
          <w:rFonts w:hint="eastAsia"/>
          <w:sz w:val="24"/>
          <w:szCs w:val="24"/>
        </w:rPr>
        <w:t>北京市政建设集团有限</w:t>
      </w:r>
      <w:r>
        <w:rPr>
          <w:sz w:val="24"/>
          <w:szCs w:val="24"/>
        </w:rPr>
        <w:t>责任公司</w:t>
      </w:r>
    </w:p>
    <w:p w14:paraId="06C0FF29">
      <w:pPr>
        <w:pStyle w:val="279"/>
        <w:ind w:left="0" w:leftChars="0" w:right="0" w:rightChars="0" w:firstLine="2000" w:firstLineChars="1000"/>
        <w:rPr>
          <w:rFonts w:hint="eastAsia" w:ascii="Times New Roman" w:hAnsi="Times New Roman" w:eastAsia="宋体" w:cs="Times New Roman"/>
          <w:color w:val="auto"/>
          <w:kern w:val="2"/>
          <w:sz w:val="24"/>
          <w:szCs w:val="24"/>
          <w:lang w:val="en-US" w:eastAsia="zh-CN" w:bidi="ar-SA"/>
        </w:rPr>
      </w:pPr>
      <w:r>
        <w:rPr>
          <w:rFonts w:ascii="Times New Roman" w:hAnsi="Times New Roman" w:cs="Times New Roman"/>
          <w:color w:val="auto"/>
          <w:sz w:val="20"/>
          <w:szCs w:val="20"/>
        </w:rPr>
        <w:t xml:space="preserve">                </w:t>
      </w:r>
      <w:r>
        <w:rPr>
          <w:rFonts w:hint="eastAsia" w:ascii="Times New Roman" w:hAnsi="Times New Roman" w:eastAsia="宋体" w:cs="Times New Roman"/>
          <w:color w:val="auto"/>
          <w:kern w:val="2"/>
          <w:sz w:val="24"/>
          <w:szCs w:val="24"/>
          <w:lang w:val="en-US" w:eastAsia="zh-CN" w:bidi="ar-SA"/>
        </w:rPr>
        <w:t>北京城建轨道交通建设工程有限公司</w:t>
      </w:r>
    </w:p>
    <w:p w14:paraId="06CEC3E8">
      <w:pPr>
        <w:pStyle w:val="279"/>
        <w:ind w:left="0" w:leftChars="0" w:right="0" w:rightChars="0" w:firstLine="3600" w:firstLineChars="15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中铁二十二局集团有限公司</w:t>
      </w:r>
    </w:p>
    <w:p w14:paraId="58ABCCCB">
      <w:pPr>
        <w:snapToGrid w:val="0"/>
        <w:spacing w:line="288" w:lineRule="auto"/>
        <w:ind w:firstLine="2400" w:firstLineChars="1000"/>
        <w:jc w:val="left"/>
        <w:rPr>
          <w:rFonts w:ascii="宋体" w:hAnsi="宋体"/>
          <w:sz w:val="20"/>
          <w:szCs w:val="20"/>
        </w:rPr>
      </w:pPr>
      <w:bookmarkStart w:id="469" w:name="_GoBack"/>
      <w:bookmarkEnd w:id="469"/>
      <w:r>
        <w:rPr>
          <w:rFonts w:hint="eastAsia" w:ascii="宋体" w:hAnsi="宋体"/>
          <w:sz w:val="24"/>
          <w:szCs w:val="24"/>
        </w:rPr>
        <w:t>批准部门：</w:t>
      </w:r>
      <w:r>
        <w:rPr>
          <w:sz w:val="24"/>
          <w:szCs w:val="24"/>
        </w:rPr>
        <w:t>北京市</w:t>
      </w:r>
      <w:r>
        <w:rPr>
          <w:rFonts w:hint="eastAsia"/>
          <w:sz w:val="24"/>
          <w:szCs w:val="24"/>
        </w:rPr>
        <w:t>市场</w:t>
      </w:r>
      <w:r>
        <w:rPr>
          <w:sz w:val="24"/>
          <w:szCs w:val="24"/>
        </w:rPr>
        <w:t>监督</w:t>
      </w:r>
      <w:r>
        <w:rPr>
          <w:rFonts w:hint="eastAsia"/>
          <w:sz w:val="24"/>
          <w:szCs w:val="24"/>
        </w:rPr>
        <w:t>管理</w:t>
      </w:r>
      <w:r>
        <w:rPr>
          <w:sz w:val="24"/>
          <w:szCs w:val="24"/>
        </w:rPr>
        <w:t>局</w:t>
      </w:r>
    </w:p>
    <w:p w14:paraId="2D7786F1">
      <w:pPr>
        <w:snapToGrid w:val="0"/>
        <w:spacing w:line="288" w:lineRule="auto"/>
        <w:ind w:firstLine="2400" w:firstLineChars="1000"/>
        <w:jc w:val="left"/>
        <w:rPr>
          <w:rFonts w:ascii="宋体" w:hAnsi="宋体"/>
          <w:sz w:val="20"/>
          <w:szCs w:val="20"/>
        </w:rPr>
      </w:pPr>
      <w:r>
        <w:rPr>
          <w:rFonts w:hint="eastAsia" w:ascii="宋体" w:hAnsi="宋体"/>
          <w:sz w:val="24"/>
          <w:szCs w:val="24"/>
        </w:rPr>
        <w:t>施行日期：</w:t>
      </w:r>
      <w:r>
        <w:rPr>
          <w:sz w:val="24"/>
          <w:szCs w:val="24"/>
        </w:rPr>
        <w:t>20</w:t>
      </w:r>
      <w:r>
        <w:rPr>
          <w:rFonts w:hint="eastAsia"/>
          <w:sz w:val="24"/>
          <w:szCs w:val="24"/>
        </w:rPr>
        <w:t>**</w:t>
      </w:r>
      <w:r>
        <w:rPr>
          <w:sz w:val="24"/>
          <w:szCs w:val="24"/>
        </w:rPr>
        <w:t>年</w:t>
      </w:r>
      <w:r>
        <w:rPr>
          <w:rFonts w:hint="eastAsia"/>
          <w:sz w:val="24"/>
          <w:szCs w:val="24"/>
        </w:rPr>
        <w:t>*</w:t>
      </w:r>
      <w:r>
        <w:rPr>
          <w:sz w:val="24"/>
          <w:szCs w:val="24"/>
        </w:rPr>
        <w:t>月</w:t>
      </w:r>
      <w:r>
        <w:rPr>
          <w:rFonts w:hint="eastAsia"/>
          <w:sz w:val="24"/>
          <w:szCs w:val="24"/>
        </w:rPr>
        <w:t>*</w:t>
      </w:r>
      <w:r>
        <w:rPr>
          <w:sz w:val="24"/>
          <w:szCs w:val="24"/>
        </w:rPr>
        <w:t>日</w:t>
      </w:r>
    </w:p>
    <w:p w14:paraId="7D163B22">
      <w:pPr>
        <w:jc w:val="left"/>
        <w:rPr>
          <w:rFonts w:ascii="宋体" w:hAnsi="宋体"/>
          <w:sz w:val="20"/>
          <w:szCs w:val="20"/>
        </w:rPr>
      </w:pPr>
    </w:p>
    <w:p w14:paraId="01C1B86A">
      <w:pPr>
        <w:jc w:val="left"/>
        <w:rPr>
          <w:rFonts w:ascii="宋体" w:hAnsi="宋体"/>
          <w:sz w:val="20"/>
          <w:szCs w:val="20"/>
        </w:rPr>
      </w:pPr>
    </w:p>
    <w:p w14:paraId="433ADBF3">
      <w:pPr>
        <w:jc w:val="left"/>
        <w:rPr>
          <w:rFonts w:ascii="宋体" w:hAnsi="宋体"/>
          <w:sz w:val="20"/>
          <w:szCs w:val="20"/>
        </w:rPr>
      </w:pPr>
    </w:p>
    <w:p w14:paraId="53FBD4B5">
      <w:pPr>
        <w:jc w:val="left"/>
        <w:rPr>
          <w:rFonts w:ascii="宋体" w:hAnsi="宋体"/>
          <w:sz w:val="20"/>
          <w:szCs w:val="20"/>
        </w:rPr>
      </w:pPr>
    </w:p>
    <w:p w14:paraId="178F20E1">
      <w:pPr>
        <w:jc w:val="left"/>
        <w:rPr>
          <w:rFonts w:ascii="宋体" w:hAnsi="宋体"/>
          <w:sz w:val="20"/>
          <w:szCs w:val="20"/>
        </w:rPr>
      </w:pPr>
    </w:p>
    <w:p w14:paraId="40E99253">
      <w:pPr>
        <w:jc w:val="left"/>
        <w:rPr>
          <w:rFonts w:ascii="宋体" w:hAnsi="宋体"/>
          <w:sz w:val="20"/>
          <w:szCs w:val="20"/>
        </w:rPr>
      </w:pPr>
    </w:p>
    <w:p w14:paraId="5470E2B8">
      <w:pPr>
        <w:jc w:val="left"/>
        <w:rPr>
          <w:rFonts w:ascii="宋体" w:hAnsi="宋体"/>
          <w:sz w:val="20"/>
          <w:szCs w:val="20"/>
        </w:rPr>
      </w:pPr>
    </w:p>
    <w:p w14:paraId="2A44EF06">
      <w:pPr>
        <w:jc w:val="left"/>
        <w:rPr>
          <w:rFonts w:ascii="宋体" w:hAnsi="宋体"/>
          <w:sz w:val="20"/>
          <w:szCs w:val="20"/>
        </w:rPr>
      </w:pPr>
    </w:p>
    <w:p w14:paraId="624ED2A8">
      <w:pPr>
        <w:jc w:val="left"/>
        <w:rPr>
          <w:rFonts w:ascii="宋体" w:hAnsi="宋体"/>
          <w:sz w:val="20"/>
          <w:szCs w:val="20"/>
        </w:rPr>
      </w:pPr>
    </w:p>
    <w:p w14:paraId="7869B6D2">
      <w:pPr>
        <w:jc w:val="left"/>
        <w:rPr>
          <w:rFonts w:ascii="宋体" w:hAnsi="宋体"/>
          <w:sz w:val="20"/>
          <w:szCs w:val="20"/>
        </w:rPr>
      </w:pPr>
    </w:p>
    <w:p w14:paraId="2F2F8347">
      <w:pPr>
        <w:spacing w:before="124" w:beforeLines="40"/>
        <w:jc w:val="center"/>
        <w:rPr>
          <w:rFonts w:ascii="宋体" w:hAnsi="宋体"/>
        </w:rPr>
      </w:pPr>
      <w:r>
        <w:rPr>
          <w:sz w:val="24"/>
          <w:szCs w:val="24"/>
        </w:rPr>
        <w:t>20</w:t>
      </w:r>
      <w:r>
        <w:rPr>
          <w:rFonts w:hint="eastAsia"/>
          <w:sz w:val="24"/>
          <w:szCs w:val="24"/>
        </w:rPr>
        <w:t>**</w:t>
      </w:r>
      <w:r>
        <w:rPr>
          <w:sz w:val="24"/>
          <w:szCs w:val="24"/>
        </w:rPr>
        <w:t xml:space="preserve">  </w:t>
      </w:r>
      <w:r>
        <w:rPr>
          <w:rFonts w:hint="eastAsia" w:ascii="黑体" w:hAnsi="黑体" w:eastAsia="黑体"/>
          <w:sz w:val="24"/>
          <w:szCs w:val="24"/>
        </w:rPr>
        <w:t>北 京</w:t>
      </w:r>
    </w:p>
    <w:p w14:paraId="31F43596">
      <w:pPr>
        <w:snapToGrid w:val="0"/>
        <w:spacing w:line="288" w:lineRule="auto"/>
        <w:rPr>
          <w:rFonts w:ascii="宋体" w:hAnsi="宋体"/>
          <w:sz w:val="20"/>
          <w:szCs w:val="20"/>
        </w:rPr>
      </w:pPr>
      <w:r>
        <w:rPr>
          <w:rFonts w:ascii="宋体" w:hAnsi="宋体"/>
          <w:sz w:val="20"/>
          <w:szCs w:val="20"/>
        </w:rPr>
        <w:br w:type="page"/>
      </w:r>
    </w:p>
    <w:p w14:paraId="75ACE2C9">
      <w:pPr>
        <w:pStyle w:val="27"/>
        <w:adjustRightInd w:val="0"/>
        <w:snapToGrid w:val="0"/>
        <w:spacing w:after="0" w:line="288" w:lineRule="auto"/>
        <w:ind w:left="0" w:leftChars="0" w:firstLine="400" w:firstLineChars="200"/>
        <w:rPr>
          <w:rFonts w:ascii="宋体" w:hAnsi="宋体"/>
          <w:sz w:val="20"/>
          <w:szCs w:val="20"/>
        </w:rPr>
      </w:pPr>
    </w:p>
    <w:p w14:paraId="144D44C5">
      <w:pPr>
        <w:pStyle w:val="27"/>
        <w:adjustRightInd w:val="0"/>
        <w:snapToGrid w:val="0"/>
        <w:spacing w:after="0" w:line="288" w:lineRule="auto"/>
        <w:ind w:left="0" w:leftChars="0"/>
        <w:jc w:val="center"/>
        <w:rPr>
          <w:rFonts w:ascii="黑体" w:hAnsi="黑体" w:eastAsia="黑体"/>
          <w:sz w:val="28"/>
          <w:szCs w:val="28"/>
        </w:rPr>
      </w:pPr>
      <w:r>
        <w:rPr>
          <w:rFonts w:hint="eastAsia" w:ascii="黑体" w:hAnsi="黑体" w:eastAsia="黑体"/>
          <w:sz w:val="28"/>
          <w:szCs w:val="28"/>
        </w:rPr>
        <w:t>前  言</w:t>
      </w:r>
    </w:p>
    <w:p w14:paraId="7A565651">
      <w:pPr>
        <w:pStyle w:val="27"/>
        <w:adjustRightInd w:val="0"/>
        <w:snapToGrid w:val="0"/>
        <w:spacing w:after="0" w:line="288" w:lineRule="auto"/>
        <w:ind w:left="0" w:leftChars="0" w:firstLine="400" w:firstLineChars="200"/>
        <w:rPr>
          <w:rFonts w:ascii="宋体" w:hAnsi="宋体"/>
          <w:sz w:val="20"/>
          <w:szCs w:val="20"/>
        </w:rPr>
      </w:pPr>
    </w:p>
    <w:p w14:paraId="66D97C02">
      <w:pPr>
        <w:pStyle w:val="279"/>
        <w:ind w:left="0" w:leftChars="0" w:right="0" w:rightChars="0" w:firstLine="400" w:firstLineChars="200"/>
        <w:rPr>
          <w:rFonts w:ascii="Times New Roman" w:hAnsi="Times New Roman" w:cs="Times New Roman"/>
          <w:color w:val="auto"/>
          <w:sz w:val="20"/>
          <w:szCs w:val="20"/>
        </w:rPr>
      </w:pPr>
      <w:r>
        <w:rPr>
          <w:rFonts w:ascii="Times New Roman" w:hAnsi="Times New Roman" w:cs="Times New Roman"/>
          <w:color w:val="auto"/>
          <w:sz w:val="20"/>
          <w:szCs w:val="20"/>
        </w:rPr>
        <w:t>根据北京市市场监督管理局《2024年北京市地方标准制定项目计划》（京市监发〔2024〕4号）的要求，标准编制组经广泛调查研究，认真总结实践经验，参考有关国内外先进标准，并在广泛征求意见的基础上，制定本标准。</w:t>
      </w:r>
    </w:p>
    <w:p w14:paraId="73F0F2A7">
      <w:pPr>
        <w:pStyle w:val="279"/>
        <w:ind w:left="0" w:leftChars="0" w:right="0" w:rightChars="0" w:firstLine="400" w:firstLineChars="200"/>
        <w:rPr>
          <w:rFonts w:ascii="Times New Roman" w:hAnsi="Times New Roman" w:cs="Times New Roman"/>
          <w:color w:val="auto"/>
          <w:sz w:val="20"/>
          <w:szCs w:val="20"/>
        </w:rPr>
      </w:pPr>
      <w:r>
        <w:rPr>
          <w:rFonts w:ascii="Times New Roman" w:hAnsi="Times New Roman" w:cs="Times New Roman"/>
          <w:color w:val="auto"/>
          <w:sz w:val="20"/>
          <w:szCs w:val="20"/>
        </w:rPr>
        <w:t>本标准的主要技术内容是：1总则；2术语；3基本规定；4施工准备；5顶进施工；6特殊工况顶管施工；7质量检验</w:t>
      </w:r>
      <w:r>
        <w:rPr>
          <w:rFonts w:hint="eastAsia" w:ascii="Times New Roman" w:hAnsi="Times New Roman" w:cs="Times New Roman"/>
          <w:color w:val="auto"/>
          <w:sz w:val="20"/>
          <w:szCs w:val="20"/>
        </w:rPr>
        <w:t>与验收</w:t>
      </w:r>
      <w:r>
        <w:rPr>
          <w:rFonts w:ascii="Times New Roman" w:hAnsi="Times New Roman" w:cs="Times New Roman"/>
          <w:color w:val="auto"/>
          <w:sz w:val="20"/>
          <w:szCs w:val="20"/>
        </w:rPr>
        <w:t>。</w:t>
      </w:r>
    </w:p>
    <w:p w14:paraId="37BB1DEF">
      <w:pPr>
        <w:pStyle w:val="279"/>
        <w:ind w:left="0" w:leftChars="0" w:right="0" w:rightChars="0" w:firstLine="400" w:firstLineChars="200"/>
        <w:rPr>
          <w:rFonts w:ascii="Times New Roman" w:hAnsi="Times New Roman" w:cs="Times New Roman"/>
          <w:color w:val="auto"/>
          <w:sz w:val="20"/>
          <w:szCs w:val="20"/>
        </w:rPr>
      </w:pPr>
      <w:r>
        <w:rPr>
          <w:rFonts w:ascii="Times New Roman" w:hAnsi="Times New Roman" w:cs="Times New Roman"/>
          <w:color w:val="auto"/>
          <w:sz w:val="20"/>
          <w:szCs w:val="20"/>
        </w:rPr>
        <w:t>本标准由北京市住房和城乡建设委员会和北京市市场监督管理局共同管理，北京市住房和城乡建设委员会归口、组织实施，并负责组织编制单位对具体技术内容进行解释。执行过程中如有意见或建议，请寄送北京市政建设集团有限责任公司（地址：北京市海淀区昌运宫17号市政大厦；邮政编码：100089；电话：010-68778088；电子邮箱：bjszjzb@126.com）。</w:t>
      </w:r>
    </w:p>
    <w:p w14:paraId="4DE3A5EA">
      <w:pPr>
        <w:pStyle w:val="279"/>
        <w:ind w:left="0" w:leftChars="0" w:right="0" w:rightChars="0" w:firstLine="400" w:firstLineChars="200"/>
        <w:rPr>
          <w:rFonts w:ascii="Times New Roman" w:hAnsi="Times New Roman" w:cs="Times New Roman"/>
          <w:color w:val="auto"/>
          <w:sz w:val="20"/>
          <w:szCs w:val="20"/>
        </w:rPr>
      </w:pPr>
      <w:r>
        <w:rPr>
          <w:rFonts w:ascii="Times New Roman" w:hAnsi="Times New Roman" w:cs="Times New Roman"/>
          <w:color w:val="auto"/>
          <w:sz w:val="20"/>
          <w:szCs w:val="20"/>
        </w:rPr>
        <w:t>本标准主编单位：北京市政建设集团有限责任公司</w:t>
      </w:r>
    </w:p>
    <w:p w14:paraId="2A813BDD">
      <w:pPr>
        <w:pStyle w:val="279"/>
        <w:ind w:left="0" w:leftChars="0" w:right="0" w:rightChars="0" w:firstLine="400" w:firstLineChars="200"/>
        <w:rPr>
          <w:rFonts w:hint="eastAsia" w:ascii="Times New Roman" w:hAnsi="Times New Roman" w:cs="Times New Roman"/>
          <w:color w:val="auto"/>
          <w:sz w:val="20"/>
          <w:szCs w:val="20"/>
        </w:rPr>
      </w:pPr>
      <w:r>
        <w:rPr>
          <w:rFonts w:ascii="Times New Roman" w:hAnsi="Times New Roman" w:cs="Times New Roman"/>
          <w:color w:val="auto"/>
          <w:sz w:val="20"/>
          <w:szCs w:val="20"/>
        </w:rPr>
        <w:t xml:space="preserve">                北京城建轨道交通建设工程有限公司</w:t>
      </w:r>
    </w:p>
    <w:p w14:paraId="015D5B22">
      <w:pPr>
        <w:pStyle w:val="279"/>
        <w:ind w:left="0" w:leftChars="0" w:right="0" w:rightChars="0" w:firstLine="2000" w:firstLineChars="1000"/>
        <w:rPr>
          <w:rFonts w:ascii="Times New Roman" w:hAnsi="Times New Roman" w:cs="Times New Roman"/>
          <w:color w:val="auto"/>
          <w:sz w:val="20"/>
          <w:szCs w:val="20"/>
        </w:rPr>
      </w:pPr>
      <w:r>
        <w:rPr>
          <w:rFonts w:ascii="Times New Roman" w:hAnsi="Times New Roman" w:cs="Times New Roman"/>
          <w:color w:val="auto"/>
          <w:sz w:val="20"/>
          <w:szCs w:val="20"/>
        </w:rPr>
        <w:t>中铁二十二局集团有限公司</w:t>
      </w:r>
    </w:p>
    <w:p w14:paraId="08285C94">
      <w:pPr>
        <w:pStyle w:val="279"/>
        <w:ind w:left="0" w:leftChars="0" w:right="0" w:rightChars="0" w:firstLine="400" w:firstLineChars="200"/>
        <w:rPr>
          <w:rFonts w:ascii="Times New Roman" w:hAnsi="Times New Roman" w:cs="Times New Roman"/>
          <w:color w:val="auto"/>
          <w:sz w:val="20"/>
          <w:szCs w:val="20"/>
        </w:rPr>
      </w:pPr>
      <w:r>
        <w:rPr>
          <w:rFonts w:ascii="Times New Roman" w:hAnsi="Times New Roman" w:cs="Times New Roman"/>
          <w:color w:val="auto"/>
          <w:sz w:val="20"/>
          <w:szCs w:val="20"/>
        </w:rPr>
        <w:t>本标准参编单位：北京市轨道交通建设管理有限公司</w:t>
      </w:r>
    </w:p>
    <w:p w14:paraId="19E8604A">
      <w:pPr>
        <w:pStyle w:val="279"/>
        <w:ind w:left="0" w:leftChars="0" w:right="0" w:rightChars="0" w:firstLine="2000" w:firstLineChars="1000"/>
        <w:rPr>
          <w:rFonts w:hint="eastAsia" w:ascii="Times New Roman" w:hAnsi="Times New Roman" w:cs="Times New Roman"/>
          <w:color w:val="auto"/>
          <w:sz w:val="20"/>
          <w:szCs w:val="20"/>
        </w:rPr>
      </w:pPr>
      <w:r>
        <w:rPr>
          <w:rFonts w:ascii="Times New Roman" w:hAnsi="Times New Roman" w:cs="Times New Roman"/>
          <w:color w:val="auto"/>
          <w:sz w:val="20"/>
          <w:szCs w:val="20"/>
        </w:rPr>
        <w:t>北京市建设工程安全质量监督总站</w:t>
      </w:r>
    </w:p>
    <w:p w14:paraId="4229563A">
      <w:pPr>
        <w:pStyle w:val="279"/>
        <w:ind w:left="0" w:leftChars="0" w:right="0" w:rightChars="0" w:firstLine="2000" w:firstLineChars="1000"/>
        <w:rPr>
          <w:rFonts w:ascii="Times New Roman" w:hAnsi="Times New Roman" w:cs="Times New Roman"/>
          <w:color w:val="auto"/>
          <w:sz w:val="20"/>
          <w:szCs w:val="20"/>
        </w:rPr>
      </w:pPr>
      <w:r>
        <w:rPr>
          <w:rFonts w:ascii="Times New Roman" w:hAnsi="Times New Roman" w:cs="Times New Roman"/>
          <w:color w:val="auto"/>
          <w:sz w:val="20"/>
          <w:szCs w:val="20"/>
        </w:rPr>
        <w:t>北京市市政四建设工程有限责任公司</w:t>
      </w:r>
    </w:p>
    <w:p w14:paraId="166BF79F">
      <w:pPr>
        <w:pStyle w:val="279"/>
        <w:ind w:left="0" w:leftChars="0" w:right="0" w:rightChars="0" w:firstLine="2000" w:firstLineChars="1000"/>
        <w:rPr>
          <w:rFonts w:ascii="Times New Roman" w:hAnsi="Times New Roman" w:cs="Times New Roman"/>
          <w:color w:val="auto"/>
          <w:sz w:val="20"/>
          <w:szCs w:val="20"/>
        </w:rPr>
      </w:pPr>
      <w:r>
        <w:rPr>
          <w:rFonts w:ascii="Times New Roman" w:hAnsi="Times New Roman" w:cs="Times New Roman"/>
          <w:color w:val="auto"/>
          <w:sz w:val="20"/>
          <w:szCs w:val="20"/>
        </w:rPr>
        <w:t>北京住总集团有限责任公司</w:t>
      </w:r>
    </w:p>
    <w:p w14:paraId="4457C40B">
      <w:pPr>
        <w:pStyle w:val="279"/>
        <w:ind w:left="0" w:leftChars="0" w:right="0" w:rightChars="0" w:firstLine="2000" w:firstLineChars="1000"/>
        <w:rPr>
          <w:rFonts w:ascii="Times New Roman" w:hAnsi="Times New Roman" w:cs="Times New Roman"/>
          <w:color w:val="auto"/>
          <w:sz w:val="20"/>
          <w:szCs w:val="20"/>
        </w:rPr>
      </w:pPr>
      <w:r>
        <w:rPr>
          <w:rFonts w:ascii="Times New Roman" w:hAnsi="Times New Roman" w:cs="Times New Roman"/>
          <w:color w:val="auto"/>
          <w:sz w:val="20"/>
          <w:szCs w:val="20"/>
        </w:rPr>
        <w:t>北京城建设计发展集团股份有限公司</w:t>
      </w:r>
    </w:p>
    <w:p w14:paraId="6E75940E">
      <w:pPr>
        <w:pStyle w:val="279"/>
        <w:ind w:left="0" w:leftChars="0" w:right="0" w:rightChars="0" w:firstLine="2000" w:firstLineChars="1000"/>
        <w:rPr>
          <w:rFonts w:ascii="Times New Roman" w:hAnsi="Times New Roman" w:cs="Times New Roman"/>
          <w:color w:val="auto"/>
          <w:sz w:val="20"/>
          <w:szCs w:val="20"/>
        </w:rPr>
      </w:pPr>
      <w:r>
        <w:rPr>
          <w:rFonts w:ascii="Times New Roman" w:hAnsi="Times New Roman" w:cs="Times New Roman"/>
          <w:color w:val="auto"/>
          <w:sz w:val="20"/>
          <w:szCs w:val="20"/>
        </w:rPr>
        <w:t>广州金土岩土工程技术有限公司</w:t>
      </w:r>
    </w:p>
    <w:p w14:paraId="51595752">
      <w:pPr>
        <w:pStyle w:val="279"/>
        <w:ind w:left="0" w:leftChars="0" w:right="0" w:rightChars="0" w:firstLine="400" w:firstLineChars="200"/>
        <w:rPr>
          <w:rFonts w:ascii="Times New Roman" w:hAnsi="Times New Roman" w:cs="Times New Roman"/>
          <w:color w:val="auto"/>
          <w:sz w:val="20"/>
          <w:szCs w:val="20"/>
        </w:rPr>
      </w:pPr>
      <w:r>
        <w:rPr>
          <w:rFonts w:ascii="Times New Roman" w:hAnsi="Times New Roman" w:cs="Times New Roman"/>
          <w:color w:val="auto"/>
          <w:sz w:val="20"/>
          <w:szCs w:val="20"/>
        </w:rPr>
        <w:t>本标准主要起草人员：xxx  xxx  x  x  x  x</w:t>
      </w:r>
    </w:p>
    <w:p w14:paraId="435B1419">
      <w:pPr>
        <w:pStyle w:val="279"/>
        <w:ind w:left="0" w:leftChars="0" w:right="0" w:rightChars="0" w:firstLine="400" w:firstLineChars="200"/>
        <w:rPr>
          <w:rFonts w:ascii="Times New Roman" w:hAnsi="Times New Roman" w:cs="Times New Roman"/>
          <w:color w:val="auto"/>
          <w:sz w:val="20"/>
          <w:szCs w:val="20"/>
        </w:rPr>
      </w:pPr>
      <w:r>
        <w:rPr>
          <w:rFonts w:ascii="Times New Roman" w:hAnsi="Times New Roman" w:cs="Times New Roman"/>
          <w:color w:val="auto"/>
          <w:sz w:val="20"/>
          <w:szCs w:val="20"/>
        </w:rPr>
        <w:t>本</w:t>
      </w:r>
      <w:r>
        <w:rPr>
          <w:rFonts w:hint="eastAsia" w:ascii="Times New Roman" w:hAnsi="Times New Roman" w:cs="Times New Roman"/>
          <w:color w:val="auto"/>
          <w:sz w:val="20"/>
          <w:szCs w:val="20"/>
        </w:rPr>
        <w:t>标准</w:t>
      </w:r>
      <w:r>
        <w:rPr>
          <w:rFonts w:ascii="Times New Roman" w:hAnsi="Times New Roman" w:cs="Times New Roman"/>
          <w:color w:val="auto"/>
          <w:sz w:val="20"/>
          <w:szCs w:val="20"/>
        </w:rPr>
        <w:t>主要审查人员</w:t>
      </w:r>
      <w:r>
        <w:rPr>
          <w:rFonts w:hint="eastAsia" w:ascii="Times New Roman" w:hAnsi="Times New Roman" w:cs="Times New Roman"/>
          <w:color w:val="auto"/>
          <w:sz w:val="20"/>
          <w:szCs w:val="20"/>
        </w:rPr>
        <w:t>：xxx  xxx  x  x  x  x</w:t>
      </w:r>
    </w:p>
    <w:p w14:paraId="3415332F">
      <w:pPr>
        <w:autoSpaceDE w:val="0"/>
        <w:autoSpaceDN w:val="0"/>
        <w:snapToGrid w:val="0"/>
        <w:spacing w:line="283" w:lineRule="auto"/>
        <w:ind w:firstLine="2400" w:firstLineChars="1200"/>
        <w:rPr>
          <w:rFonts w:ascii="宋体" w:hAnsi="宋体"/>
          <w:sz w:val="20"/>
          <w:szCs w:val="20"/>
        </w:rPr>
      </w:pPr>
    </w:p>
    <w:p w14:paraId="25DBE4FE">
      <w:pPr>
        <w:autoSpaceDE w:val="0"/>
        <w:autoSpaceDN w:val="0"/>
        <w:snapToGrid w:val="0"/>
        <w:spacing w:line="283" w:lineRule="auto"/>
        <w:ind w:firstLine="2400" w:firstLineChars="1200"/>
        <w:rPr>
          <w:rFonts w:ascii="宋体" w:hAnsi="宋体"/>
          <w:sz w:val="20"/>
          <w:szCs w:val="20"/>
        </w:rPr>
      </w:pPr>
    </w:p>
    <w:p w14:paraId="6FB3F633">
      <w:pPr>
        <w:autoSpaceDE w:val="0"/>
        <w:autoSpaceDN w:val="0"/>
        <w:snapToGrid w:val="0"/>
        <w:spacing w:line="283" w:lineRule="auto"/>
        <w:ind w:firstLine="2400" w:firstLineChars="1200"/>
        <w:rPr>
          <w:rFonts w:ascii="宋体" w:hAnsi="宋体"/>
          <w:sz w:val="20"/>
          <w:szCs w:val="20"/>
        </w:rPr>
      </w:pPr>
    </w:p>
    <w:p w14:paraId="1B5FDE4F">
      <w:pPr>
        <w:autoSpaceDE w:val="0"/>
        <w:autoSpaceDN w:val="0"/>
        <w:snapToGrid w:val="0"/>
        <w:spacing w:line="283" w:lineRule="auto"/>
        <w:ind w:firstLine="2400" w:firstLineChars="1200"/>
        <w:rPr>
          <w:rFonts w:ascii="宋体" w:hAnsi="宋体"/>
          <w:sz w:val="20"/>
          <w:szCs w:val="20"/>
        </w:rPr>
      </w:pPr>
    </w:p>
    <w:p w14:paraId="59CF45F8">
      <w:pPr>
        <w:autoSpaceDE w:val="0"/>
        <w:autoSpaceDN w:val="0"/>
        <w:snapToGrid w:val="0"/>
        <w:spacing w:line="283" w:lineRule="auto"/>
        <w:ind w:firstLine="2400" w:firstLineChars="1200"/>
        <w:rPr>
          <w:rFonts w:ascii="宋体" w:hAnsi="宋体"/>
          <w:sz w:val="20"/>
          <w:szCs w:val="20"/>
        </w:rPr>
      </w:pPr>
    </w:p>
    <w:p w14:paraId="033B6F2B">
      <w:pPr>
        <w:autoSpaceDE w:val="0"/>
        <w:autoSpaceDN w:val="0"/>
        <w:snapToGrid w:val="0"/>
        <w:spacing w:line="283" w:lineRule="auto"/>
        <w:ind w:firstLine="2400" w:firstLineChars="1200"/>
        <w:rPr>
          <w:rFonts w:ascii="宋体" w:hAnsi="宋体"/>
          <w:sz w:val="20"/>
          <w:szCs w:val="20"/>
        </w:rPr>
      </w:pPr>
    </w:p>
    <w:p w14:paraId="40AC8376">
      <w:pPr>
        <w:autoSpaceDE w:val="0"/>
        <w:autoSpaceDN w:val="0"/>
        <w:snapToGrid w:val="0"/>
        <w:spacing w:line="283" w:lineRule="auto"/>
        <w:ind w:firstLine="2400" w:firstLineChars="1200"/>
        <w:rPr>
          <w:rFonts w:ascii="宋体" w:hAnsi="宋体"/>
          <w:sz w:val="20"/>
          <w:szCs w:val="20"/>
        </w:rPr>
      </w:pPr>
    </w:p>
    <w:p w14:paraId="2E4E2B73">
      <w:pPr>
        <w:autoSpaceDE w:val="0"/>
        <w:autoSpaceDN w:val="0"/>
        <w:snapToGrid w:val="0"/>
        <w:spacing w:line="283" w:lineRule="auto"/>
        <w:ind w:firstLine="2400" w:firstLineChars="1200"/>
        <w:rPr>
          <w:rFonts w:ascii="宋体" w:hAnsi="宋体"/>
          <w:sz w:val="20"/>
          <w:szCs w:val="20"/>
        </w:rPr>
      </w:pPr>
    </w:p>
    <w:p w14:paraId="611F411A">
      <w:pPr>
        <w:autoSpaceDE w:val="0"/>
        <w:autoSpaceDN w:val="0"/>
        <w:snapToGrid w:val="0"/>
        <w:spacing w:line="283" w:lineRule="auto"/>
        <w:ind w:firstLine="2400" w:firstLineChars="1200"/>
        <w:rPr>
          <w:rFonts w:ascii="宋体" w:hAnsi="宋体"/>
          <w:sz w:val="20"/>
          <w:szCs w:val="20"/>
        </w:rPr>
      </w:pPr>
    </w:p>
    <w:p w14:paraId="089CE229">
      <w:pPr>
        <w:autoSpaceDE w:val="0"/>
        <w:autoSpaceDN w:val="0"/>
        <w:snapToGrid w:val="0"/>
        <w:spacing w:line="283" w:lineRule="auto"/>
        <w:ind w:firstLine="2400" w:firstLineChars="1200"/>
        <w:rPr>
          <w:rFonts w:ascii="宋体" w:hAnsi="宋体"/>
          <w:sz w:val="20"/>
          <w:szCs w:val="20"/>
        </w:rPr>
      </w:pPr>
    </w:p>
    <w:p w14:paraId="20CBDB59">
      <w:pPr>
        <w:pStyle w:val="299"/>
        <w:outlineLvl w:val="3"/>
        <w:rPr>
          <w:rFonts w:ascii="宋体" w:hAnsi="宋体"/>
          <w:sz w:val="20"/>
          <w:szCs w:val="20"/>
        </w:rPr>
      </w:pPr>
      <w:r>
        <w:rPr>
          <w:rFonts w:hint="eastAsia" w:hAnsi="黑体"/>
        </w:rPr>
        <w:br w:type="page"/>
      </w:r>
    </w:p>
    <w:p w14:paraId="671CBAF7">
      <w:pPr>
        <w:pStyle w:val="27"/>
        <w:autoSpaceDE w:val="0"/>
        <w:autoSpaceDN w:val="0"/>
        <w:adjustRightInd w:val="0"/>
        <w:snapToGrid w:val="0"/>
        <w:spacing w:after="0" w:line="288" w:lineRule="auto"/>
        <w:ind w:left="0" w:leftChars="0" w:firstLine="400" w:firstLineChars="200"/>
        <w:rPr>
          <w:rFonts w:ascii="宋体" w:hAnsi="宋体"/>
          <w:sz w:val="20"/>
          <w:szCs w:val="20"/>
        </w:rPr>
      </w:pPr>
    </w:p>
    <w:p w14:paraId="6EEE343B">
      <w:pPr>
        <w:pStyle w:val="27"/>
        <w:autoSpaceDE w:val="0"/>
        <w:autoSpaceDN w:val="0"/>
        <w:adjustRightInd w:val="0"/>
        <w:snapToGrid w:val="0"/>
        <w:spacing w:after="0" w:line="288" w:lineRule="auto"/>
        <w:ind w:left="0" w:leftChars="0"/>
        <w:jc w:val="center"/>
        <w:rPr>
          <w:rFonts w:ascii="仿宋_GB2312" w:hAnsi="宋体" w:eastAsia="仿宋_GB2312"/>
          <w:sz w:val="26"/>
          <w:szCs w:val="26"/>
        </w:rPr>
      </w:pPr>
      <w:r>
        <w:rPr>
          <w:rFonts w:hint="eastAsia" w:ascii="仿宋_GB2312" w:hAnsi="宋体" w:eastAsia="仿宋_GB2312"/>
          <w:sz w:val="32"/>
          <w:szCs w:val="32"/>
        </w:rPr>
        <w:t>目  次</w:t>
      </w:r>
    </w:p>
    <w:p w14:paraId="0D3597CE">
      <w:pPr>
        <w:pStyle w:val="31"/>
        <w:tabs>
          <w:tab w:val="right" w:leader="middleDot" w:pos="9060"/>
        </w:tabs>
        <w:adjustRightInd w:val="0"/>
        <w:snapToGrid w:val="0"/>
        <w:spacing w:before="0" w:after="0" w:line="288" w:lineRule="auto"/>
        <w:rPr>
          <w:rFonts w:ascii="Times New Roman" w:hAnsi="Times New Roman" w:cs="Times New Roman" w:eastAsiaTheme="minorEastAsia"/>
          <w:b w:val="0"/>
          <w:bCs w:val="0"/>
          <w:caps w:val="0"/>
        </w:rPr>
      </w:pPr>
      <w:r>
        <w:rPr>
          <w:rFonts w:ascii="Times New Roman" w:hAnsi="Times New Roman" w:cs="Times New Roman" w:eastAsiaTheme="minorEastAsia"/>
          <w:b w:val="0"/>
          <w:bCs w:val="0"/>
          <w:kern w:val="0"/>
        </w:rPr>
        <w:fldChar w:fldCharType="begin"/>
      </w:r>
      <w:r>
        <w:rPr>
          <w:rFonts w:ascii="Times New Roman" w:hAnsi="Times New Roman" w:cs="Times New Roman" w:eastAsiaTheme="minorEastAsia"/>
          <w:b w:val="0"/>
          <w:bCs w:val="0"/>
          <w:kern w:val="0"/>
        </w:rPr>
        <w:instrText xml:space="preserve"> TOC \o "1-2" \h \z \u </w:instrText>
      </w:r>
      <w:r>
        <w:rPr>
          <w:rFonts w:ascii="Times New Roman" w:hAnsi="Times New Roman" w:cs="Times New Roman" w:eastAsiaTheme="minorEastAsia"/>
          <w:b w:val="0"/>
          <w:bCs w:val="0"/>
          <w:kern w:val="0"/>
        </w:rPr>
        <w:fldChar w:fldCharType="separate"/>
      </w:r>
      <w:r>
        <w:fldChar w:fldCharType="begin"/>
      </w:r>
      <w:r>
        <w:instrText xml:space="preserve"> HYPERLINK \l "_Toc188612048" </w:instrText>
      </w:r>
      <w:r>
        <w:fldChar w:fldCharType="separate"/>
      </w:r>
      <w:r>
        <w:rPr>
          <w:rStyle w:val="54"/>
          <w:rFonts w:ascii="Times New Roman" w:hAnsi="Times New Roman" w:cs="Times New Roman" w:eastAsiaTheme="minorEastAsia"/>
          <w:color w:val="auto"/>
          <w:kern w:val="44"/>
        </w:rPr>
        <w:t>1  总  则</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_Toc188612048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70ACBB6E">
      <w:pPr>
        <w:pStyle w:val="31"/>
        <w:tabs>
          <w:tab w:val="right" w:leader="middleDot" w:pos="9060"/>
        </w:tabs>
        <w:adjustRightInd w:val="0"/>
        <w:snapToGrid w:val="0"/>
        <w:spacing w:before="0" w:after="0" w:line="288" w:lineRule="auto"/>
        <w:rPr>
          <w:rFonts w:ascii="Times New Roman" w:hAnsi="Times New Roman" w:cs="Times New Roman" w:eastAsiaTheme="minorEastAsia"/>
          <w:b w:val="0"/>
          <w:bCs w:val="0"/>
          <w:caps w:val="0"/>
        </w:rPr>
      </w:pPr>
      <w:r>
        <w:fldChar w:fldCharType="begin"/>
      </w:r>
      <w:r>
        <w:instrText xml:space="preserve"> HYPERLINK \l "_Toc188612049" </w:instrText>
      </w:r>
      <w:r>
        <w:fldChar w:fldCharType="separate"/>
      </w:r>
      <w:r>
        <w:rPr>
          <w:rStyle w:val="54"/>
          <w:rFonts w:ascii="Times New Roman" w:hAnsi="Times New Roman" w:cs="Times New Roman" w:eastAsiaTheme="minorEastAsia"/>
          <w:color w:val="auto"/>
          <w:kern w:val="44"/>
        </w:rPr>
        <w:t>2  术  语</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_Toc188612049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5CF73D35">
      <w:pPr>
        <w:pStyle w:val="31"/>
        <w:tabs>
          <w:tab w:val="right" w:leader="middleDot" w:pos="9060"/>
        </w:tabs>
        <w:adjustRightInd w:val="0"/>
        <w:snapToGrid w:val="0"/>
        <w:spacing w:before="0" w:after="0" w:line="288" w:lineRule="auto"/>
        <w:rPr>
          <w:rFonts w:ascii="Times New Roman" w:hAnsi="Times New Roman" w:cs="Times New Roman" w:eastAsiaTheme="minorEastAsia"/>
          <w:b w:val="0"/>
          <w:bCs w:val="0"/>
          <w:caps w:val="0"/>
        </w:rPr>
      </w:pPr>
      <w:r>
        <w:fldChar w:fldCharType="begin"/>
      </w:r>
      <w:r>
        <w:instrText xml:space="preserve"> HYPERLINK \l "_Toc188612050" </w:instrText>
      </w:r>
      <w:r>
        <w:fldChar w:fldCharType="separate"/>
      </w:r>
      <w:r>
        <w:rPr>
          <w:rStyle w:val="54"/>
          <w:rFonts w:ascii="Times New Roman" w:hAnsi="Times New Roman" w:cs="Times New Roman" w:eastAsiaTheme="minorEastAsia"/>
          <w:color w:val="auto"/>
          <w:kern w:val="44"/>
        </w:rPr>
        <w:t>3  基本规定</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_Toc188612050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3</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39DC2A6E">
      <w:pPr>
        <w:pStyle w:val="31"/>
        <w:tabs>
          <w:tab w:val="right" w:leader="middleDot" w:pos="9060"/>
        </w:tabs>
        <w:adjustRightInd w:val="0"/>
        <w:snapToGrid w:val="0"/>
        <w:spacing w:before="0" w:after="0" w:line="288" w:lineRule="auto"/>
        <w:rPr>
          <w:rFonts w:ascii="Times New Roman" w:hAnsi="Times New Roman" w:cs="Times New Roman" w:eastAsiaTheme="minorEastAsia"/>
          <w:b w:val="0"/>
          <w:bCs w:val="0"/>
          <w:caps w:val="0"/>
        </w:rPr>
      </w:pPr>
      <w:r>
        <w:fldChar w:fldCharType="begin"/>
      </w:r>
      <w:r>
        <w:instrText xml:space="preserve"> HYPERLINK \l "_Toc188612051" </w:instrText>
      </w:r>
      <w:r>
        <w:fldChar w:fldCharType="separate"/>
      </w:r>
      <w:r>
        <w:rPr>
          <w:rStyle w:val="54"/>
          <w:rFonts w:ascii="Times New Roman" w:hAnsi="Times New Roman" w:cs="Times New Roman" w:eastAsiaTheme="minorEastAsia"/>
          <w:color w:val="auto"/>
          <w:kern w:val="44"/>
        </w:rPr>
        <w:t>4  施工准备</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_Toc188612051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4</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0492726D">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"_Toc188612052" </w:instrText>
      </w:r>
      <w:r>
        <w:fldChar w:fldCharType="separate"/>
      </w:r>
      <w:r>
        <w:rPr>
          <w:rStyle w:val="54"/>
          <w:rFonts w:ascii="Times New Roman" w:hAnsi="Times New Roman" w:cs="Times New Roman" w:eastAsiaTheme="minorEastAsia"/>
          <w:color w:val="auto"/>
        </w:rPr>
        <w:t>4.1  一般规定</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_Toc188612052 \h </w:instrText>
      </w:r>
      <w:r>
        <w:rPr>
          <w:rFonts w:ascii="Times New Roman" w:hAnsi="Times New Roman" w:cs="Times New Roman" w:eastAsiaTheme="minorEastAsia"/>
        </w:rPr>
        <w:fldChar w:fldCharType="separate"/>
      </w:r>
      <w:r>
        <w:rPr>
          <w:rFonts w:ascii="Times New Roman" w:hAnsi="Times New Roman" w:cs="Times New Roman" w:eastAsiaTheme="minorEastAsia"/>
        </w:rPr>
        <w:t>4</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3791B981">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"_Toc188612053" </w:instrText>
      </w:r>
      <w:r>
        <w:fldChar w:fldCharType="separate"/>
      </w:r>
      <w:r>
        <w:rPr>
          <w:rStyle w:val="54"/>
          <w:rFonts w:ascii="Times New Roman" w:hAnsi="Times New Roman" w:cs="Times New Roman" w:eastAsiaTheme="minorEastAsia"/>
          <w:color w:val="auto"/>
        </w:rPr>
        <w:t>4.2  前期调查</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_Toc188612053 \h </w:instrText>
      </w:r>
      <w:r>
        <w:rPr>
          <w:rFonts w:ascii="Times New Roman" w:hAnsi="Times New Roman" w:cs="Times New Roman" w:eastAsiaTheme="minorEastAsia"/>
        </w:rPr>
        <w:fldChar w:fldCharType="separate"/>
      </w:r>
      <w:r>
        <w:rPr>
          <w:rFonts w:ascii="Times New Roman" w:hAnsi="Times New Roman" w:cs="Times New Roman" w:eastAsiaTheme="minorEastAsia"/>
        </w:rPr>
        <w:t>4</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618098FD">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"_Toc188612054" </w:instrText>
      </w:r>
      <w:r>
        <w:fldChar w:fldCharType="separate"/>
      </w:r>
      <w:r>
        <w:rPr>
          <w:rStyle w:val="54"/>
          <w:rFonts w:ascii="Times New Roman" w:hAnsi="Times New Roman" w:cs="Times New Roman" w:eastAsiaTheme="minorEastAsia"/>
          <w:color w:val="auto"/>
        </w:rPr>
        <w:t>4.3  技术准备</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_Toc188612054 \h </w:instrText>
      </w:r>
      <w:r>
        <w:rPr>
          <w:rFonts w:ascii="Times New Roman" w:hAnsi="Times New Roman" w:cs="Times New Roman" w:eastAsiaTheme="minorEastAsia"/>
        </w:rPr>
        <w:fldChar w:fldCharType="separate"/>
      </w:r>
      <w:r>
        <w:rPr>
          <w:rFonts w:ascii="Times New Roman" w:hAnsi="Times New Roman" w:cs="Times New Roman" w:eastAsiaTheme="minorEastAsia"/>
        </w:rPr>
        <w:t>4</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2803E26A">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"_Toc188612055" </w:instrText>
      </w:r>
      <w:r>
        <w:fldChar w:fldCharType="separate"/>
      </w:r>
      <w:r>
        <w:rPr>
          <w:rStyle w:val="54"/>
          <w:rFonts w:ascii="Times New Roman" w:hAnsi="Times New Roman" w:cs="Times New Roman" w:eastAsiaTheme="minorEastAsia"/>
          <w:color w:val="auto"/>
        </w:rPr>
        <w:t>4.4 顶管机选型与配置</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_Toc188612055 \h </w:instrText>
      </w:r>
      <w:r>
        <w:rPr>
          <w:rFonts w:ascii="Times New Roman" w:hAnsi="Times New Roman" w:cs="Times New Roman" w:eastAsiaTheme="minorEastAsia"/>
        </w:rPr>
        <w:fldChar w:fldCharType="separate"/>
      </w:r>
      <w:r>
        <w:rPr>
          <w:rFonts w:ascii="Times New Roman" w:hAnsi="Times New Roman" w:cs="Times New Roman" w:eastAsiaTheme="minorEastAsia"/>
        </w:rPr>
        <w:t>4</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4C8C7623">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"_Toc188612056" </w:instrText>
      </w:r>
      <w:r>
        <w:fldChar w:fldCharType="separate"/>
      </w:r>
      <w:r>
        <w:rPr>
          <w:rStyle w:val="54"/>
          <w:rFonts w:ascii="Times New Roman" w:hAnsi="Times New Roman" w:cs="Times New Roman" w:eastAsiaTheme="minorEastAsia"/>
          <w:color w:val="auto"/>
        </w:rPr>
        <w:t>4.5  工作井</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_Toc188612056 \h </w:instrText>
      </w:r>
      <w:r>
        <w:rPr>
          <w:rFonts w:ascii="Times New Roman" w:hAnsi="Times New Roman" w:cs="Times New Roman" w:eastAsiaTheme="minorEastAsia"/>
        </w:rPr>
        <w:fldChar w:fldCharType="separate"/>
      </w:r>
      <w:r>
        <w:rPr>
          <w:rFonts w:ascii="Times New Roman" w:hAnsi="Times New Roman" w:cs="Times New Roman" w:eastAsiaTheme="minorEastAsia"/>
        </w:rPr>
        <w:t>5</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29D06BCB">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"_Toc188612057" </w:instrText>
      </w:r>
      <w:r>
        <w:fldChar w:fldCharType="separate"/>
      </w:r>
      <w:r>
        <w:rPr>
          <w:rStyle w:val="54"/>
          <w:rFonts w:ascii="Times New Roman" w:hAnsi="Times New Roman" w:cs="Times New Roman" w:eastAsiaTheme="minorEastAsia"/>
          <w:color w:val="auto"/>
        </w:rPr>
        <w:t>4.6  顶力、后背计算</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_Toc188612057 \h </w:instrText>
      </w:r>
      <w:r>
        <w:rPr>
          <w:rFonts w:ascii="Times New Roman" w:hAnsi="Times New Roman" w:cs="Times New Roman" w:eastAsiaTheme="minorEastAsia"/>
        </w:rPr>
        <w:fldChar w:fldCharType="separate"/>
      </w:r>
      <w:r>
        <w:rPr>
          <w:rFonts w:ascii="Times New Roman" w:hAnsi="Times New Roman" w:cs="Times New Roman" w:eastAsiaTheme="minorEastAsia"/>
        </w:rPr>
        <w:t>6</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045CC84D">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"_Toc188612058" </w:instrText>
      </w:r>
      <w:r>
        <w:fldChar w:fldCharType="separate"/>
      </w:r>
      <w:r>
        <w:rPr>
          <w:rStyle w:val="54"/>
          <w:rFonts w:ascii="Times New Roman" w:hAnsi="Times New Roman" w:cs="Times New Roman" w:eastAsiaTheme="minorEastAsia"/>
          <w:color w:val="auto"/>
        </w:rPr>
        <w:t>4.7  顶管机组装与调试</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_Toc188612058 \h </w:instrText>
      </w:r>
      <w:r>
        <w:rPr>
          <w:rFonts w:ascii="Times New Roman" w:hAnsi="Times New Roman" w:cs="Times New Roman" w:eastAsiaTheme="minorEastAsia"/>
        </w:rPr>
        <w:fldChar w:fldCharType="separate"/>
      </w:r>
      <w:r>
        <w:rPr>
          <w:rFonts w:ascii="Times New Roman" w:hAnsi="Times New Roman" w:cs="Times New Roman" w:eastAsiaTheme="minorEastAsia"/>
        </w:rPr>
        <w:t>7</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399885FF">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"_Toc188612059" </w:instrText>
      </w:r>
      <w:r>
        <w:fldChar w:fldCharType="separate"/>
      </w:r>
      <w:r>
        <w:rPr>
          <w:rStyle w:val="54"/>
          <w:rFonts w:ascii="Times New Roman" w:hAnsi="Times New Roman" w:cs="Times New Roman" w:eastAsiaTheme="minorEastAsia"/>
          <w:color w:val="auto"/>
        </w:rPr>
        <w:t>4.8  辅助设备设施</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_Toc188612059 \h </w:instrText>
      </w:r>
      <w:r>
        <w:rPr>
          <w:rFonts w:ascii="Times New Roman" w:hAnsi="Times New Roman" w:cs="Times New Roman" w:eastAsiaTheme="minorEastAsia"/>
        </w:rPr>
        <w:fldChar w:fldCharType="separate"/>
      </w:r>
      <w:r>
        <w:rPr>
          <w:rFonts w:ascii="Times New Roman" w:hAnsi="Times New Roman" w:cs="Times New Roman" w:eastAsiaTheme="minorEastAsia"/>
        </w:rPr>
        <w:t>8</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60720415">
      <w:pPr>
        <w:pStyle w:val="31"/>
        <w:tabs>
          <w:tab w:val="right" w:leader="middleDot" w:pos="9060"/>
        </w:tabs>
        <w:adjustRightInd w:val="0"/>
        <w:snapToGrid w:val="0"/>
        <w:spacing w:before="0" w:after="0" w:line="288" w:lineRule="auto"/>
        <w:rPr>
          <w:rFonts w:ascii="Times New Roman" w:hAnsi="Times New Roman" w:cs="Times New Roman" w:eastAsiaTheme="minorEastAsia"/>
          <w:b w:val="0"/>
          <w:bCs w:val="0"/>
          <w:caps w:val="0"/>
        </w:rPr>
      </w:pPr>
      <w:r>
        <w:fldChar w:fldCharType="begin"/>
      </w:r>
      <w:r>
        <w:instrText xml:space="preserve"> HYPERLINK \l "_Toc188612061" </w:instrText>
      </w:r>
      <w:r>
        <w:fldChar w:fldCharType="separate"/>
      </w:r>
      <w:r>
        <w:rPr>
          <w:rStyle w:val="54"/>
          <w:rFonts w:ascii="Times New Roman" w:hAnsi="Times New Roman" w:cs="Times New Roman" w:eastAsiaTheme="minorEastAsia"/>
          <w:color w:val="auto"/>
          <w:kern w:val="44"/>
        </w:rPr>
        <w:t>5  顶进施工</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_Toc188612061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9</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6B8EBBB2">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"_Toc188612062" </w:instrText>
      </w:r>
      <w:r>
        <w:fldChar w:fldCharType="separate"/>
      </w:r>
      <w:r>
        <w:rPr>
          <w:rStyle w:val="54"/>
          <w:rFonts w:ascii="Times New Roman" w:hAnsi="Times New Roman" w:cs="Times New Roman" w:eastAsiaTheme="minorEastAsia"/>
          <w:color w:val="auto"/>
        </w:rPr>
        <w:t>5.1  一般规定</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_Toc188612062 \h </w:instrText>
      </w:r>
      <w:r>
        <w:rPr>
          <w:rFonts w:ascii="Times New Roman" w:hAnsi="Times New Roman" w:cs="Times New Roman" w:eastAsiaTheme="minorEastAsia"/>
        </w:rPr>
        <w:fldChar w:fldCharType="separate"/>
      </w:r>
      <w:r>
        <w:rPr>
          <w:rFonts w:ascii="Times New Roman" w:hAnsi="Times New Roman" w:cs="Times New Roman" w:eastAsiaTheme="minorEastAsia"/>
        </w:rPr>
        <w:t>9</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13C058A7">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"_Toc188612063" </w:instrText>
      </w:r>
      <w:r>
        <w:fldChar w:fldCharType="separate"/>
      </w:r>
      <w:r>
        <w:rPr>
          <w:rStyle w:val="54"/>
          <w:rFonts w:ascii="Times New Roman" w:hAnsi="Times New Roman" w:cs="Times New Roman" w:eastAsiaTheme="minorEastAsia"/>
          <w:color w:val="auto"/>
        </w:rPr>
        <w:t>5.2  始发与接收</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_Toc188612063 \h </w:instrText>
      </w:r>
      <w:r>
        <w:rPr>
          <w:rFonts w:ascii="Times New Roman" w:hAnsi="Times New Roman" w:cs="Times New Roman" w:eastAsiaTheme="minorEastAsia"/>
        </w:rPr>
        <w:fldChar w:fldCharType="separate"/>
      </w:r>
      <w:r>
        <w:rPr>
          <w:rFonts w:ascii="Times New Roman" w:hAnsi="Times New Roman" w:cs="Times New Roman" w:eastAsiaTheme="minorEastAsia"/>
        </w:rPr>
        <w:t>9</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0B768EF0">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"_Toc188612064" </w:instrText>
      </w:r>
      <w:r>
        <w:fldChar w:fldCharType="separate"/>
      </w:r>
      <w:r>
        <w:rPr>
          <w:rStyle w:val="54"/>
          <w:rFonts w:ascii="Times New Roman" w:hAnsi="Times New Roman" w:cs="Times New Roman" w:eastAsiaTheme="minorEastAsia"/>
          <w:color w:val="auto"/>
        </w:rPr>
        <w:t>5.3  顶  进</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_Toc188612064 \h </w:instrText>
      </w:r>
      <w:r>
        <w:rPr>
          <w:rFonts w:ascii="Times New Roman" w:hAnsi="Times New Roman" w:cs="Times New Roman" w:eastAsiaTheme="minorEastAsia"/>
        </w:rPr>
        <w:fldChar w:fldCharType="separate"/>
      </w:r>
      <w:r>
        <w:rPr>
          <w:rFonts w:ascii="Times New Roman" w:hAnsi="Times New Roman" w:cs="Times New Roman" w:eastAsiaTheme="minorEastAsia"/>
        </w:rPr>
        <w:t>10</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46A1A6A8">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"_Toc188612065" </w:instrText>
      </w:r>
      <w:r>
        <w:fldChar w:fldCharType="separate"/>
      </w:r>
      <w:r>
        <w:rPr>
          <w:rStyle w:val="54"/>
          <w:rFonts w:ascii="Times New Roman" w:hAnsi="Times New Roman" w:cs="Times New Roman" w:eastAsiaTheme="minorEastAsia"/>
          <w:color w:val="auto"/>
        </w:rPr>
        <w:t>5.4  管节安装</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_Toc188612065 \h </w:instrText>
      </w:r>
      <w:r>
        <w:rPr>
          <w:rFonts w:ascii="Times New Roman" w:hAnsi="Times New Roman" w:cs="Times New Roman" w:eastAsiaTheme="minorEastAsia"/>
        </w:rPr>
        <w:fldChar w:fldCharType="separate"/>
      </w:r>
      <w:r>
        <w:rPr>
          <w:rFonts w:ascii="Times New Roman" w:hAnsi="Times New Roman" w:cs="Times New Roman" w:eastAsiaTheme="minorEastAsia"/>
        </w:rPr>
        <w:t>10</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113C1E51">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"_Toc188612066" </w:instrText>
      </w:r>
      <w:r>
        <w:fldChar w:fldCharType="separate"/>
      </w:r>
      <w:r>
        <w:rPr>
          <w:rStyle w:val="54"/>
          <w:rFonts w:ascii="Times New Roman" w:hAnsi="Times New Roman" w:cs="Times New Roman" w:eastAsiaTheme="minorEastAsia"/>
          <w:color w:val="auto"/>
        </w:rPr>
        <w:t>5.5  注浆减阻</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_Toc188612066 \h </w:instrText>
      </w:r>
      <w:r>
        <w:rPr>
          <w:rFonts w:ascii="Times New Roman" w:hAnsi="Times New Roman" w:cs="Times New Roman" w:eastAsiaTheme="minorEastAsia"/>
        </w:rPr>
        <w:fldChar w:fldCharType="separate"/>
      </w:r>
      <w:r>
        <w:rPr>
          <w:rFonts w:ascii="Times New Roman" w:hAnsi="Times New Roman" w:cs="Times New Roman" w:eastAsiaTheme="minorEastAsia"/>
        </w:rPr>
        <w:t>10</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71CF251C">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"_Toc188612067" </w:instrText>
      </w:r>
      <w:r>
        <w:fldChar w:fldCharType="separate"/>
      </w:r>
      <w:r>
        <w:rPr>
          <w:rStyle w:val="54"/>
          <w:rFonts w:ascii="Times New Roman" w:hAnsi="Times New Roman" w:cs="Times New Roman" w:eastAsiaTheme="minorEastAsia"/>
          <w:color w:val="auto"/>
        </w:rPr>
        <w:t>5.6  浓泥注入</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_Toc188612067 \h </w:instrText>
      </w:r>
      <w:r>
        <w:rPr>
          <w:rFonts w:ascii="Times New Roman" w:hAnsi="Times New Roman" w:cs="Times New Roman" w:eastAsiaTheme="minorEastAsia"/>
        </w:rPr>
        <w:fldChar w:fldCharType="separate"/>
      </w:r>
      <w:r>
        <w:rPr>
          <w:rFonts w:ascii="Times New Roman" w:hAnsi="Times New Roman" w:cs="Times New Roman" w:eastAsiaTheme="minorEastAsia"/>
        </w:rPr>
        <w:t>11</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7FDDA377">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"_Toc188612068" </w:instrText>
      </w:r>
      <w:r>
        <w:fldChar w:fldCharType="separate"/>
      </w:r>
      <w:r>
        <w:rPr>
          <w:rStyle w:val="54"/>
          <w:rFonts w:ascii="Times New Roman" w:hAnsi="Times New Roman" w:cs="Times New Roman" w:eastAsiaTheme="minorEastAsia"/>
          <w:color w:val="auto"/>
        </w:rPr>
        <w:t>5.7  纠  偏</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_Toc188612068 \h </w:instrText>
      </w:r>
      <w:r>
        <w:rPr>
          <w:rFonts w:ascii="Times New Roman" w:hAnsi="Times New Roman" w:cs="Times New Roman" w:eastAsiaTheme="minorEastAsia"/>
        </w:rPr>
        <w:fldChar w:fldCharType="separate"/>
      </w:r>
      <w:r>
        <w:rPr>
          <w:rFonts w:ascii="Times New Roman" w:hAnsi="Times New Roman" w:cs="Times New Roman" w:eastAsiaTheme="minorEastAsia"/>
        </w:rPr>
        <w:t>11</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04CDBF1A">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"_Toc188612069" </w:instrText>
      </w:r>
      <w:r>
        <w:fldChar w:fldCharType="separate"/>
      </w:r>
      <w:r>
        <w:rPr>
          <w:rStyle w:val="54"/>
          <w:rFonts w:ascii="Times New Roman" w:hAnsi="Times New Roman" w:cs="Times New Roman" w:eastAsiaTheme="minorEastAsia"/>
          <w:color w:val="auto"/>
        </w:rPr>
        <w:t>5.8  渣土改良</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_Toc188612069 \h </w:instrText>
      </w:r>
      <w:r>
        <w:rPr>
          <w:rFonts w:ascii="Times New Roman" w:hAnsi="Times New Roman" w:cs="Times New Roman" w:eastAsiaTheme="minorEastAsia"/>
        </w:rPr>
        <w:fldChar w:fldCharType="separate"/>
      </w:r>
      <w:r>
        <w:rPr>
          <w:rFonts w:ascii="Times New Roman" w:hAnsi="Times New Roman" w:cs="Times New Roman" w:eastAsiaTheme="minorEastAsia"/>
        </w:rPr>
        <w:t>12</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29463D7D">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"_Toc188612070" </w:instrText>
      </w:r>
      <w:r>
        <w:fldChar w:fldCharType="separate"/>
      </w:r>
      <w:r>
        <w:rPr>
          <w:rStyle w:val="54"/>
          <w:rFonts w:ascii="Times New Roman" w:hAnsi="Times New Roman" w:cs="Times New Roman" w:eastAsiaTheme="minorEastAsia"/>
          <w:color w:val="auto"/>
        </w:rPr>
        <w:t>5.9  泥浆置换</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_Toc188612070 \h </w:instrText>
      </w:r>
      <w:r>
        <w:rPr>
          <w:rFonts w:ascii="Times New Roman" w:hAnsi="Times New Roman" w:cs="Times New Roman" w:eastAsiaTheme="minorEastAsia"/>
        </w:rPr>
        <w:fldChar w:fldCharType="separate"/>
      </w:r>
      <w:r>
        <w:rPr>
          <w:rFonts w:ascii="Times New Roman" w:hAnsi="Times New Roman" w:cs="Times New Roman" w:eastAsiaTheme="minorEastAsia"/>
        </w:rPr>
        <w:t>12</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05D1FA16">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"_Toc188612071" </w:instrText>
      </w:r>
      <w:r>
        <w:fldChar w:fldCharType="separate"/>
      </w:r>
      <w:r>
        <w:rPr>
          <w:rStyle w:val="54"/>
          <w:rFonts w:ascii="Times New Roman" w:hAnsi="Times New Roman" w:cs="Times New Roman" w:eastAsiaTheme="minorEastAsia"/>
          <w:color w:val="auto"/>
        </w:rPr>
        <w:t>5.10  中继间设置</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_Toc188612071 \h </w:instrText>
      </w:r>
      <w:r>
        <w:rPr>
          <w:rFonts w:ascii="Times New Roman" w:hAnsi="Times New Roman" w:cs="Times New Roman" w:eastAsiaTheme="minorEastAsia"/>
        </w:rPr>
        <w:fldChar w:fldCharType="separate"/>
      </w:r>
      <w:r>
        <w:rPr>
          <w:rFonts w:ascii="Times New Roman" w:hAnsi="Times New Roman" w:cs="Times New Roman" w:eastAsiaTheme="minorEastAsia"/>
        </w:rPr>
        <w:t>12</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183F6A4C">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"_Toc188612072" </w:instrText>
      </w:r>
      <w:r>
        <w:fldChar w:fldCharType="separate"/>
      </w:r>
      <w:r>
        <w:rPr>
          <w:rStyle w:val="54"/>
          <w:rFonts w:ascii="Times New Roman" w:hAnsi="Times New Roman" w:cs="Times New Roman" w:eastAsiaTheme="minorEastAsia"/>
          <w:color w:val="auto"/>
        </w:rPr>
        <w:t>5.11  结构防水</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_Toc188612072 \h </w:instrText>
      </w:r>
      <w:r>
        <w:rPr>
          <w:rFonts w:ascii="Times New Roman" w:hAnsi="Times New Roman" w:cs="Times New Roman" w:eastAsiaTheme="minorEastAsia"/>
        </w:rPr>
        <w:fldChar w:fldCharType="separate"/>
      </w:r>
      <w:r>
        <w:rPr>
          <w:rFonts w:ascii="Times New Roman" w:hAnsi="Times New Roman" w:cs="Times New Roman" w:eastAsiaTheme="minorEastAsia"/>
        </w:rPr>
        <w:t>12</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6C973B95">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"_Toc188612073" </w:instrText>
      </w:r>
      <w:r>
        <w:fldChar w:fldCharType="separate"/>
      </w:r>
      <w:r>
        <w:rPr>
          <w:rStyle w:val="54"/>
          <w:rFonts w:ascii="Times New Roman" w:hAnsi="Times New Roman" w:cs="Times New Roman" w:eastAsiaTheme="minorEastAsia"/>
          <w:color w:val="auto"/>
        </w:rPr>
        <w:t>5.12  施工运输</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_Toc188612073 \h </w:instrText>
      </w:r>
      <w:r>
        <w:rPr>
          <w:rFonts w:ascii="Times New Roman" w:hAnsi="Times New Roman" w:cs="Times New Roman" w:eastAsiaTheme="minorEastAsia"/>
        </w:rPr>
        <w:fldChar w:fldCharType="separate"/>
      </w:r>
      <w:r>
        <w:rPr>
          <w:rFonts w:ascii="Times New Roman" w:hAnsi="Times New Roman" w:cs="Times New Roman" w:eastAsiaTheme="minorEastAsia"/>
        </w:rPr>
        <w:t>13</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4B191393">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"_Toc188612074" </w:instrText>
      </w:r>
      <w:r>
        <w:fldChar w:fldCharType="separate"/>
      </w:r>
      <w:r>
        <w:rPr>
          <w:rStyle w:val="54"/>
          <w:rFonts w:ascii="Times New Roman" w:hAnsi="Times New Roman" w:cs="Times New Roman" w:eastAsiaTheme="minorEastAsia"/>
          <w:color w:val="auto"/>
        </w:rPr>
        <w:t>5.13  顶管机拆解与吊出</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_Toc188612074 \h </w:instrText>
      </w:r>
      <w:r>
        <w:rPr>
          <w:rFonts w:ascii="Times New Roman" w:hAnsi="Times New Roman" w:cs="Times New Roman" w:eastAsiaTheme="minorEastAsia"/>
        </w:rPr>
        <w:fldChar w:fldCharType="separate"/>
      </w:r>
      <w:r>
        <w:rPr>
          <w:rFonts w:ascii="Times New Roman" w:hAnsi="Times New Roman" w:cs="Times New Roman" w:eastAsiaTheme="minorEastAsia"/>
        </w:rPr>
        <w:t>14</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76F1BBEA">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"_Toc188612075" </w:instrText>
      </w:r>
      <w:r>
        <w:fldChar w:fldCharType="separate"/>
      </w:r>
      <w:r>
        <w:rPr>
          <w:rStyle w:val="54"/>
          <w:rFonts w:ascii="Times New Roman" w:hAnsi="Times New Roman" w:cs="Times New Roman" w:eastAsiaTheme="minorEastAsia"/>
          <w:color w:val="auto"/>
        </w:rPr>
        <w:t>5.14  施工测量</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_Toc188612075 \h </w:instrText>
      </w:r>
      <w:r>
        <w:rPr>
          <w:rFonts w:ascii="Times New Roman" w:hAnsi="Times New Roman" w:cs="Times New Roman" w:eastAsiaTheme="minorEastAsia"/>
        </w:rPr>
        <w:fldChar w:fldCharType="separate"/>
      </w:r>
      <w:r>
        <w:rPr>
          <w:rFonts w:ascii="Times New Roman" w:hAnsi="Times New Roman" w:cs="Times New Roman" w:eastAsiaTheme="minorEastAsia"/>
        </w:rPr>
        <w:t>14</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32BAF609">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"_Toc188612076" </w:instrText>
      </w:r>
      <w:r>
        <w:fldChar w:fldCharType="separate"/>
      </w:r>
      <w:r>
        <w:rPr>
          <w:rStyle w:val="54"/>
          <w:rFonts w:ascii="Times New Roman" w:hAnsi="Times New Roman" w:cs="Times New Roman" w:eastAsiaTheme="minorEastAsia"/>
          <w:color w:val="auto"/>
        </w:rPr>
        <w:t>5.15  监控量测</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_Toc188612076 \h </w:instrText>
      </w:r>
      <w:r>
        <w:rPr>
          <w:rFonts w:ascii="Times New Roman" w:hAnsi="Times New Roman" w:cs="Times New Roman" w:eastAsiaTheme="minorEastAsia"/>
        </w:rPr>
        <w:fldChar w:fldCharType="separate"/>
      </w:r>
      <w:r>
        <w:rPr>
          <w:rFonts w:ascii="Times New Roman" w:hAnsi="Times New Roman" w:cs="Times New Roman" w:eastAsiaTheme="minorEastAsia"/>
        </w:rPr>
        <w:t>14</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05AF5596">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"_Toc188612077" </w:instrText>
      </w:r>
      <w:r>
        <w:fldChar w:fldCharType="separate"/>
      </w:r>
      <w:r>
        <w:rPr>
          <w:rStyle w:val="54"/>
          <w:rFonts w:ascii="Times New Roman" w:hAnsi="Times New Roman" w:cs="Times New Roman" w:eastAsiaTheme="minorEastAsia"/>
          <w:color w:val="auto"/>
        </w:rPr>
        <w:t>5.16  通风、供电与照明</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_Toc188612077 \h </w:instrText>
      </w:r>
      <w:r>
        <w:rPr>
          <w:rFonts w:ascii="Times New Roman" w:hAnsi="Times New Roman" w:cs="Times New Roman" w:eastAsiaTheme="minorEastAsia"/>
        </w:rPr>
        <w:fldChar w:fldCharType="separate"/>
      </w:r>
      <w:r>
        <w:rPr>
          <w:rFonts w:ascii="Times New Roman" w:hAnsi="Times New Roman" w:cs="Times New Roman" w:eastAsiaTheme="minorEastAsia"/>
        </w:rPr>
        <w:t>15</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3AAA9D61">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"_Toc188612078" </w:instrText>
      </w:r>
      <w:r>
        <w:fldChar w:fldCharType="separate"/>
      </w:r>
      <w:r>
        <w:rPr>
          <w:rStyle w:val="54"/>
          <w:rFonts w:ascii="Times New Roman" w:hAnsi="Times New Roman" w:cs="Times New Roman" w:eastAsiaTheme="minorEastAsia"/>
          <w:color w:val="auto"/>
        </w:rPr>
        <w:t>5.17  施工安全与环境保护</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_Toc188612078 \h </w:instrText>
      </w:r>
      <w:r>
        <w:rPr>
          <w:rFonts w:ascii="Times New Roman" w:hAnsi="Times New Roman" w:cs="Times New Roman" w:eastAsiaTheme="minorEastAsia"/>
        </w:rPr>
        <w:fldChar w:fldCharType="separate"/>
      </w:r>
      <w:r>
        <w:rPr>
          <w:rFonts w:ascii="Times New Roman" w:hAnsi="Times New Roman" w:cs="Times New Roman" w:eastAsiaTheme="minorEastAsia"/>
        </w:rPr>
        <w:t>15</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67C147B6">
      <w:pPr>
        <w:pStyle w:val="31"/>
        <w:tabs>
          <w:tab w:val="right" w:leader="middleDot" w:pos="9060"/>
        </w:tabs>
        <w:adjustRightInd w:val="0"/>
        <w:snapToGrid w:val="0"/>
        <w:spacing w:before="0" w:after="0" w:line="288" w:lineRule="auto"/>
        <w:rPr>
          <w:rFonts w:ascii="Times New Roman" w:hAnsi="Times New Roman" w:cs="Times New Roman" w:eastAsiaTheme="minorEastAsia"/>
          <w:b w:val="0"/>
          <w:bCs w:val="0"/>
          <w:caps w:val="0"/>
        </w:rPr>
      </w:pPr>
      <w:r>
        <w:fldChar w:fldCharType="begin"/>
      </w:r>
      <w:r>
        <w:instrText xml:space="preserve"> HYPERLINK \l "_Toc188612079" </w:instrText>
      </w:r>
      <w:r>
        <w:fldChar w:fldCharType="separate"/>
      </w:r>
      <w:r>
        <w:rPr>
          <w:rStyle w:val="54"/>
          <w:rFonts w:ascii="Times New Roman" w:hAnsi="Times New Roman" w:cs="Times New Roman" w:eastAsiaTheme="minorEastAsia"/>
          <w:color w:val="auto"/>
          <w:kern w:val="44"/>
        </w:rPr>
        <w:t>6 特殊工况施工</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_Toc188612079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17</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7742C75E">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"_Toc188612080" </w:instrText>
      </w:r>
      <w:r>
        <w:fldChar w:fldCharType="separate"/>
      </w:r>
      <w:r>
        <w:rPr>
          <w:rStyle w:val="54"/>
          <w:rFonts w:ascii="Times New Roman" w:hAnsi="Times New Roman" w:cs="Times New Roman" w:eastAsiaTheme="minorEastAsia"/>
          <w:color w:val="auto"/>
        </w:rPr>
        <w:t>6.1  一般规定</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_Toc188612080 \h </w:instrText>
      </w:r>
      <w:r>
        <w:rPr>
          <w:rFonts w:ascii="Times New Roman" w:hAnsi="Times New Roman" w:cs="Times New Roman" w:eastAsiaTheme="minorEastAsia"/>
        </w:rPr>
        <w:fldChar w:fldCharType="separate"/>
      </w:r>
      <w:r>
        <w:rPr>
          <w:rFonts w:ascii="Times New Roman" w:hAnsi="Times New Roman" w:cs="Times New Roman" w:eastAsiaTheme="minorEastAsia"/>
        </w:rPr>
        <w:t>17</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7962B784">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"_Toc188612081" </w:instrText>
      </w:r>
      <w:r>
        <w:fldChar w:fldCharType="separate"/>
      </w:r>
      <w:r>
        <w:rPr>
          <w:rStyle w:val="54"/>
          <w:rFonts w:ascii="Times New Roman" w:hAnsi="Times New Roman" w:cs="Times New Roman" w:eastAsiaTheme="minorEastAsia"/>
          <w:color w:val="auto"/>
        </w:rPr>
        <w:t>6.2  利用车站结构始发、接收</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_Toc188612081 \h </w:instrText>
      </w:r>
      <w:r>
        <w:rPr>
          <w:rFonts w:ascii="Times New Roman" w:hAnsi="Times New Roman" w:cs="Times New Roman" w:eastAsiaTheme="minorEastAsia"/>
        </w:rPr>
        <w:fldChar w:fldCharType="separate"/>
      </w:r>
      <w:r>
        <w:rPr>
          <w:rFonts w:ascii="Times New Roman" w:hAnsi="Times New Roman" w:cs="Times New Roman" w:eastAsiaTheme="minorEastAsia"/>
        </w:rPr>
        <w:t>17</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5D88C879">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"_Toc188612082" </w:instrText>
      </w:r>
      <w:r>
        <w:fldChar w:fldCharType="separate"/>
      </w:r>
      <w:r>
        <w:rPr>
          <w:rStyle w:val="54"/>
          <w:rFonts w:ascii="Times New Roman" w:hAnsi="Times New Roman" w:cs="Times New Roman" w:eastAsiaTheme="minorEastAsia"/>
          <w:color w:val="auto"/>
        </w:rPr>
        <w:t>6.3  工作井长度不足</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_Toc188612082 \h </w:instrText>
      </w:r>
      <w:r>
        <w:rPr>
          <w:rFonts w:ascii="Times New Roman" w:hAnsi="Times New Roman" w:cs="Times New Roman" w:eastAsiaTheme="minorEastAsia"/>
        </w:rPr>
        <w:fldChar w:fldCharType="separate"/>
      </w:r>
      <w:r>
        <w:rPr>
          <w:rFonts w:ascii="Times New Roman" w:hAnsi="Times New Roman" w:cs="Times New Roman" w:eastAsiaTheme="minorEastAsia"/>
        </w:rPr>
        <w:t>17</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141822F3">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"_Toc188612083" </w:instrText>
      </w:r>
      <w:r>
        <w:fldChar w:fldCharType="separate"/>
      </w:r>
      <w:r>
        <w:rPr>
          <w:rStyle w:val="54"/>
          <w:rFonts w:ascii="Times New Roman" w:hAnsi="Times New Roman" w:cs="Times New Roman" w:eastAsiaTheme="minorEastAsia"/>
          <w:color w:val="auto"/>
        </w:rPr>
        <w:t>6.4  弃壳</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_Toc188612083 \h </w:instrText>
      </w:r>
      <w:r>
        <w:rPr>
          <w:rFonts w:ascii="Times New Roman" w:hAnsi="Times New Roman" w:cs="Times New Roman" w:eastAsiaTheme="minorEastAsia"/>
        </w:rPr>
        <w:fldChar w:fldCharType="separate"/>
      </w:r>
      <w:r>
        <w:rPr>
          <w:rFonts w:ascii="Times New Roman" w:hAnsi="Times New Roman" w:cs="Times New Roman" w:eastAsiaTheme="minorEastAsia"/>
        </w:rPr>
        <w:t>17</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41EA5F4F">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"_Toc188612084" </w:instrText>
      </w:r>
      <w:r>
        <w:fldChar w:fldCharType="separate"/>
      </w:r>
      <w:r>
        <w:rPr>
          <w:rStyle w:val="54"/>
          <w:rFonts w:ascii="Times New Roman" w:hAnsi="Times New Roman" w:cs="Times New Roman" w:eastAsiaTheme="minorEastAsia"/>
          <w:color w:val="auto"/>
        </w:rPr>
        <w:t>6.5  钢套筒接收及过井</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_Toc188612084 \h </w:instrText>
      </w:r>
      <w:r>
        <w:rPr>
          <w:rFonts w:ascii="Times New Roman" w:hAnsi="Times New Roman" w:cs="Times New Roman" w:eastAsiaTheme="minorEastAsia"/>
        </w:rPr>
        <w:fldChar w:fldCharType="separate"/>
      </w:r>
      <w:r>
        <w:rPr>
          <w:rFonts w:ascii="Times New Roman" w:hAnsi="Times New Roman" w:cs="Times New Roman" w:eastAsiaTheme="minorEastAsia"/>
        </w:rPr>
        <w:t>18</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712DC145">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"_Toc188612085" </w:instrText>
      </w:r>
      <w:r>
        <w:fldChar w:fldCharType="separate"/>
      </w:r>
      <w:r>
        <w:rPr>
          <w:rStyle w:val="54"/>
          <w:rFonts w:ascii="Times New Roman" w:hAnsi="Times New Roman" w:cs="Times New Roman" w:eastAsiaTheme="minorEastAsia"/>
          <w:color w:val="auto"/>
        </w:rPr>
        <w:t>6.6  浅覆土</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_Toc188612085 \h </w:instrText>
      </w:r>
      <w:r>
        <w:rPr>
          <w:rFonts w:ascii="Times New Roman" w:hAnsi="Times New Roman" w:cs="Times New Roman" w:eastAsiaTheme="minorEastAsia"/>
        </w:rPr>
        <w:fldChar w:fldCharType="separate"/>
      </w:r>
      <w:r>
        <w:rPr>
          <w:rFonts w:ascii="Times New Roman" w:hAnsi="Times New Roman" w:cs="Times New Roman" w:eastAsiaTheme="minorEastAsia"/>
        </w:rPr>
        <w:t>18</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554BB435">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"_Toc188612086" </w:instrText>
      </w:r>
      <w:r>
        <w:fldChar w:fldCharType="separate"/>
      </w:r>
      <w:r>
        <w:rPr>
          <w:rStyle w:val="54"/>
          <w:rFonts w:ascii="Times New Roman" w:hAnsi="Times New Roman" w:cs="Times New Roman" w:eastAsiaTheme="minorEastAsia"/>
          <w:color w:val="auto"/>
        </w:rPr>
        <w:t>6.7 穿越特、一级风险源</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_Toc188612086 \h </w:instrText>
      </w:r>
      <w:r>
        <w:rPr>
          <w:rFonts w:ascii="Times New Roman" w:hAnsi="Times New Roman" w:cs="Times New Roman" w:eastAsiaTheme="minorEastAsia"/>
        </w:rPr>
        <w:fldChar w:fldCharType="separate"/>
      </w:r>
      <w:r>
        <w:rPr>
          <w:rFonts w:ascii="Times New Roman" w:hAnsi="Times New Roman" w:cs="Times New Roman" w:eastAsiaTheme="minorEastAsia"/>
        </w:rPr>
        <w:t>19</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61DDFFEC">
      <w:pPr>
        <w:pStyle w:val="31"/>
        <w:tabs>
          <w:tab w:val="right" w:leader="middleDot" w:pos="9060"/>
        </w:tabs>
        <w:adjustRightInd w:val="0"/>
        <w:snapToGrid w:val="0"/>
        <w:spacing w:before="0" w:after="0" w:line="288" w:lineRule="auto"/>
        <w:rPr>
          <w:rFonts w:ascii="Times New Roman" w:hAnsi="Times New Roman" w:cs="Times New Roman" w:eastAsiaTheme="minorEastAsia"/>
          <w:b w:val="0"/>
          <w:bCs w:val="0"/>
          <w:caps w:val="0"/>
        </w:rPr>
      </w:pPr>
      <w:r>
        <w:fldChar w:fldCharType="begin"/>
      </w:r>
      <w:r>
        <w:instrText xml:space="preserve"> HYPERLINK \l "_Toc188612087" </w:instrText>
      </w:r>
      <w:r>
        <w:fldChar w:fldCharType="separate"/>
      </w:r>
      <w:r>
        <w:rPr>
          <w:rStyle w:val="54"/>
          <w:rFonts w:ascii="Times New Roman" w:hAnsi="Times New Roman" w:cs="Times New Roman" w:eastAsiaTheme="minorEastAsia"/>
          <w:color w:val="auto"/>
          <w:kern w:val="44"/>
        </w:rPr>
        <w:t>7  质量检验与验收</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_Toc188612087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20</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43C08448">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"_Toc188612088" </w:instrText>
      </w:r>
      <w:r>
        <w:fldChar w:fldCharType="separate"/>
      </w:r>
      <w:r>
        <w:rPr>
          <w:rStyle w:val="54"/>
          <w:rFonts w:ascii="Times New Roman" w:hAnsi="Times New Roman" w:cs="Times New Roman" w:eastAsiaTheme="minorEastAsia"/>
          <w:color w:val="auto"/>
        </w:rPr>
        <w:t>7.1  一般规定</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_Toc188612088 \h </w:instrText>
      </w:r>
      <w:r>
        <w:rPr>
          <w:rFonts w:ascii="Times New Roman" w:hAnsi="Times New Roman" w:cs="Times New Roman" w:eastAsiaTheme="minorEastAsia"/>
        </w:rPr>
        <w:fldChar w:fldCharType="separate"/>
      </w:r>
      <w:r>
        <w:rPr>
          <w:rFonts w:ascii="Times New Roman" w:hAnsi="Times New Roman" w:cs="Times New Roman" w:eastAsiaTheme="minorEastAsia"/>
        </w:rPr>
        <w:t>20</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26FE2D32">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"_Toc188612089" </w:instrText>
      </w:r>
      <w:r>
        <w:fldChar w:fldCharType="separate"/>
      </w:r>
      <w:r>
        <w:rPr>
          <w:rStyle w:val="54"/>
          <w:rFonts w:ascii="Times New Roman" w:hAnsi="Times New Roman" w:cs="Times New Roman" w:eastAsiaTheme="minorEastAsia"/>
          <w:color w:val="auto"/>
        </w:rPr>
        <w:t>7.2  管节现场质量检验</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_Toc188612089 \h </w:instrText>
      </w:r>
      <w:r>
        <w:rPr>
          <w:rFonts w:ascii="Times New Roman" w:hAnsi="Times New Roman" w:cs="Times New Roman" w:eastAsiaTheme="minorEastAsia"/>
        </w:rPr>
        <w:fldChar w:fldCharType="separate"/>
      </w:r>
      <w:r>
        <w:rPr>
          <w:rFonts w:ascii="Times New Roman" w:hAnsi="Times New Roman" w:cs="Times New Roman" w:eastAsiaTheme="minorEastAsia"/>
        </w:rPr>
        <w:t>20</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0EA35122">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"_Toc188612090" </w:instrText>
      </w:r>
      <w:r>
        <w:fldChar w:fldCharType="separate"/>
      </w:r>
      <w:r>
        <w:rPr>
          <w:rStyle w:val="54"/>
          <w:rFonts w:ascii="Times New Roman" w:hAnsi="Times New Roman" w:cs="Times New Roman" w:eastAsiaTheme="minorEastAsia"/>
          <w:color w:val="auto"/>
        </w:rPr>
        <w:t>7.3  工作井质量检验</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_Toc188612090 \h </w:instrText>
      </w:r>
      <w:r>
        <w:rPr>
          <w:rFonts w:ascii="Times New Roman" w:hAnsi="Times New Roman" w:cs="Times New Roman" w:eastAsiaTheme="minorEastAsia"/>
        </w:rPr>
        <w:fldChar w:fldCharType="separate"/>
      </w:r>
      <w:r>
        <w:rPr>
          <w:rFonts w:ascii="Times New Roman" w:hAnsi="Times New Roman" w:cs="Times New Roman" w:eastAsiaTheme="minorEastAsia"/>
        </w:rPr>
        <w:t>21</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7B6BCC67">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"_Toc188612091" </w:instrText>
      </w:r>
      <w:r>
        <w:fldChar w:fldCharType="separate"/>
      </w:r>
      <w:r>
        <w:rPr>
          <w:rStyle w:val="54"/>
          <w:rFonts w:ascii="Times New Roman" w:hAnsi="Times New Roman" w:cs="Times New Roman" w:eastAsiaTheme="minorEastAsia"/>
          <w:color w:val="auto"/>
        </w:rPr>
        <w:t>7.4  防水质量检验</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_Toc188612091 \h </w:instrText>
      </w:r>
      <w:r>
        <w:rPr>
          <w:rFonts w:ascii="Times New Roman" w:hAnsi="Times New Roman" w:cs="Times New Roman" w:eastAsiaTheme="minorEastAsia"/>
        </w:rPr>
        <w:fldChar w:fldCharType="separate"/>
      </w:r>
      <w:r>
        <w:rPr>
          <w:rFonts w:ascii="Times New Roman" w:hAnsi="Times New Roman" w:cs="Times New Roman" w:eastAsiaTheme="minorEastAsia"/>
        </w:rPr>
        <w:t>21</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27C61BD8">
      <w:pPr>
        <w:pStyle w:val="37"/>
        <w:tabs>
          <w:tab w:val="right" w:leader="middleDot" w:pos="9060"/>
        </w:tabs>
        <w:adjustRightInd w:val="0"/>
        <w:snapToGrid w:val="0"/>
        <w:spacing w:line="288" w:lineRule="auto"/>
        <w:rPr>
          <w:rFonts w:ascii="Times New Roman" w:hAnsi="Times New Roman" w:cs="Times New Roman" w:eastAsiaTheme="minorEastAsia"/>
          <w:smallCaps w:val="0"/>
        </w:rPr>
      </w:pPr>
      <w:r>
        <w:fldChar w:fldCharType="begin"/>
      </w:r>
      <w:r>
        <w:instrText xml:space="preserve"> HYPERLINK \l "_Toc188612092" </w:instrText>
      </w:r>
      <w:r>
        <w:fldChar w:fldCharType="separate"/>
      </w:r>
      <w:r>
        <w:rPr>
          <w:rStyle w:val="54"/>
          <w:rFonts w:ascii="Times New Roman" w:hAnsi="Times New Roman" w:cs="Times New Roman" w:eastAsiaTheme="minorEastAsia"/>
          <w:color w:val="auto"/>
        </w:rPr>
        <w:t>7.5  成型结构质量验收</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_Toc188612092 \h </w:instrText>
      </w:r>
      <w:r>
        <w:rPr>
          <w:rFonts w:ascii="Times New Roman" w:hAnsi="Times New Roman" w:cs="Times New Roman" w:eastAsiaTheme="minorEastAsia"/>
        </w:rPr>
        <w:fldChar w:fldCharType="separate"/>
      </w:r>
      <w:r>
        <w:rPr>
          <w:rFonts w:ascii="Times New Roman" w:hAnsi="Times New Roman" w:cs="Times New Roman" w:eastAsiaTheme="minorEastAsia"/>
        </w:rPr>
        <w:t>22</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4426BEA8">
      <w:pPr>
        <w:pStyle w:val="31"/>
        <w:tabs>
          <w:tab w:val="right" w:leader="middleDot" w:pos="9060"/>
        </w:tabs>
        <w:adjustRightInd w:val="0"/>
        <w:snapToGrid w:val="0"/>
        <w:spacing w:before="0" w:after="0" w:line="288" w:lineRule="auto"/>
        <w:rPr>
          <w:rFonts w:ascii="Times New Roman" w:hAnsi="Times New Roman" w:cs="Times New Roman" w:eastAsiaTheme="minorEastAsia"/>
          <w:b w:val="0"/>
          <w:bCs w:val="0"/>
          <w:caps w:val="0"/>
        </w:rPr>
      </w:pPr>
      <w:r>
        <w:fldChar w:fldCharType="begin"/>
      </w:r>
      <w:r>
        <w:instrText xml:space="preserve"> HYPERLINK \l "_Toc188612093" </w:instrText>
      </w:r>
      <w:r>
        <w:fldChar w:fldCharType="separate"/>
      </w:r>
      <w:r>
        <w:rPr>
          <w:rStyle w:val="54"/>
          <w:rFonts w:ascii="Times New Roman" w:hAnsi="Times New Roman" w:cs="Times New Roman" w:eastAsiaTheme="minorEastAsia"/>
          <w:color w:val="auto"/>
          <w:kern w:val="44"/>
        </w:rPr>
        <w:t>附录A  矩形顶管分部、分项工程和检验批划分表</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_Toc188612093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24</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1204C3A0">
      <w:pPr>
        <w:pStyle w:val="31"/>
        <w:tabs>
          <w:tab w:val="right" w:leader="middleDot" w:pos="9060"/>
        </w:tabs>
        <w:adjustRightInd w:val="0"/>
        <w:snapToGrid w:val="0"/>
        <w:spacing w:before="0" w:after="0" w:line="288" w:lineRule="auto"/>
        <w:rPr>
          <w:rFonts w:ascii="Times New Roman" w:hAnsi="Times New Roman" w:cs="Times New Roman" w:eastAsiaTheme="minorEastAsia"/>
          <w:b w:val="0"/>
          <w:bCs w:val="0"/>
          <w:caps w:val="0"/>
        </w:rPr>
      </w:pPr>
      <w:r>
        <w:fldChar w:fldCharType="begin"/>
      </w:r>
      <w:r>
        <w:instrText xml:space="preserve"> HYPERLINK \l "_Toc188612094" </w:instrText>
      </w:r>
      <w:r>
        <w:fldChar w:fldCharType="separate"/>
      </w:r>
      <w:r>
        <w:rPr>
          <w:rStyle w:val="54"/>
          <w:rFonts w:ascii="Times New Roman" w:hAnsi="Times New Roman" w:cs="Times New Roman" w:eastAsiaTheme="minorEastAsia"/>
          <w:color w:val="auto"/>
          <w:kern w:val="44"/>
        </w:rPr>
        <w:t xml:space="preserve">附录B  </w:t>
      </w:r>
      <w:r>
        <w:rPr>
          <w:rStyle w:val="54"/>
          <w:rFonts w:hint="eastAsia" w:ascii="Times New Roman" w:hAnsi="Times New Roman" w:cs="Times New Roman" w:eastAsiaTheme="minorEastAsia"/>
          <w:color w:val="auto"/>
          <w:kern w:val="44"/>
        </w:rPr>
        <w:t>施工</w:t>
      </w:r>
      <w:r>
        <w:rPr>
          <w:rStyle w:val="54"/>
          <w:rFonts w:ascii="Times New Roman" w:hAnsi="Times New Roman" w:cs="Times New Roman" w:eastAsiaTheme="minorEastAsia"/>
          <w:color w:val="auto"/>
          <w:kern w:val="44"/>
        </w:rPr>
        <w:t>记录</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_Toc188612094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26</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232B9BE7">
      <w:pPr>
        <w:pStyle w:val="31"/>
        <w:tabs>
          <w:tab w:val="right" w:leader="middleDot" w:pos="9060"/>
        </w:tabs>
        <w:adjustRightInd w:val="0"/>
        <w:snapToGrid w:val="0"/>
        <w:spacing w:before="0" w:after="0" w:line="288" w:lineRule="auto"/>
        <w:rPr>
          <w:rFonts w:ascii="Times New Roman" w:hAnsi="Times New Roman" w:cs="Times New Roman" w:eastAsiaTheme="minorEastAsia"/>
          <w:b w:val="0"/>
          <w:bCs w:val="0"/>
          <w:caps w:val="0"/>
        </w:rPr>
      </w:pPr>
      <w:r>
        <w:fldChar w:fldCharType="begin"/>
      </w:r>
      <w:r>
        <w:instrText xml:space="preserve"> HYPERLINK \l "_Toc188612095" </w:instrText>
      </w:r>
      <w:r>
        <w:fldChar w:fldCharType="separate"/>
      </w:r>
      <w:r>
        <w:rPr>
          <w:rStyle w:val="54"/>
          <w:rFonts w:ascii="Times New Roman" w:hAnsi="Times New Roman" w:cs="Times New Roman" w:eastAsiaTheme="minorEastAsia"/>
          <w:color w:val="auto"/>
          <w:kern w:val="44"/>
        </w:rPr>
        <w:t>本标准用词说明</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_Toc188612095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28</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5B3C5C13">
      <w:pPr>
        <w:pStyle w:val="31"/>
        <w:tabs>
          <w:tab w:val="right" w:leader="middleDot" w:pos="9060"/>
        </w:tabs>
        <w:adjustRightInd w:val="0"/>
        <w:snapToGrid w:val="0"/>
        <w:spacing w:before="0" w:after="0" w:line="288" w:lineRule="auto"/>
        <w:rPr>
          <w:rFonts w:ascii="Times New Roman" w:hAnsi="Times New Roman" w:cs="Times New Roman" w:eastAsiaTheme="minorEastAsia"/>
          <w:b w:val="0"/>
          <w:bCs w:val="0"/>
          <w:caps w:val="0"/>
        </w:rPr>
      </w:pPr>
      <w:r>
        <w:fldChar w:fldCharType="begin"/>
      </w:r>
      <w:r>
        <w:instrText xml:space="preserve"> HYPERLINK \l "_Toc188612096" </w:instrText>
      </w:r>
      <w:r>
        <w:fldChar w:fldCharType="separate"/>
      </w:r>
      <w:r>
        <w:rPr>
          <w:rStyle w:val="54"/>
          <w:rFonts w:ascii="Times New Roman" w:hAnsi="Times New Roman" w:cs="Times New Roman" w:eastAsiaTheme="minorEastAsia"/>
          <w:color w:val="auto"/>
          <w:kern w:val="44"/>
        </w:rPr>
        <w:t>引用标准名录</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_Toc188612096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29</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04234938">
      <w:pPr>
        <w:pStyle w:val="31"/>
        <w:tabs>
          <w:tab w:val="right" w:leader="middleDot" w:pos="9060"/>
        </w:tabs>
        <w:adjustRightInd w:val="0"/>
        <w:snapToGrid w:val="0"/>
        <w:spacing w:before="0" w:after="0" w:line="288" w:lineRule="auto"/>
        <w:rPr>
          <w:rFonts w:ascii="Times New Roman" w:hAnsi="Times New Roman" w:cs="Times New Roman" w:eastAsiaTheme="minorEastAsia"/>
          <w:b w:val="0"/>
          <w:bCs w:val="0"/>
          <w:caps w:val="0"/>
        </w:rPr>
      </w:pPr>
      <w:r>
        <w:rPr>
          <w:rFonts w:hint="eastAsia"/>
        </w:rPr>
        <w:t>附：</w:t>
      </w:r>
      <w:r>
        <w:fldChar w:fldCharType="begin"/>
      </w:r>
      <w:r>
        <w:instrText xml:space="preserve"> HYPERLINK \l "_Toc188612098" </w:instrText>
      </w:r>
      <w:r>
        <w:fldChar w:fldCharType="separate"/>
      </w:r>
      <w:r>
        <w:rPr>
          <w:rStyle w:val="54"/>
          <w:rFonts w:ascii="Times New Roman" w:hAnsi="Times New Roman" w:cs="Times New Roman" w:eastAsiaTheme="minorEastAsia"/>
          <w:color w:val="auto"/>
          <w:kern w:val="0"/>
        </w:rPr>
        <w:t>条文说明</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_Toc188612098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30</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77F14443">
      <w:pPr>
        <w:tabs>
          <w:tab w:val="right" w:leader="middleDot" w:pos="5893"/>
        </w:tabs>
        <w:autoSpaceDE w:val="0"/>
        <w:autoSpaceDN w:val="0"/>
        <w:adjustRightInd w:val="0"/>
        <w:snapToGrid w:val="0"/>
        <w:spacing w:line="288" w:lineRule="auto"/>
        <w:jc w:val="left"/>
        <w:rPr>
          <w:b/>
          <w:bCs/>
          <w:kern w:val="0"/>
          <w:sz w:val="20"/>
          <w:szCs w:val="20"/>
        </w:rPr>
      </w:pPr>
      <w:r>
        <w:rPr>
          <w:rFonts w:eastAsiaTheme="minorEastAsia"/>
          <w:bCs/>
          <w:kern w:val="0"/>
          <w:sz w:val="20"/>
          <w:szCs w:val="20"/>
        </w:rPr>
        <w:fldChar w:fldCharType="end"/>
      </w:r>
    </w:p>
    <w:p w14:paraId="37CADD42">
      <w:pPr>
        <w:pStyle w:val="31"/>
        <w:tabs>
          <w:tab w:val="right" w:leader="middleDot" w:pos="9808"/>
        </w:tabs>
        <w:rPr>
          <w:b w:val="0"/>
          <w:bCs w:val="0"/>
          <w:kern w:val="0"/>
        </w:rPr>
      </w:pPr>
    </w:p>
    <w:p w14:paraId="11269116">
      <w:pPr>
        <w:tabs>
          <w:tab w:val="right" w:leader="middleDot" w:pos="5893"/>
        </w:tabs>
        <w:autoSpaceDE w:val="0"/>
        <w:autoSpaceDN w:val="0"/>
        <w:jc w:val="left"/>
        <w:rPr>
          <w:b/>
          <w:bCs/>
          <w:kern w:val="44"/>
          <w:sz w:val="20"/>
          <w:szCs w:val="20"/>
        </w:rPr>
      </w:pPr>
      <w:r>
        <w:rPr>
          <w:sz w:val="20"/>
          <w:szCs w:val="20"/>
        </w:rPr>
        <w:br w:type="page"/>
      </w:r>
    </w:p>
    <w:p w14:paraId="23BA8359">
      <w:pPr>
        <w:pStyle w:val="189"/>
        <w:keepNext w:val="0"/>
        <w:keepLines w:val="0"/>
        <w:widowControl w:val="0"/>
        <w:autoSpaceDE w:val="0"/>
        <w:autoSpaceDN w:val="0"/>
        <w:snapToGrid w:val="0"/>
        <w:spacing w:before="0" w:line="288" w:lineRule="auto"/>
        <w:jc w:val="center"/>
        <w:rPr>
          <w:rFonts w:ascii="Times New Roman" w:hAnsi="Times New Roman"/>
          <w:b/>
          <w:color w:val="auto"/>
          <w:sz w:val="26"/>
          <w:szCs w:val="26"/>
          <w:lang w:val="en-US"/>
        </w:rPr>
      </w:pPr>
      <w:bookmarkStart w:id="1" w:name="_Toc666225283"/>
      <w:bookmarkStart w:id="2" w:name="_Toc567717918"/>
      <w:bookmarkStart w:id="3" w:name="_Toc85542943"/>
      <w:bookmarkStart w:id="4" w:name="_Toc1459333247"/>
      <w:bookmarkStart w:id="5" w:name="_Toc581508013"/>
      <w:r>
        <w:rPr>
          <w:rFonts w:ascii="Times New Roman" w:hAnsi="Times New Roman"/>
          <w:b/>
          <w:color w:val="auto"/>
          <w:lang w:val="en-US"/>
        </w:rPr>
        <w:t>Contents</w:t>
      </w:r>
      <w:bookmarkEnd w:id="1"/>
      <w:bookmarkEnd w:id="2"/>
      <w:bookmarkEnd w:id="3"/>
      <w:bookmarkEnd w:id="4"/>
      <w:bookmarkEnd w:id="5"/>
    </w:p>
    <w:p w14:paraId="6B0A8D28">
      <w:pPr>
        <w:pStyle w:val="31"/>
        <w:tabs>
          <w:tab w:val="right" w:leader="dot" w:pos="9060"/>
        </w:tabs>
        <w:snapToGrid w:val="0"/>
        <w:spacing w:before="0" w:after="0" w:line="288" w:lineRule="auto"/>
        <w:rPr>
          <w:rFonts w:ascii="Times New Roman" w:hAnsi="Times New Roman" w:cs="Times New Roman" w:eastAsiaTheme="minorEastAsia"/>
          <w:b w:val="0"/>
          <w:bCs w:val="0"/>
          <w:caps w:val="0"/>
          <w:sz w:val="21"/>
          <w:szCs w:val="22"/>
        </w:rPr>
      </w:pPr>
      <w:r>
        <w:rPr>
          <w:b w:val="0"/>
        </w:rPr>
        <w:fldChar w:fldCharType="begin"/>
      </w:r>
      <w:r>
        <w:rPr>
          <w:b w:val="0"/>
        </w:rPr>
        <w:instrText xml:space="preserve"> TOC \o "1-2" \h \z \u </w:instrText>
      </w:r>
      <w:r>
        <w:rPr>
          <w:b w:val="0"/>
        </w:rPr>
        <w:fldChar w:fldCharType="separate"/>
      </w:r>
      <w:r>
        <w:fldChar w:fldCharType="begin"/>
      </w:r>
      <w:r>
        <w:instrText xml:space="preserve"> HYPERLINK \l "_Toc185236570" </w:instrText>
      </w:r>
      <w:r>
        <w:fldChar w:fldCharType="separate"/>
      </w:r>
      <w:r>
        <w:rPr>
          <w:rStyle w:val="54"/>
          <w:rFonts w:ascii="Times New Roman" w:hAnsi="Times New Roman" w:cs="Times New Roman" w:eastAsiaTheme="minorEastAsia"/>
          <w:color w:val="auto"/>
          <w:kern w:val="44"/>
        </w:rPr>
        <w:t>1  G</w:t>
      </w:r>
      <w:r>
        <w:rPr>
          <w:rStyle w:val="54"/>
          <w:rFonts w:ascii="Times New Roman" w:hAnsi="Times New Roman" w:cs="Times New Roman" w:eastAsiaTheme="minorEastAsia"/>
          <w:caps w:val="0"/>
          <w:color w:val="auto"/>
          <w:kern w:val="44"/>
        </w:rPr>
        <w:t>eneral provisions</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_Toc185236570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529F9DA4">
      <w:pPr>
        <w:pStyle w:val="31"/>
        <w:tabs>
          <w:tab w:val="right" w:leader="dot" w:pos="9060"/>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"_Toc185236571" </w:instrText>
      </w:r>
      <w:r>
        <w:fldChar w:fldCharType="separate"/>
      </w:r>
      <w:r>
        <w:rPr>
          <w:rStyle w:val="54"/>
          <w:rFonts w:ascii="Times New Roman" w:hAnsi="Times New Roman" w:cs="Times New Roman" w:eastAsiaTheme="minorEastAsia"/>
          <w:color w:val="auto"/>
          <w:kern w:val="44"/>
        </w:rPr>
        <w:t>2  T</w:t>
      </w:r>
      <w:r>
        <w:rPr>
          <w:rStyle w:val="54"/>
          <w:rFonts w:ascii="Times New Roman" w:hAnsi="Times New Roman" w:cs="Times New Roman" w:eastAsiaTheme="minorEastAsia"/>
          <w:caps w:val="0"/>
          <w:color w:val="auto"/>
          <w:kern w:val="44"/>
        </w:rPr>
        <w:t>erms</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_Toc185236571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4ECF25B7">
      <w:pPr>
        <w:pStyle w:val="31"/>
        <w:tabs>
          <w:tab w:val="right" w:leader="dot" w:pos="9060"/>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"_Toc185236572" </w:instrText>
      </w:r>
      <w:r>
        <w:fldChar w:fldCharType="separate"/>
      </w:r>
      <w:r>
        <w:rPr>
          <w:rStyle w:val="54"/>
          <w:rFonts w:ascii="Times New Roman" w:hAnsi="Times New Roman" w:cs="Times New Roman" w:eastAsiaTheme="minorEastAsia"/>
          <w:color w:val="auto"/>
          <w:kern w:val="44"/>
        </w:rPr>
        <w:t>3  B</w:t>
      </w:r>
      <w:r>
        <w:rPr>
          <w:rStyle w:val="54"/>
          <w:rFonts w:ascii="Times New Roman" w:hAnsi="Times New Roman" w:cs="Times New Roman" w:eastAsiaTheme="minorEastAsia"/>
          <w:caps w:val="0"/>
          <w:color w:val="auto"/>
          <w:kern w:val="44"/>
        </w:rPr>
        <w:t>asic regulations</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_Toc185236572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3</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49E16304">
      <w:pPr>
        <w:pStyle w:val="31"/>
        <w:tabs>
          <w:tab w:val="right" w:leader="dot" w:pos="9060"/>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"_Toc185236573" </w:instrText>
      </w:r>
      <w:r>
        <w:fldChar w:fldCharType="separate"/>
      </w:r>
      <w:r>
        <w:rPr>
          <w:rStyle w:val="54"/>
          <w:rFonts w:ascii="Times New Roman" w:hAnsi="Times New Roman" w:cs="Times New Roman" w:eastAsiaTheme="minorEastAsia"/>
          <w:color w:val="auto"/>
          <w:kern w:val="44"/>
        </w:rPr>
        <w:t>4  C</w:t>
      </w:r>
      <w:r>
        <w:rPr>
          <w:rStyle w:val="54"/>
          <w:rFonts w:ascii="Times New Roman" w:hAnsi="Times New Roman" w:cs="Times New Roman" w:eastAsiaTheme="minorEastAsia"/>
          <w:caps w:val="0"/>
          <w:color w:val="auto"/>
          <w:kern w:val="44"/>
        </w:rPr>
        <w:t>onstruction preparation</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_Toc185236573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4</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452A98E7">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"_Toc185236574" </w:instrText>
      </w:r>
      <w:r>
        <w:fldChar w:fldCharType="separate"/>
      </w:r>
      <w:r>
        <w:rPr>
          <w:rStyle w:val="54"/>
          <w:rFonts w:ascii="Times New Roman" w:hAnsi="Times New Roman" w:cs="Times New Roman" w:eastAsiaTheme="minorEastAsia"/>
          <w:b w:val="0"/>
          <w:color w:val="auto"/>
        </w:rPr>
        <w:t xml:space="preserve">4.1  </w:t>
      </w:r>
      <w:r>
        <w:rPr>
          <w:rStyle w:val="54"/>
          <w:rFonts w:hint="eastAsia" w:ascii="Times New Roman" w:hAnsi="Times New Roman" w:cs="Times New Roman" w:eastAsiaTheme="minorEastAsia"/>
          <w:b w:val="0"/>
          <w:caps w:val="0"/>
          <w:color w:val="auto"/>
          <w:kern w:val="44"/>
        </w:rPr>
        <w:t>General requirements</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_Toc185236574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4</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1F15DEB0">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"_Toc185236575" </w:instrText>
      </w:r>
      <w:r>
        <w:fldChar w:fldCharType="separate"/>
      </w:r>
      <w:r>
        <w:rPr>
          <w:rStyle w:val="54"/>
          <w:rFonts w:ascii="Times New Roman" w:hAnsi="Times New Roman" w:cs="Times New Roman" w:eastAsiaTheme="minorEastAsia"/>
          <w:b w:val="0"/>
          <w:color w:val="auto"/>
        </w:rPr>
        <w:t xml:space="preserve">4.2  </w:t>
      </w:r>
      <w:r>
        <w:rPr>
          <w:rStyle w:val="54"/>
          <w:rFonts w:ascii="Times New Roman" w:hAnsi="Times New Roman" w:cs="Times New Roman" w:eastAsiaTheme="minorEastAsia"/>
          <w:b w:val="0"/>
          <w:caps w:val="0"/>
          <w:color w:val="auto"/>
          <w:kern w:val="44"/>
        </w:rPr>
        <w:t>Preliminary</w:t>
      </w:r>
      <w:r>
        <w:rPr>
          <w:rStyle w:val="54"/>
          <w:rFonts w:ascii="Times New Roman" w:hAnsi="Times New Roman" w:cs="Times New Roman" w:eastAsiaTheme="minorEastAsia"/>
          <w:color w:val="auto"/>
        </w:rPr>
        <w:t xml:space="preserve"> </w:t>
      </w:r>
      <w:r>
        <w:rPr>
          <w:rStyle w:val="54"/>
          <w:rFonts w:ascii="Times New Roman" w:hAnsi="Times New Roman" w:cs="Times New Roman" w:eastAsiaTheme="minorEastAsia"/>
          <w:b w:val="0"/>
          <w:caps w:val="0"/>
          <w:color w:val="auto"/>
          <w:kern w:val="44"/>
        </w:rPr>
        <w:t>investigation</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_Toc185236575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4</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5DC44C5E">
      <w:pPr>
        <w:pStyle w:val="37"/>
        <w:tabs>
          <w:tab w:val="right" w:leader="dot" w:pos="9060"/>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"_Toc185236576" </w:instrText>
      </w:r>
      <w:r>
        <w:fldChar w:fldCharType="separate"/>
      </w:r>
      <w:r>
        <w:rPr>
          <w:rStyle w:val="54"/>
          <w:rFonts w:ascii="Times New Roman" w:hAnsi="Times New Roman" w:cs="Times New Roman" w:eastAsiaTheme="minorEastAsia"/>
          <w:color w:val="auto"/>
        </w:rPr>
        <w:t>4.3  Technical preparation</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_Toc185236576 \h </w:instrText>
      </w:r>
      <w:r>
        <w:rPr>
          <w:rFonts w:ascii="Times New Roman" w:hAnsi="Times New Roman" w:cs="Times New Roman" w:eastAsiaTheme="minorEastAsia"/>
        </w:rPr>
        <w:fldChar w:fldCharType="separate"/>
      </w:r>
      <w:r>
        <w:rPr>
          <w:rFonts w:ascii="Times New Roman" w:hAnsi="Times New Roman" w:cs="Times New Roman" w:eastAsiaTheme="minorEastAsia"/>
        </w:rPr>
        <w:t>4</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5ADBDF3C">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"_Toc185236577" </w:instrText>
      </w:r>
      <w:r>
        <w:fldChar w:fldCharType="separate"/>
      </w:r>
      <w:r>
        <w:rPr>
          <w:rStyle w:val="54"/>
          <w:rFonts w:ascii="Times New Roman" w:hAnsi="Times New Roman" w:cs="Times New Roman" w:eastAsiaTheme="minorEastAsia"/>
          <w:b w:val="0"/>
          <w:color w:val="auto"/>
        </w:rPr>
        <w:t xml:space="preserve">4.4 </w:t>
      </w:r>
      <w:r>
        <w:rPr>
          <w:rStyle w:val="54"/>
          <w:rFonts w:hint="eastAsia"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Tube</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jacking</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machine</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selection</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and</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configuration</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_Toc185236577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4</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3ECDFC22">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"_Toc185236578" </w:instrText>
      </w:r>
      <w:r>
        <w:fldChar w:fldCharType="separate"/>
      </w:r>
      <w:r>
        <w:rPr>
          <w:rStyle w:val="54"/>
          <w:rFonts w:ascii="Times New Roman" w:hAnsi="Times New Roman" w:cs="Times New Roman" w:eastAsiaTheme="minorEastAsia"/>
          <w:b w:val="0"/>
          <w:color w:val="auto"/>
        </w:rPr>
        <w:t xml:space="preserve">4.5  </w:t>
      </w:r>
      <w:r>
        <w:rPr>
          <w:rStyle w:val="54"/>
          <w:rFonts w:ascii="Times New Roman" w:hAnsi="Times New Roman" w:cs="Times New Roman" w:eastAsiaTheme="minorEastAsia"/>
          <w:b w:val="0"/>
          <w:caps w:val="0"/>
          <w:color w:val="auto"/>
          <w:kern w:val="44"/>
        </w:rPr>
        <w:t>Working</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welll</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_Toc185236578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5</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40E50A3C">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"_Toc185236579" </w:instrText>
      </w:r>
      <w:r>
        <w:fldChar w:fldCharType="separate"/>
      </w:r>
      <w:r>
        <w:rPr>
          <w:rStyle w:val="54"/>
          <w:rFonts w:ascii="Times New Roman" w:hAnsi="Times New Roman" w:cs="Times New Roman" w:eastAsiaTheme="minorEastAsia"/>
          <w:b w:val="0"/>
          <w:color w:val="auto"/>
        </w:rPr>
        <w:t xml:space="preserve">4.6  </w:t>
      </w:r>
      <w:r>
        <w:rPr>
          <w:rStyle w:val="54"/>
          <w:rFonts w:ascii="Times New Roman" w:hAnsi="Times New Roman" w:cs="Times New Roman" w:eastAsiaTheme="minorEastAsia"/>
          <w:b w:val="0"/>
          <w:caps w:val="0"/>
          <w:color w:val="auto"/>
          <w:kern w:val="44"/>
        </w:rPr>
        <w:t>Jacking</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force</w:t>
      </w:r>
      <w:r>
        <w:rPr>
          <w:rStyle w:val="54"/>
          <w:rFonts w:hint="eastAsia" w:ascii="Times New Roman" w:hAnsi="Times New Roman" w:cs="Times New Roman" w:eastAsiaTheme="minorEastAsia"/>
          <w:b w:val="0"/>
          <w:caps w:val="0"/>
          <w:color w:val="auto"/>
          <w:kern w:val="44"/>
        </w:rPr>
        <w:t xml:space="preserve"> and </w:t>
      </w:r>
      <w:r>
        <w:rPr>
          <w:rStyle w:val="54"/>
          <w:rFonts w:ascii="Times New Roman" w:hAnsi="Times New Roman" w:cs="Times New Roman" w:eastAsiaTheme="minorEastAsia"/>
          <w:b w:val="0"/>
          <w:caps w:val="0"/>
          <w:color w:val="auto"/>
          <w:kern w:val="44"/>
        </w:rPr>
        <w:t>reaction base calculation</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_Toc185236579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6</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074B0DE1">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"_Toc185236580" </w:instrText>
      </w:r>
      <w:r>
        <w:fldChar w:fldCharType="separate"/>
      </w:r>
      <w:r>
        <w:rPr>
          <w:rStyle w:val="54"/>
          <w:rFonts w:ascii="Times New Roman" w:hAnsi="Times New Roman" w:cs="Times New Roman" w:eastAsiaTheme="minorEastAsia"/>
          <w:b w:val="0"/>
          <w:color w:val="auto"/>
        </w:rPr>
        <w:t xml:space="preserve">4.7  </w:t>
      </w:r>
      <w:r>
        <w:rPr>
          <w:rStyle w:val="54"/>
          <w:rFonts w:ascii="Times New Roman" w:hAnsi="Times New Roman" w:cs="Times New Roman" w:eastAsiaTheme="minorEastAsia"/>
          <w:b w:val="0"/>
          <w:caps w:val="0"/>
          <w:color w:val="auto"/>
          <w:kern w:val="44"/>
        </w:rPr>
        <w:t>Assembly</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and</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debugging</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of</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rectangular</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pipe</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jacking</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machine</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_Toc185236580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7</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6B405B11">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"_Toc185236581" </w:instrText>
      </w:r>
      <w:r>
        <w:fldChar w:fldCharType="separate"/>
      </w:r>
      <w:r>
        <w:rPr>
          <w:rStyle w:val="54"/>
          <w:rFonts w:ascii="Times New Roman" w:hAnsi="Times New Roman" w:cs="Times New Roman" w:eastAsiaTheme="minorEastAsia"/>
          <w:b w:val="0"/>
          <w:color w:val="auto"/>
        </w:rPr>
        <w:t xml:space="preserve">4.8  </w:t>
      </w:r>
      <w:r>
        <w:rPr>
          <w:rStyle w:val="54"/>
          <w:rFonts w:ascii="Times New Roman" w:hAnsi="Times New Roman" w:cs="Times New Roman" w:eastAsiaTheme="minorEastAsia"/>
          <w:b w:val="0"/>
          <w:caps w:val="0"/>
          <w:color w:val="auto"/>
          <w:kern w:val="44"/>
        </w:rPr>
        <w:t>Auxiliary</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facilities</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_Toc185236581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8</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7817D338">
      <w:pPr>
        <w:pStyle w:val="31"/>
        <w:tabs>
          <w:tab w:val="right" w:leader="dot" w:pos="9060"/>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"_Toc185236582" </w:instrText>
      </w:r>
      <w:r>
        <w:fldChar w:fldCharType="separate"/>
      </w:r>
      <w:r>
        <w:rPr>
          <w:rStyle w:val="54"/>
          <w:rFonts w:ascii="Times New Roman" w:hAnsi="Times New Roman" w:cs="Times New Roman" w:eastAsiaTheme="minorEastAsia"/>
          <w:color w:val="auto"/>
          <w:kern w:val="44"/>
        </w:rPr>
        <w:t xml:space="preserve">5  </w:t>
      </w:r>
      <w:r>
        <w:rPr>
          <w:rStyle w:val="54"/>
          <w:rFonts w:ascii="Times New Roman" w:hAnsi="Times New Roman" w:cs="Times New Roman" w:eastAsiaTheme="minorEastAsia"/>
          <w:caps w:val="0"/>
          <w:color w:val="auto"/>
          <w:kern w:val="44"/>
        </w:rPr>
        <w:t>Jacking</w:t>
      </w:r>
      <w:r>
        <w:rPr>
          <w:rStyle w:val="54"/>
          <w:rFonts w:ascii="Times New Roman" w:hAnsi="Times New Roman" w:cs="Times New Roman" w:eastAsiaTheme="minorEastAsia"/>
          <w:color w:val="auto"/>
          <w:kern w:val="44"/>
        </w:rPr>
        <w:t xml:space="preserve"> </w:t>
      </w:r>
      <w:r>
        <w:rPr>
          <w:rStyle w:val="54"/>
          <w:rFonts w:ascii="Times New Roman" w:hAnsi="Times New Roman" w:cs="Times New Roman" w:eastAsiaTheme="minorEastAsia"/>
          <w:caps w:val="0"/>
          <w:color w:val="auto"/>
          <w:kern w:val="44"/>
        </w:rPr>
        <w:t>construction</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_Toc185236582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9</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1D63AE39">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"_Toc185236583" </w:instrText>
      </w:r>
      <w:r>
        <w:fldChar w:fldCharType="separate"/>
      </w:r>
      <w:r>
        <w:rPr>
          <w:rStyle w:val="54"/>
          <w:rFonts w:ascii="Times New Roman" w:hAnsi="Times New Roman" w:cs="Times New Roman" w:eastAsiaTheme="minorEastAsia"/>
          <w:b w:val="0"/>
          <w:color w:val="auto"/>
        </w:rPr>
        <w:t xml:space="preserve">5.1  </w:t>
      </w:r>
      <w:r>
        <w:rPr>
          <w:rStyle w:val="54"/>
          <w:rFonts w:ascii="Times New Roman" w:hAnsi="Times New Roman" w:cs="Times New Roman" w:eastAsiaTheme="minorEastAsia"/>
          <w:b w:val="0"/>
          <w:caps w:val="0"/>
          <w:color w:val="auto"/>
          <w:kern w:val="44"/>
        </w:rPr>
        <w:t>General</w:t>
      </w:r>
      <w:r>
        <w:rPr>
          <w:rStyle w:val="54"/>
          <w:rFonts w:ascii="Times New Roman" w:hAnsi="Times New Roman" w:cs="Times New Roman" w:eastAsiaTheme="minorEastAsia"/>
          <w:b w:val="0"/>
          <w:color w:val="auto"/>
        </w:rPr>
        <w:t xml:space="preserve"> </w:t>
      </w:r>
      <w:r>
        <w:rPr>
          <w:rStyle w:val="54"/>
          <w:rFonts w:hint="eastAsia" w:ascii="Times New Roman" w:hAnsi="Times New Roman" w:cs="Times New Roman" w:eastAsiaTheme="minorEastAsia"/>
          <w:b w:val="0"/>
          <w:caps w:val="0"/>
          <w:color w:val="auto"/>
          <w:kern w:val="44"/>
        </w:rPr>
        <w:t>requirements</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_Toc185236583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9</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7F715333">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"_Toc185236584" </w:instrText>
      </w:r>
      <w:r>
        <w:fldChar w:fldCharType="separate"/>
      </w:r>
      <w:r>
        <w:rPr>
          <w:rStyle w:val="54"/>
          <w:rFonts w:ascii="Times New Roman" w:hAnsi="Times New Roman" w:cs="Times New Roman" w:eastAsiaTheme="minorEastAsia"/>
          <w:b w:val="0"/>
          <w:color w:val="auto"/>
        </w:rPr>
        <w:t xml:space="preserve">5.2  </w:t>
      </w:r>
      <w:r>
        <w:rPr>
          <w:rStyle w:val="54"/>
          <w:rFonts w:ascii="Times New Roman" w:hAnsi="Times New Roman" w:cs="Times New Roman" w:eastAsiaTheme="minorEastAsia"/>
          <w:b w:val="0"/>
          <w:caps w:val="0"/>
          <w:color w:val="auto"/>
          <w:kern w:val="44"/>
        </w:rPr>
        <w:t>Originating</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and</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receiving</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_Toc185236584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9</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5C3C9A68">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"_Toc185236585" </w:instrText>
      </w:r>
      <w:r>
        <w:fldChar w:fldCharType="separate"/>
      </w:r>
      <w:r>
        <w:rPr>
          <w:rStyle w:val="54"/>
          <w:rFonts w:ascii="Times New Roman" w:hAnsi="Times New Roman" w:cs="Times New Roman" w:eastAsiaTheme="minorEastAsia"/>
          <w:b w:val="0"/>
          <w:color w:val="auto"/>
        </w:rPr>
        <w:t xml:space="preserve">5.3  </w:t>
      </w:r>
      <w:r>
        <w:rPr>
          <w:rStyle w:val="54"/>
          <w:rFonts w:ascii="Times New Roman" w:hAnsi="Times New Roman" w:cs="Times New Roman" w:eastAsiaTheme="minorEastAsia"/>
          <w:b w:val="0"/>
          <w:caps w:val="0"/>
          <w:color w:val="auto"/>
          <w:kern w:val="44"/>
        </w:rPr>
        <w:t>Jacking</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_Toc185236585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10</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50F6F936">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"_Toc185236586" </w:instrText>
      </w:r>
      <w:r>
        <w:fldChar w:fldCharType="separate"/>
      </w:r>
      <w:r>
        <w:rPr>
          <w:rStyle w:val="54"/>
          <w:rFonts w:ascii="Times New Roman" w:hAnsi="Times New Roman" w:cs="Times New Roman" w:eastAsiaTheme="minorEastAsia"/>
          <w:b w:val="0"/>
          <w:color w:val="auto"/>
        </w:rPr>
        <w:t xml:space="preserve">5.4  </w:t>
      </w:r>
      <w:r>
        <w:rPr>
          <w:rStyle w:val="54"/>
          <w:rFonts w:ascii="Times New Roman" w:hAnsi="Times New Roman" w:cs="Times New Roman" w:eastAsiaTheme="minorEastAsia"/>
          <w:b w:val="0"/>
          <w:caps w:val="0"/>
          <w:color w:val="auto"/>
          <w:kern w:val="44"/>
        </w:rPr>
        <w:t>Section</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installation</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_Toc185236586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10</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5C8FD890">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"_Toc185236587" </w:instrText>
      </w:r>
      <w:r>
        <w:fldChar w:fldCharType="separate"/>
      </w:r>
      <w:r>
        <w:rPr>
          <w:rStyle w:val="54"/>
          <w:rFonts w:ascii="Times New Roman" w:hAnsi="Times New Roman" w:cs="Times New Roman" w:eastAsiaTheme="minorEastAsia"/>
          <w:b w:val="0"/>
          <w:color w:val="auto"/>
        </w:rPr>
        <w:t xml:space="preserve">5.5  </w:t>
      </w:r>
      <w:r>
        <w:rPr>
          <w:rStyle w:val="54"/>
          <w:rFonts w:ascii="Times New Roman" w:hAnsi="Times New Roman" w:cs="Times New Roman" w:eastAsiaTheme="minorEastAsia"/>
          <w:b w:val="0"/>
          <w:caps w:val="0"/>
          <w:color w:val="auto"/>
          <w:kern w:val="44"/>
        </w:rPr>
        <w:t>Grouting</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to</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reduce</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drag</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_Toc185236587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10</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62B6CA03">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"_Toc185236588" </w:instrText>
      </w:r>
      <w:r>
        <w:fldChar w:fldCharType="separate"/>
      </w:r>
      <w:r>
        <w:rPr>
          <w:rStyle w:val="54"/>
          <w:rFonts w:ascii="Times New Roman" w:hAnsi="Times New Roman" w:cs="Times New Roman" w:eastAsiaTheme="minorEastAsia"/>
          <w:b w:val="0"/>
          <w:color w:val="auto"/>
        </w:rPr>
        <w:t xml:space="preserve">5.6  </w:t>
      </w:r>
      <w:r>
        <w:rPr>
          <w:rStyle w:val="54"/>
          <w:rFonts w:ascii="Times New Roman" w:hAnsi="Times New Roman" w:cs="Times New Roman" w:eastAsiaTheme="minorEastAsia"/>
          <w:b w:val="0"/>
          <w:caps w:val="0"/>
          <w:color w:val="auto"/>
          <w:kern w:val="44"/>
        </w:rPr>
        <w:t>Mud</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injection</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_Toc185236588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11</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4D2A208A">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"_Toc185236589" </w:instrText>
      </w:r>
      <w:r>
        <w:fldChar w:fldCharType="separate"/>
      </w:r>
      <w:r>
        <w:rPr>
          <w:rStyle w:val="54"/>
          <w:rFonts w:ascii="Times New Roman" w:hAnsi="Times New Roman" w:cs="Times New Roman" w:eastAsiaTheme="minorEastAsia"/>
          <w:b w:val="0"/>
          <w:color w:val="auto"/>
        </w:rPr>
        <w:t xml:space="preserve">5.7  </w:t>
      </w:r>
      <w:r>
        <w:rPr>
          <w:rStyle w:val="54"/>
          <w:rFonts w:ascii="Times New Roman" w:hAnsi="Times New Roman" w:cs="Times New Roman" w:eastAsiaTheme="minorEastAsia"/>
          <w:b w:val="0"/>
          <w:caps w:val="0"/>
          <w:color w:val="auto"/>
          <w:kern w:val="44"/>
        </w:rPr>
        <w:t>Correction</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of</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deviation</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_Toc185236589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11</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04C86BA8">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"_Toc185236590" </w:instrText>
      </w:r>
      <w:r>
        <w:fldChar w:fldCharType="separate"/>
      </w:r>
      <w:r>
        <w:rPr>
          <w:rStyle w:val="54"/>
          <w:rFonts w:ascii="Times New Roman" w:hAnsi="Times New Roman" w:cs="Times New Roman" w:eastAsiaTheme="minorEastAsia"/>
          <w:b w:val="0"/>
          <w:color w:val="auto"/>
        </w:rPr>
        <w:t xml:space="preserve">5.8  </w:t>
      </w:r>
      <w:r>
        <w:rPr>
          <w:rStyle w:val="54"/>
          <w:rFonts w:ascii="Times New Roman" w:hAnsi="Times New Roman" w:cs="Times New Roman" w:eastAsiaTheme="minorEastAsia"/>
          <w:b w:val="0"/>
          <w:caps w:val="0"/>
          <w:color w:val="auto"/>
          <w:kern w:val="44"/>
        </w:rPr>
        <w:t>Soil</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improvement</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_Toc185236590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12</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33A8AC2E">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"_Toc185236591" </w:instrText>
      </w:r>
      <w:r>
        <w:fldChar w:fldCharType="separate"/>
      </w:r>
      <w:r>
        <w:rPr>
          <w:rStyle w:val="54"/>
          <w:rFonts w:ascii="Times New Roman" w:hAnsi="Times New Roman" w:cs="Times New Roman" w:eastAsiaTheme="minorEastAsia"/>
          <w:b w:val="0"/>
          <w:color w:val="auto"/>
        </w:rPr>
        <w:t xml:space="preserve">5.9  </w:t>
      </w:r>
      <w:r>
        <w:rPr>
          <w:rStyle w:val="54"/>
          <w:rFonts w:ascii="Times New Roman" w:hAnsi="Times New Roman" w:cs="Times New Roman" w:eastAsiaTheme="minorEastAsia"/>
          <w:b w:val="0"/>
          <w:caps w:val="0"/>
          <w:color w:val="auto"/>
          <w:kern w:val="44"/>
        </w:rPr>
        <w:t>Mud</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displacement</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_Toc185236591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12</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7EEC83D4">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"_Toc185236592" </w:instrText>
      </w:r>
      <w:r>
        <w:fldChar w:fldCharType="separate"/>
      </w:r>
      <w:r>
        <w:rPr>
          <w:rStyle w:val="54"/>
          <w:rFonts w:ascii="Times New Roman" w:hAnsi="Times New Roman" w:cs="Times New Roman" w:eastAsiaTheme="minorEastAsia"/>
          <w:b w:val="0"/>
          <w:color w:val="auto"/>
        </w:rPr>
        <w:t xml:space="preserve">5.10  </w:t>
      </w:r>
      <w:r>
        <w:rPr>
          <w:rStyle w:val="54"/>
          <w:rFonts w:ascii="Times New Roman" w:hAnsi="Times New Roman" w:cs="Times New Roman" w:eastAsiaTheme="minorEastAsia"/>
          <w:b w:val="0"/>
          <w:caps w:val="0"/>
          <w:color w:val="auto"/>
          <w:kern w:val="44"/>
        </w:rPr>
        <w:t>Intertrunk</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setting</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_Toc185236592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12</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34CD3CFE">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"_Toc185236593" </w:instrText>
      </w:r>
      <w:r>
        <w:fldChar w:fldCharType="separate"/>
      </w:r>
      <w:r>
        <w:rPr>
          <w:rStyle w:val="54"/>
          <w:rFonts w:ascii="Times New Roman" w:hAnsi="Times New Roman" w:cs="Times New Roman" w:eastAsiaTheme="minorEastAsia"/>
          <w:b w:val="0"/>
          <w:color w:val="auto"/>
        </w:rPr>
        <w:t xml:space="preserve">5.11  </w:t>
      </w:r>
      <w:r>
        <w:rPr>
          <w:rStyle w:val="54"/>
          <w:rFonts w:ascii="Times New Roman" w:hAnsi="Times New Roman" w:cs="Times New Roman" w:eastAsiaTheme="minorEastAsia"/>
          <w:b w:val="0"/>
          <w:caps w:val="0"/>
          <w:color w:val="auto"/>
          <w:kern w:val="44"/>
        </w:rPr>
        <w:t>Structural</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waterproofing</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_Toc185236593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12</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63574545">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"_Toc185236594" </w:instrText>
      </w:r>
      <w:r>
        <w:fldChar w:fldCharType="separate"/>
      </w:r>
      <w:r>
        <w:rPr>
          <w:rStyle w:val="54"/>
          <w:rFonts w:ascii="Times New Roman" w:hAnsi="Times New Roman" w:cs="Times New Roman" w:eastAsiaTheme="minorEastAsia"/>
          <w:b w:val="0"/>
          <w:color w:val="auto"/>
        </w:rPr>
        <w:t xml:space="preserve">5.12  </w:t>
      </w:r>
      <w:r>
        <w:rPr>
          <w:rStyle w:val="54"/>
          <w:rFonts w:ascii="Times New Roman" w:hAnsi="Times New Roman" w:cs="Times New Roman" w:eastAsiaTheme="minorEastAsia"/>
          <w:b w:val="0"/>
          <w:caps w:val="0"/>
          <w:color w:val="auto"/>
          <w:kern w:val="44"/>
        </w:rPr>
        <w:t>Construction</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transportation</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_Toc185236594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13</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02D7B15E">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"_Toc185236595" </w:instrText>
      </w:r>
      <w:r>
        <w:fldChar w:fldCharType="separate"/>
      </w:r>
      <w:r>
        <w:rPr>
          <w:rStyle w:val="54"/>
          <w:rFonts w:ascii="Times New Roman" w:hAnsi="Times New Roman" w:cs="Times New Roman" w:eastAsiaTheme="minorEastAsia"/>
          <w:b w:val="0"/>
          <w:color w:val="auto"/>
        </w:rPr>
        <w:t xml:space="preserve">5.13  </w:t>
      </w:r>
      <w:r>
        <w:rPr>
          <w:rStyle w:val="54"/>
          <w:rFonts w:ascii="Times New Roman" w:hAnsi="Times New Roman" w:cs="Times New Roman" w:eastAsiaTheme="minorEastAsia"/>
          <w:b w:val="0"/>
          <w:caps w:val="0"/>
          <w:color w:val="auto"/>
          <w:kern w:val="44"/>
        </w:rPr>
        <w:t>Pipe</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jacking</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machine</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disassembly</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and</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lifting</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_Toc185236595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14</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2315B277">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rPr>
      </w:pPr>
      <w:r>
        <w:fldChar w:fldCharType="begin"/>
      </w:r>
      <w:r>
        <w:instrText xml:space="preserve"> HYPERLINK \l "_Toc185236596" </w:instrText>
      </w:r>
      <w:r>
        <w:fldChar w:fldCharType="separate"/>
      </w:r>
      <w:r>
        <w:rPr>
          <w:rStyle w:val="54"/>
          <w:rFonts w:ascii="Times New Roman" w:hAnsi="Times New Roman" w:cs="Times New Roman" w:eastAsiaTheme="minorEastAsia"/>
          <w:b w:val="0"/>
          <w:color w:val="auto"/>
        </w:rPr>
        <w:t xml:space="preserve">5.14  </w:t>
      </w:r>
      <w:r>
        <w:rPr>
          <w:rStyle w:val="54"/>
          <w:rFonts w:ascii="Times New Roman" w:hAnsi="Times New Roman" w:cs="Times New Roman" w:eastAsiaTheme="minorEastAsia"/>
          <w:b w:val="0"/>
          <w:caps w:val="0"/>
          <w:color w:val="auto"/>
          <w:kern w:val="44"/>
        </w:rPr>
        <w:t>Construction</w:t>
      </w:r>
      <w:r>
        <w:rPr>
          <w:rStyle w:val="54"/>
          <w:rFonts w:ascii="Times New Roman" w:hAnsi="Times New Roman" w:cs="Times New Roman" w:eastAsiaTheme="minorEastAsia"/>
          <w:b w:val="0"/>
          <w:color w:val="auto"/>
        </w:rPr>
        <w:t xml:space="preserve"> </w:t>
      </w:r>
      <w:r>
        <w:rPr>
          <w:rStyle w:val="54"/>
          <w:rFonts w:hint="eastAsia" w:ascii="Times New Roman" w:hAnsi="Times New Roman" w:cs="Times New Roman" w:eastAsiaTheme="minorEastAsia"/>
          <w:b w:val="0"/>
          <w:caps w:val="0"/>
          <w:color w:val="auto"/>
          <w:kern w:val="44"/>
        </w:rPr>
        <w:t>survey</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_Toc185236596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14</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3CE41891">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rPr>
      </w:pPr>
      <w:r>
        <w:fldChar w:fldCharType="begin"/>
      </w:r>
      <w:r>
        <w:instrText xml:space="preserve"> HYPERLINK \l "_Toc185236596" </w:instrText>
      </w:r>
      <w:r>
        <w:fldChar w:fldCharType="separate"/>
      </w:r>
      <w:r>
        <w:rPr>
          <w:rStyle w:val="54"/>
          <w:rFonts w:ascii="Times New Roman" w:hAnsi="Times New Roman" w:cs="Times New Roman" w:eastAsiaTheme="minorEastAsia"/>
          <w:b w:val="0"/>
          <w:color w:val="auto"/>
        </w:rPr>
        <w:t>5.1</w:t>
      </w:r>
      <w:r>
        <w:rPr>
          <w:rStyle w:val="54"/>
          <w:rFonts w:hint="eastAsia" w:ascii="Times New Roman" w:hAnsi="Times New Roman" w:cs="Times New Roman" w:eastAsiaTheme="minorEastAsia"/>
          <w:b w:val="0"/>
          <w:color w:val="auto"/>
        </w:rPr>
        <w:t>5</w:t>
      </w:r>
      <w:r>
        <w:rPr>
          <w:rStyle w:val="54"/>
          <w:rFonts w:ascii="Times New Roman" w:hAnsi="Times New Roman" w:cs="Times New Roman" w:eastAsiaTheme="minorEastAsia"/>
          <w:b w:val="0"/>
          <w:color w:val="auto"/>
        </w:rPr>
        <w:t xml:space="preserve">  </w:t>
      </w:r>
      <w:r>
        <w:rPr>
          <w:rStyle w:val="54"/>
          <w:rFonts w:hint="eastAsia" w:ascii="Times New Roman" w:hAnsi="Times New Roman" w:cs="Times New Roman" w:eastAsiaTheme="minorEastAsia"/>
          <w:b w:val="0"/>
          <w:caps w:val="0"/>
          <w:color w:val="auto"/>
          <w:kern w:val="44"/>
        </w:rPr>
        <w:t>Monitoring measurement</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_Toc185236596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14</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3D7893D4">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"_Toc185236597" </w:instrText>
      </w:r>
      <w:r>
        <w:fldChar w:fldCharType="separate"/>
      </w:r>
      <w:r>
        <w:rPr>
          <w:rStyle w:val="54"/>
          <w:rFonts w:ascii="Times New Roman" w:hAnsi="Times New Roman" w:cs="Times New Roman" w:eastAsiaTheme="minorEastAsia"/>
          <w:b w:val="0"/>
          <w:color w:val="auto"/>
        </w:rPr>
        <w:t>5.1</w:t>
      </w:r>
      <w:r>
        <w:rPr>
          <w:rStyle w:val="54"/>
          <w:rFonts w:hint="eastAsia" w:ascii="Times New Roman" w:hAnsi="Times New Roman" w:cs="Times New Roman" w:eastAsiaTheme="minorEastAsia"/>
          <w:b w:val="0"/>
          <w:color w:val="auto"/>
        </w:rPr>
        <w:t>6</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Ventilation</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power</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and</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lighting</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_Toc185236597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15</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61FEC30E">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"_Toc185236598" </w:instrText>
      </w:r>
      <w:r>
        <w:fldChar w:fldCharType="separate"/>
      </w:r>
      <w:r>
        <w:rPr>
          <w:rStyle w:val="54"/>
          <w:rFonts w:ascii="Times New Roman" w:hAnsi="Times New Roman" w:cs="Times New Roman" w:eastAsiaTheme="minorEastAsia"/>
          <w:b w:val="0"/>
          <w:color w:val="auto"/>
        </w:rPr>
        <w:t>5.1</w:t>
      </w:r>
      <w:r>
        <w:rPr>
          <w:rStyle w:val="54"/>
          <w:rFonts w:hint="eastAsia" w:ascii="Times New Roman" w:hAnsi="Times New Roman" w:cs="Times New Roman" w:eastAsiaTheme="minorEastAsia"/>
          <w:b w:val="0"/>
          <w:color w:val="auto"/>
        </w:rPr>
        <w:t>7</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Construction</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safety</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and</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environmental</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protection</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_Toc185236598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15</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66370C19">
      <w:pPr>
        <w:pStyle w:val="31"/>
        <w:tabs>
          <w:tab w:val="right" w:leader="dot" w:pos="9060"/>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"_Toc185236599" </w:instrText>
      </w:r>
      <w:r>
        <w:fldChar w:fldCharType="separate"/>
      </w:r>
      <w:r>
        <w:rPr>
          <w:rStyle w:val="54"/>
          <w:rFonts w:ascii="Times New Roman" w:hAnsi="Times New Roman" w:cs="Times New Roman" w:eastAsiaTheme="minorEastAsia"/>
          <w:color w:val="auto"/>
          <w:kern w:val="44"/>
        </w:rPr>
        <w:t xml:space="preserve">6 </w:t>
      </w:r>
      <w:r>
        <w:rPr>
          <w:rStyle w:val="54"/>
          <w:rFonts w:hint="eastAsia" w:ascii="Times New Roman" w:hAnsi="Times New Roman" w:cs="Times New Roman" w:eastAsiaTheme="minorEastAsia"/>
          <w:color w:val="auto"/>
          <w:kern w:val="44"/>
        </w:rPr>
        <w:t xml:space="preserve"> </w:t>
      </w:r>
      <w:r>
        <w:rPr>
          <w:rStyle w:val="54"/>
          <w:rFonts w:ascii="Times New Roman" w:hAnsi="Times New Roman" w:cs="Times New Roman" w:eastAsiaTheme="minorEastAsia"/>
          <w:caps w:val="0"/>
          <w:color w:val="auto"/>
          <w:kern w:val="44"/>
        </w:rPr>
        <w:t>Rectangular</w:t>
      </w:r>
      <w:r>
        <w:rPr>
          <w:rStyle w:val="54"/>
          <w:rFonts w:ascii="Times New Roman" w:hAnsi="Times New Roman" w:cs="Times New Roman" w:eastAsiaTheme="minorEastAsia"/>
          <w:color w:val="auto"/>
          <w:kern w:val="44"/>
        </w:rPr>
        <w:t xml:space="preserve"> </w:t>
      </w:r>
      <w:r>
        <w:rPr>
          <w:rStyle w:val="54"/>
          <w:rFonts w:ascii="Times New Roman" w:hAnsi="Times New Roman" w:cs="Times New Roman" w:eastAsiaTheme="minorEastAsia"/>
          <w:caps w:val="0"/>
          <w:color w:val="auto"/>
          <w:kern w:val="44"/>
        </w:rPr>
        <w:t>pipe</w:t>
      </w:r>
      <w:r>
        <w:rPr>
          <w:rStyle w:val="54"/>
          <w:rFonts w:ascii="Times New Roman" w:hAnsi="Times New Roman" w:cs="Times New Roman" w:eastAsiaTheme="minorEastAsia"/>
          <w:color w:val="auto"/>
          <w:kern w:val="44"/>
        </w:rPr>
        <w:t xml:space="preserve"> </w:t>
      </w:r>
      <w:r>
        <w:rPr>
          <w:rStyle w:val="54"/>
          <w:rFonts w:ascii="Times New Roman" w:hAnsi="Times New Roman" w:cs="Times New Roman" w:eastAsiaTheme="minorEastAsia"/>
          <w:caps w:val="0"/>
          <w:color w:val="auto"/>
          <w:kern w:val="44"/>
        </w:rPr>
        <w:t>jacking</w:t>
      </w:r>
      <w:r>
        <w:rPr>
          <w:rStyle w:val="54"/>
          <w:rFonts w:ascii="Times New Roman" w:hAnsi="Times New Roman" w:cs="Times New Roman" w:eastAsiaTheme="minorEastAsia"/>
          <w:color w:val="auto"/>
          <w:kern w:val="44"/>
        </w:rPr>
        <w:t xml:space="preserve"> </w:t>
      </w:r>
      <w:r>
        <w:rPr>
          <w:rStyle w:val="54"/>
          <w:rFonts w:ascii="Times New Roman" w:hAnsi="Times New Roman" w:cs="Times New Roman" w:eastAsiaTheme="minorEastAsia"/>
          <w:caps w:val="0"/>
          <w:color w:val="auto"/>
          <w:kern w:val="44"/>
        </w:rPr>
        <w:t>construction</w:t>
      </w:r>
      <w:r>
        <w:rPr>
          <w:rStyle w:val="54"/>
          <w:rFonts w:ascii="Times New Roman" w:hAnsi="Times New Roman" w:cs="Times New Roman" w:eastAsiaTheme="minorEastAsia"/>
          <w:color w:val="auto"/>
          <w:kern w:val="44"/>
        </w:rPr>
        <w:t xml:space="preserve"> </w:t>
      </w:r>
      <w:r>
        <w:rPr>
          <w:rStyle w:val="54"/>
          <w:rFonts w:ascii="Times New Roman" w:hAnsi="Times New Roman" w:cs="Times New Roman" w:eastAsiaTheme="minorEastAsia"/>
          <w:caps w:val="0"/>
          <w:color w:val="auto"/>
          <w:kern w:val="44"/>
        </w:rPr>
        <w:t>under</w:t>
      </w:r>
      <w:r>
        <w:rPr>
          <w:rStyle w:val="54"/>
          <w:rFonts w:ascii="Times New Roman" w:hAnsi="Times New Roman" w:cs="Times New Roman" w:eastAsiaTheme="minorEastAsia"/>
          <w:color w:val="auto"/>
          <w:kern w:val="44"/>
        </w:rPr>
        <w:t xml:space="preserve"> </w:t>
      </w:r>
      <w:r>
        <w:rPr>
          <w:rStyle w:val="54"/>
          <w:rFonts w:ascii="Times New Roman" w:hAnsi="Times New Roman" w:cs="Times New Roman" w:eastAsiaTheme="minorEastAsia"/>
          <w:caps w:val="0"/>
          <w:color w:val="auto"/>
          <w:kern w:val="44"/>
        </w:rPr>
        <w:t>special</w:t>
      </w:r>
      <w:r>
        <w:rPr>
          <w:rStyle w:val="54"/>
          <w:rFonts w:ascii="Times New Roman" w:hAnsi="Times New Roman" w:cs="Times New Roman" w:eastAsiaTheme="minorEastAsia"/>
          <w:color w:val="auto"/>
          <w:kern w:val="44"/>
        </w:rPr>
        <w:t xml:space="preserve"> </w:t>
      </w:r>
      <w:r>
        <w:rPr>
          <w:rStyle w:val="54"/>
          <w:rFonts w:ascii="Times New Roman" w:hAnsi="Times New Roman" w:cs="Times New Roman" w:eastAsiaTheme="minorEastAsia"/>
          <w:caps w:val="0"/>
          <w:color w:val="auto"/>
          <w:kern w:val="44"/>
        </w:rPr>
        <w:t>working</w:t>
      </w:r>
      <w:r>
        <w:rPr>
          <w:rStyle w:val="54"/>
          <w:rFonts w:ascii="Times New Roman" w:hAnsi="Times New Roman" w:cs="Times New Roman" w:eastAsiaTheme="minorEastAsia"/>
          <w:color w:val="auto"/>
          <w:kern w:val="44"/>
        </w:rPr>
        <w:t xml:space="preserve"> </w:t>
      </w:r>
      <w:r>
        <w:rPr>
          <w:rStyle w:val="54"/>
          <w:rFonts w:ascii="Times New Roman" w:hAnsi="Times New Roman" w:cs="Times New Roman" w:eastAsiaTheme="minorEastAsia"/>
          <w:caps w:val="0"/>
          <w:color w:val="auto"/>
          <w:kern w:val="44"/>
        </w:rPr>
        <w:t>conditions</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_Toc185236599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17</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7011189F">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"_Toc185236600" </w:instrText>
      </w:r>
      <w:r>
        <w:fldChar w:fldCharType="separate"/>
      </w:r>
      <w:r>
        <w:rPr>
          <w:rStyle w:val="54"/>
          <w:rFonts w:ascii="Times New Roman" w:hAnsi="Times New Roman" w:cs="Times New Roman" w:eastAsiaTheme="minorEastAsia"/>
          <w:b w:val="0"/>
          <w:color w:val="auto"/>
        </w:rPr>
        <w:t xml:space="preserve">6.1  </w:t>
      </w:r>
      <w:r>
        <w:rPr>
          <w:rStyle w:val="54"/>
          <w:rFonts w:ascii="Times New Roman" w:hAnsi="Times New Roman" w:cs="Times New Roman" w:eastAsiaTheme="minorEastAsia"/>
          <w:b w:val="0"/>
          <w:caps w:val="0"/>
          <w:color w:val="auto"/>
          <w:kern w:val="44"/>
        </w:rPr>
        <w:t>General</w:t>
      </w:r>
      <w:r>
        <w:rPr>
          <w:rStyle w:val="54"/>
          <w:rFonts w:ascii="Times New Roman" w:hAnsi="Times New Roman" w:cs="Times New Roman" w:eastAsiaTheme="minorEastAsia"/>
          <w:b w:val="0"/>
          <w:color w:val="auto"/>
        </w:rPr>
        <w:t xml:space="preserve"> </w:t>
      </w:r>
      <w:r>
        <w:rPr>
          <w:rStyle w:val="54"/>
          <w:rFonts w:hint="eastAsia" w:ascii="Times New Roman" w:hAnsi="Times New Roman" w:cs="Times New Roman" w:eastAsiaTheme="minorEastAsia"/>
          <w:b w:val="0"/>
          <w:caps w:val="0"/>
          <w:color w:val="auto"/>
          <w:kern w:val="44"/>
        </w:rPr>
        <w:t>requirements</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_Toc185236600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17</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5CCBDDED">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"_Toc185236601" </w:instrText>
      </w:r>
      <w:r>
        <w:fldChar w:fldCharType="separate"/>
      </w:r>
      <w:r>
        <w:rPr>
          <w:rStyle w:val="54"/>
          <w:rFonts w:ascii="Times New Roman" w:hAnsi="Times New Roman" w:cs="Times New Roman" w:eastAsiaTheme="minorEastAsia"/>
          <w:b w:val="0"/>
          <w:color w:val="auto"/>
        </w:rPr>
        <w:t xml:space="preserve">6.2  </w:t>
      </w:r>
      <w:r>
        <w:rPr>
          <w:rStyle w:val="54"/>
          <w:rFonts w:ascii="Times New Roman" w:hAnsi="Times New Roman" w:cs="Times New Roman" w:eastAsiaTheme="minorEastAsia"/>
          <w:b w:val="0"/>
          <w:caps w:val="0"/>
          <w:color w:val="auto"/>
          <w:kern w:val="44"/>
        </w:rPr>
        <w:t>Use</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the</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station</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structure</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to</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start</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and</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receive</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_Toc185236601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17</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3E71C2C5">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"_Toc185236602" </w:instrText>
      </w:r>
      <w:r>
        <w:fldChar w:fldCharType="separate"/>
      </w:r>
      <w:r>
        <w:rPr>
          <w:rStyle w:val="54"/>
          <w:rFonts w:ascii="Times New Roman" w:hAnsi="Times New Roman" w:cs="Times New Roman" w:eastAsiaTheme="minorEastAsia"/>
          <w:b w:val="0"/>
          <w:color w:val="auto"/>
        </w:rPr>
        <w:t xml:space="preserve">6.3  </w:t>
      </w:r>
      <w:r>
        <w:rPr>
          <w:rStyle w:val="54"/>
          <w:rFonts w:ascii="Times New Roman" w:hAnsi="Times New Roman" w:cs="Times New Roman" w:eastAsiaTheme="minorEastAsia"/>
          <w:b w:val="0"/>
          <w:caps w:val="0"/>
          <w:color w:val="auto"/>
          <w:kern w:val="44"/>
        </w:rPr>
        <w:t>Insufficient</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working</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or</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receiving</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well</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length</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_Toc185236602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17</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1782EDAB">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"_Toc185236603" </w:instrText>
      </w:r>
      <w:r>
        <w:fldChar w:fldCharType="separate"/>
      </w:r>
      <w:r>
        <w:rPr>
          <w:rStyle w:val="54"/>
          <w:rFonts w:ascii="Times New Roman" w:hAnsi="Times New Roman" w:cs="Times New Roman" w:eastAsiaTheme="minorEastAsia"/>
          <w:b w:val="0"/>
          <w:color w:val="auto"/>
        </w:rPr>
        <w:t xml:space="preserve">6.4  </w:t>
      </w:r>
      <w:r>
        <w:rPr>
          <w:rStyle w:val="54"/>
          <w:rFonts w:ascii="Times New Roman" w:hAnsi="Times New Roman" w:cs="Times New Roman" w:eastAsiaTheme="minorEastAsia"/>
          <w:b w:val="0"/>
          <w:caps w:val="0"/>
          <w:color w:val="auto"/>
          <w:kern w:val="44"/>
        </w:rPr>
        <w:t>Abandoned</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shell</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_Toc185236603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17</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13C66D1A">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"_Toc185236604" </w:instrText>
      </w:r>
      <w:r>
        <w:fldChar w:fldCharType="separate"/>
      </w:r>
      <w:r>
        <w:rPr>
          <w:rStyle w:val="54"/>
          <w:rFonts w:ascii="Times New Roman" w:hAnsi="Times New Roman" w:cs="Times New Roman" w:eastAsiaTheme="minorEastAsia"/>
          <w:b w:val="0"/>
          <w:color w:val="auto"/>
        </w:rPr>
        <w:t xml:space="preserve">6.5  </w:t>
      </w:r>
      <w:r>
        <w:rPr>
          <w:rStyle w:val="54"/>
          <w:rFonts w:ascii="Times New Roman" w:hAnsi="Times New Roman" w:cs="Times New Roman" w:eastAsiaTheme="minorEastAsia"/>
          <w:b w:val="0"/>
          <w:caps w:val="0"/>
          <w:color w:val="auto"/>
          <w:kern w:val="44"/>
        </w:rPr>
        <w:t>Steel</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sleeve</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receives</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and</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passes</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through</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well</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_Toc185236604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18</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4257CEEA">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rPr>
      </w:pPr>
      <w:r>
        <w:fldChar w:fldCharType="begin"/>
      </w:r>
      <w:r>
        <w:instrText xml:space="preserve"> HYPERLINK \l "_Toc185236605" </w:instrText>
      </w:r>
      <w:r>
        <w:fldChar w:fldCharType="separate"/>
      </w:r>
      <w:r>
        <w:rPr>
          <w:rStyle w:val="54"/>
          <w:rFonts w:ascii="Times New Roman" w:hAnsi="Times New Roman" w:cs="Times New Roman" w:eastAsiaTheme="minorEastAsia"/>
          <w:b w:val="0"/>
          <w:color w:val="auto"/>
        </w:rPr>
        <w:t xml:space="preserve">6.6  </w:t>
      </w:r>
      <w:r>
        <w:rPr>
          <w:rStyle w:val="54"/>
          <w:rFonts w:ascii="Times New Roman" w:hAnsi="Times New Roman" w:cs="Times New Roman" w:eastAsiaTheme="minorEastAsia"/>
          <w:b w:val="0"/>
          <w:caps w:val="0"/>
          <w:color w:val="auto"/>
          <w:kern w:val="44"/>
        </w:rPr>
        <w:t>Shallow</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soil</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cover</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construction</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_Toc185236605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18</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57375F0D">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rPr>
      </w:pPr>
      <w:r>
        <w:fldChar w:fldCharType="begin"/>
      </w:r>
      <w:r>
        <w:instrText xml:space="preserve"> HYPERLINK \l "_Toc185236605" </w:instrText>
      </w:r>
      <w:r>
        <w:fldChar w:fldCharType="separate"/>
      </w:r>
      <w:r>
        <w:rPr>
          <w:rStyle w:val="54"/>
          <w:rFonts w:ascii="Times New Roman" w:hAnsi="Times New Roman" w:cs="Times New Roman" w:eastAsiaTheme="minorEastAsia"/>
          <w:b w:val="0"/>
          <w:color w:val="auto"/>
        </w:rPr>
        <w:t>6.</w:t>
      </w:r>
      <w:r>
        <w:rPr>
          <w:rStyle w:val="54"/>
          <w:rFonts w:hint="eastAsia" w:ascii="Times New Roman" w:hAnsi="Times New Roman" w:cs="Times New Roman" w:eastAsiaTheme="minorEastAsia"/>
          <w:b w:val="0"/>
          <w:color w:val="auto"/>
        </w:rPr>
        <w:t>7</w:t>
      </w:r>
      <w:r>
        <w:rPr>
          <w:rStyle w:val="54"/>
          <w:rFonts w:ascii="Times New Roman" w:hAnsi="Times New Roman" w:cs="Times New Roman" w:eastAsiaTheme="minorEastAsia"/>
          <w:b w:val="0"/>
          <w:color w:val="auto"/>
        </w:rPr>
        <w:t xml:space="preserve">  </w:t>
      </w:r>
      <w:r>
        <w:rPr>
          <w:rStyle w:val="54"/>
          <w:rFonts w:hint="eastAsia" w:ascii="Times New Roman" w:hAnsi="Times New Roman" w:cs="Times New Roman" w:eastAsiaTheme="minorEastAsia"/>
          <w:b w:val="0"/>
          <w:caps w:val="0"/>
          <w:color w:val="auto"/>
          <w:kern w:val="44"/>
        </w:rPr>
        <w:t>Crossing special, a level 1 risk source</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_Toc185236605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18</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694F6222">
      <w:pPr>
        <w:pStyle w:val="31"/>
        <w:tabs>
          <w:tab w:val="right" w:leader="dot" w:pos="9060"/>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"_Toc185236606" </w:instrText>
      </w:r>
      <w:r>
        <w:fldChar w:fldCharType="separate"/>
      </w:r>
      <w:r>
        <w:rPr>
          <w:rStyle w:val="54"/>
          <w:rFonts w:ascii="Times New Roman" w:hAnsi="Times New Roman" w:cs="Times New Roman" w:eastAsiaTheme="minorEastAsia"/>
          <w:color w:val="auto"/>
          <w:kern w:val="44"/>
        </w:rPr>
        <w:t xml:space="preserve">7  </w:t>
      </w:r>
      <w:r>
        <w:rPr>
          <w:rStyle w:val="54"/>
          <w:rFonts w:ascii="Times New Roman" w:hAnsi="Times New Roman" w:cs="Times New Roman" w:eastAsiaTheme="minorEastAsia"/>
          <w:caps w:val="0"/>
          <w:color w:val="auto"/>
          <w:kern w:val="44"/>
        </w:rPr>
        <w:t>Quality</w:t>
      </w:r>
      <w:r>
        <w:rPr>
          <w:rStyle w:val="54"/>
          <w:rFonts w:ascii="Times New Roman" w:hAnsi="Times New Roman" w:cs="Times New Roman" w:eastAsiaTheme="minorEastAsia"/>
          <w:color w:val="auto"/>
          <w:kern w:val="44"/>
        </w:rPr>
        <w:t xml:space="preserve"> </w:t>
      </w:r>
      <w:r>
        <w:rPr>
          <w:rStyle w:val="54"/>
          <w:rFonts w:hint="eastAsia" w:ascii="Times New Roman" w:hAnsi="Times New Roman" w:cs="Times New Roman" w:eastAsiaTheme="minorEastAsia"/>
          <w:caps w:val="0"/>
          <w:color w:val="auto"/>
          <w:kern w:val="44"/>
        </w:rPr>
        <w:t>inspection and acceptance</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_Toc185236606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20</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5570B0BE">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"_Toc185236607" </w:instrText>
      </w:r>
      <w:r>
        <w:fldChar w:fldCharType="separate"/>
      </w:r>
      <w:r>
        <w:rPr>
          <w:rStyle w:val="54"/>
          <w:rFonts w:ascii="Times New Roman" w:hAnsi="Times New Roman" w:cs="Times New Roman" w:eastAsiaTheme="minorEastAsia"/>
          <w:b w:val="0"/>
          <w:color w:val="auto"/>
        </w:rPr>
        <w:t xml:space="preserve">7.1  </w:t>
      </w:r>
      <w:r>
        <w:rPr>
          <w:rStyle w:val="54"/>
          <w:rFonts w:ascii="Times New Roman" w:hAnsi="Times New Roman" w:cs="Times New Roman" w:eastAsiaTheme="minorEastAsia"/>
          <w:b w:val="0"/>
          <w:caps w:val="0"/>
          <w:color w:val="auto"/>
          <w:kern w:val="44"/>
        </w:rPr>
        <w:t>General</w:t>
      </w:r>
      <w:r>
        <w:rPr>
          <w:rStyle w:val="54"/>
          <w:rFonts w:ascii="Times New Roman" w:hAnsi="Times New Roman" w:cs="Times New Roman" w:eastAsiaTheme="minorEastAsia"/>
          <w:b w:val="0"/>
          <w:color w:val="auto"/>
        </w:rPr>
        <w:t xml:space="preserve"> </w:t>
      </w:r>
      <w:r>
        <w:rPr>
          <w:rStyle w:val="54"/>
          <w:rFonts w:hint="eastAsia" w:ascii="Times New Roman" w:hAnsi="Times New Roman" w:cs="Times New Roman" w:eastAsiaTheme="minorEastAsia"/>
          <w:b w:val="0"/>
          <w:caps w:val="0"/>
          <w:color w:val="auto"/>
          <w:kern w:val="44"/>
        </w:rPr>
        <w:t>requirements</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_Toc185236607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20</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2422CCD7">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"_Toc185236608" </w:instrText>
      </w:r>
      <w:r>
        <w:fldChar w:fldCharType="separate"/>
      </w:r>
      <w:r>
        <w:rPr>
          <w:rStyle w:val="54"/>
          <w:rFonts w:ascii="Times New Roman" w:hAnsi="Times New Roman" w:cs="Times New Roman" w:eastAsiaTheme="minorEastAsia"/>
          <w:b w:val="0"/>
          <w:color w:val="auto"/>
        </w:rPr>
        <w:t xml:space="preserve">7.2  </w:t>
      </w:r>
      <w:r>
        <w:rPr>
          <w:rStyle w:val="54"/>
          <w:rFonts w:ascii="Times New Roman" w:hAnsi="Times New Roman" w:cs="Times New Roman" w:eastAsiaTheme="minorEastAsia"/>
          <w:b w:val="0"/>
          <w:caps w:val="0"/>
          <w:color w:val="auto"/>
          <w:kern w:val="44"/>
        </w:rPr>
        <w:t>Pipe</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section</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site</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quality</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inspection</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_Toc185236608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20</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42680EA9">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"_Toc185236609" </w:instrText>
      </w:r>
      <w:r>
        <w:fldChar w:fldCharType="separate"/>
      </w:r>
      <w:r>
        <w:rPr>
          <w:rStyle w:val="54"/>
          <w:rFonts w:ascii="Times New Roman" w:hAnsi="Times New Roman" w:cs="Times New Roman" w:eastAsiaTheme="minorEastAsia"/>
          <w:b w:val="0"/>
          <w:color w:val="auto"/>
        </w:rPr>
        <w:t xml:space="preserve">7.3  </w:t>
      </w:r>
      <w:r>
        <w:rPr>
          <w:rStyle w:val="54"/>
          <w:rFonts w:ascii="Times New Roman" w:hAnsi="Times New Roman" w:cs="Times New Roman" w:eastAsiaTheme="minorEastAsia"/>
          <w:b w:val="0"/>
          <w:caps w:val="0"/>
          <w:color w:val="auto"/>
          <w:kern w:val="44"/>
        </w:rPr>
        <w:t>Working</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well</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and</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receiving</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well</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quality</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inspection</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_Toc185236609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21</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309B4635">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"_Toc185236610" </w:instrText>
      </w:r>
      <w:r>
        <w:fldChar w:fldCharType="separate"/>
      </w:r>
      <w:r>
        <w:rPr>
          <w:rStyle w:val="54"/>
          <w:rFonts w:ascii="Times New Roman" w:hAnsi="Times New Roman" w:cs="Times New Roman" w:eastAsiaTheme="minorEastAsia"/>
          <w:b w:val="0"/>
          <w:color w:val="auto"/>
        </w:rPr>
        <w:t xml:space="preserve">7.4  </w:t>
      </w:r>
      <w:r>
        <w:rPr>
          <w:rStyle w:val="54"/>
          <w:rFonts w:ascii="Times New Roman" w:hAnsi="Times New Roman" w:cs="Times New Roman" w:eastAsiaTheme="minorEastAsia"/>
          <w:b w:val="0"/>
          <w:caps w:val="0"/>
          <w:color w:val="auto"/>
          <w:kern w:val="44"/>
        </w:rPr>
        <w:t>Waterproof</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quality</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inspection</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_Toc185236610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21</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56CC29BE">
      <w:pPr>
        <w:pStyle w:val="31"/>
        <w:tabs>
          <w:tab w:val="right" w:leader="dot" w:pos="9060"/>
        </w:tabs>
        <w:snapToGrid w:val="0"/>
        <w:spacing w:before="0" w:after="0" w:line="288" w:lineRule="auto"/>
        <w:ind w:firstLine="200" w:firstLineChars="100"/>
        <w:rPr>
          <w:rFonts w:ascii="Times New Roman" w:hAnsi="Times New Roman" w:cs="Times New Roman" w:eastAsiaTheme="minorEastAsia"/>
          <w:b w:val="0"/>
          <w:smallCaps/>
          <w:sz w:val="21"/>
          <w:szCs w:val="22"/>
        </w:rPr>
      </w:pPr>
      <w:r>
        <w:fldChar w:fldCharType="begin"/>
      </w:r>
      <w:r>
        <w:instrText xml:space="preserve"> HYPERLINK \l "_Toc185236612" </w:instrText>
      </w:r>
      <w:r>
        <w:fldChar w:fldCharType="separate"/>
      </w:r>
      <w:r>
        <w:rPr>
          <w:rStyle w:val="54"/>
          <w:rFonts w:ascii="Times New Roman" w:hAnsi="Times New Roman" w:cs="Times New Roman" w:eastAsiaTheme="minorEastAsia"/>
          <w:b w:val="0"/>
          <w:color w:val="auto"/>
        </w:rPr>
        <w:t>7.</w:t>
      </w:r>
      <w:r>
        <w:rPr>
          <w:rStyle w:val="54"/>
          <w:rFonts w:hint="eastAsia" w:ascii="Times New Roman" w:hAnsi="Times New Roman" w:cs="Times New Roman" w:eastAsiaTheme="minorEastAsia"/>
          <w:b w:val="0"/>
          <w:color w:val="auto"/>
        </w:rPr>
        <w:t>5</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Quality</w:t>
      </w:r>
      <w:r>
        <w:rPr>
          <w:rStyle w:val="54"/>
          <w:rFonts w:ascii="Times New Roman" w:hAnsi="Times New Roman" w:cs="Times New Roman" w:eastAsiaTheme="minorEastAsia"/>
          <w:b w:val="0"/>
          <w:color w:val="auto"/>
        </w:rPr>
        <w:t xml:space="preserve"> </w:t>
      </w:r>
      <w:r>
        <w:rPr>
          <w:rStyle w:val="54"/>
          <w:rFonts w:hint="eastAsia" w:ascii="Times New Roman" w:hAnsi="Times New Roman" w:cs="Times New Roman" w:eastAsiaTheme="minorEastAsia"/>
          <w:b w:val="0"/>
          <w:caps w:val="0"/>
          <w:color w:val="auto"/>
          <w:kern w:val="44"/>
        </w:rPr>
        <w:t>acceptance</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of</w:t>
      </w:r>
      <w:r>
        <w:rPr>
          <w:rStyle w:val="54"/>
          <w:rFonts w:ascii="Times New Roman" w:hAnsi="Times New Roman" w:cs="Times New Roman" w:eastAsiaTheme="minorEastAsia"/>
          <w:b w:val="0"/>
          <w:color w:val="auto"/>
        </w:rPr>
        <w:t xml:space="preserve"> </w:t>
      </w:r>
      <w:r>
        <w:rPr>
          <w:rStyle w:val="54"/>
          <w:rFonts w:ascii="Times New Roman" w:hAnsi="Times New Roman" w:cs="Times New Roman" w:eastAsiaTheme="minorEastAsia"/>
          <w:b w:val="0"/>
          <w:caps w:val="0"/>
          <w:color w:val="auto"/>
          <w:kern w:val="44"/>
        </w:rPr>
        <w:t>formed</w:t>
      </w:r>
      <w:r>
        <w:rPr>
          <w:rStyle w:val="54"/>
          <w:rFonts w:ascii="Times New Roman" w:hAnsi="Times New Roman" w:cs="Times New Roman" w:eastAsiaTheme="minorEastAsia"/>
          <w:b w:val="0"/>
          <w:color w:val="auto"/>
        </w:rPr>
        <w:t xml:space="preserve"> </w:t>
      </w:r>
      <w:r>
        <w:rPr>
          <w:rStyle w:val="54"/>
          <w:rFonts w:hint="eastAsia" w:ascii="Times New Roman" w:hAnsi="Times New Roman" w:cs="Times New Roman" w:eastAsiaTheme="minorEastAsia"/>
          <w:b w:val="0"/>
          <w:caps w:val="0"/>
          <w:color w:val="auto"/>
          <w:kern w:val="44"/>
        </w:rPr>
        <w:t>structures</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_Toc185236612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22</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1D0E2A4B">
      <w:pPr>
        <w:pStyle w:val="31"/>
        <w:tabs>
          <w:tab w:val="right" w:leader="dot" w:pos="9060"/>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"_Toc185236613" </w:instrText>
      </w:r>
      <w:r>
        <w:fldChar w:fldCharType="separate"/>
      </w:r>
      <w:r>
        <w:rPr>
          <w:rStyle w:val="54"/>
          <w:rFonts w:hint="eastAsia" w:ascii="Times New Roman" w:hAnsi="Times New Roman" w:cs="Times New Roman" w:eastAsiaTheme="minorEastAsia"/>
          <w:caps w:val="0"/>
          <w:color w:val="auto"/>
          <w:kern w:val="44"/>
        </w:rPr>
        <w:t>Appendix A</w:t>
      </w:r>
      <w:r>
        <w:rPr>
          <w:rStyle w:val="54"/>
          <w:rFonts w:ascii="Times New Roman" w:hAnsi="Times New Roman" w:cs="Times New Roman" w:eastAsiaTheme="minorEastAsia"/>
          <w:color w:val="auto"/>
          <w:kern w:val="44"/>
        </w:rPr>
        <w:t xml:space="preserve">  </w:t>
      </w:r>
      <w:r>
        <w:rPr>
          <w:rStyle w:val="54"/>
          <w:rFonts w:hint="eastAsia" w:ascii="Times New Roman" w:hAnsi="Times New Roman" w:cs="Times New Roman" w:eastAsiaTheme="minorEastAsia"/>
          <w:caps w:val="0"/>
          <w:color w:val="auto"/>
          <w:kern w:val="44"/>
        </w:rPr>
        <w:t>Divison</w:t>
      </w:r>
      <w:r>
        <w:rPr>
          <w:rStyle w:val="54"/>
          <w:rFonts w:hint="eastAsia" w:ascii="Times New Roman" w:hAnsi="Times New Roman" w:cs="Times New Roman" w:eastAsiaTheme="minorEastAsia"/>
          <w:color w:val="auto"/>
          <w:kern w:val="44"/>
        </w:rPr>
        <w:t xml:space="preserve">, </w:t>
      </w:r>
      <w:r>
        <w:rPr>
          <w:rStyle w:val="54"/>
          <w:rFonts w:hint="eastAsia" w:ascii="Times New Roman" w:hAnsi="Times New Roman" w:cs="Times New Roman" w:eastAsiaTheme="minorEastAsia"/>
          <w:caps w:val="0"/>
          <w:color w:val="auto"/>
          <w:kern w:val="44"/>
        </w:rPr>
        <w:t>sub</w:t>
      </w:r>
      <w:r>
        <w:rPr>
          <w:rStyle w:val="54"/>
          <w:rFonts w:hint="eastAsia" w:ascii="Times New Roman" w:hAnsi="Times New Roman" w:cs="Times New Roman" w:eastAsiaTheme="minorEastAsia"/>
          <w:color w:val="auto"/>
          <w:kern w:val="44"/>
        </w:rPr>
        <w:t>-</w:t>
      </w:r>
      <w:r>
        <w:rPr>
          <w:rStyle w:val="54"/>
          <w:rFonts w:hint="eastAsia" w:ascii="Times New Roman" w:hAnsi="Times New Roman" w:cs="Times New Roman" w:eastAsiaTheme="minorEastAsia"/>
          <w:caps w:val="0"/>
          <w:color w:val="auto"/>
          <w:kern w:val="44"/>
        </w:rPr>
        <w:t>divisional</w:t>
      </w:r>
      <w:r>
        <w:rPr>
          <w:rStyle w:val="54"/>
          <w:rFonts w:hint="eastAsia" w:ascii="Times New Roman" w:hAnsi="Times New Roman" w:cs="Times New Roman" w:eastAsiaTheme="minorEastAsia"/>
          <w:color w:val="auto"/>
          <w:kern w:val="44"/>
        </w:rPr>
        <w:t xml:space="preserve"> </w:t>
      </w:r>
      <w:r>
        <w:rPr>
          <w:rStyle w:val="54"/>
          <w:rFonts w:hint="eastAsia" w:ascii="Times New Roman" w:hAnsi="Times New Roman" w:cs="Times New Roman" w:eastAsiaTheme="minorEastAsia"/>
          <w:caps w:val="0"/>
          <w:color w:val="auto"/>
          <w:kern w:val="44"/>
        </w:rPr>
        <w:t>and</w:t>
      </w:r>
      <w:r>
        <w:rPr>
          <w:rStyle w:val="54"/>
          <w:rFonts w:hint="eastAsia" w:ascii="Times New Roman" w:hAnsi="Times New Roman" w:cs="Times New Roman" w:eastAsiaTheme="minorEastAsia"/>
          <w:color w:val="auto"/>
          <w:kern w:val="44"/>
        </w:rPr>
        <w:t xml:space="preserve"> </w:t>
      </w:r>
      <w:r>
        <w:rPr>
          <w:rStyle w:val="54"/>
          <w:rFonts w:hint="eastAsia" w:ascii="Times New Roman" w:hAnsi="Times New Roman" w:cs="Times New Roman" w:eastAsiaTheme="minorEastAsia"/>
          <w:caps w:val="0"/>
          <w:color w:val="auto"/>
          <w:kern w:val="44"/>
        </w:rPr>
        <w:t>inspection</w:t>
      </w:r>
      <w:r>
        <w:rPr>
          <w:rStyle w:val="54"/>
          <w:rFonts w:hint="eastAsia" w:ascii="Times New Roman" w:hAnsi="Times New Roman" w:cs="Times New Roman" w:eastAsiaTheme="minorEastAsia"/>
          <w:color w:val="auto"/>
          <w:kern w:val="44"/>
        </w:rPr>
        <w:t xml:space="preserve"> </w:t>
      </w:r>
      <w:r>
        <w:rPr>
          <w:rStyle w:val="54"/>
          <w:rFonts w:hint="eastAsia" w:ascii="Times New Roman" w:hAnsi="Times New Roman" w:cs="Times New Roman" w:eastAsiaTheme="minorEastAsia"/>
          <w:caps w:val="0"/>
          <w:color w:val="auto"/>
          <w:kern w:val="44"/>
        </w:rPr>
        <w:t>batches</w:t>
      </w:r>
      <w:r>
        <w:rPr>
          <w:rStyle w:val="54"/>
          <w:rFonts w:hint="eastAsia" w:ascii="Times New Roman" w:hAnsi="Times New Roman" w:cs="Times New Roman" w:eastAsiaTheme="minorEastAsia"/>
          <w:color w:val="auto"/>
          <w:kern w:val="44"/>
        </w:rPr>
        <w:t xml:space="preserve"> </w:t>
      </w:r>
      <w:r>
        <w:rPr>
          <w:rStyle w:val="54"/>
          <w:rFonts w:hint="eastAsia" w:ascii="Times New Roman" w:hAnsi="Times New Roman" w:cs="Times New Roman" w:eastAsiaTheme="minorEastAsia"/>
          <w:caps w:val="0"/>
          <w:color w:val="auto"/>
          <w:kern w:val="44"/>
        </w:rPr>
        <w:t>work</w:t>
      </w:r>
      <w:r>
        <w:rPr>
          <w:rStyle w:val="54"/>
          <w:rFonts w:hint="eastAsia" w:ascii="Times New Roman" w:hAnsi="Times New Roman" w:cs="Times New Roman" w:eastAsiaTheme="minorEastAsia"/>
          <w:color w:val="auto"/>
          <w:kern w:val="44"/>
        </w:rPr>
        <w:t xml:space="preserve"> </w:t>
      </w:r>
      <w:r>
        <w:rPr>
          <w:rStyle w:val="54"/>
          <w:rFonts w:hint="eastAsia" w:ascii="Times New Roman" w:hAnsi="Times New Roman" w:cs="Times New Roman" w:eastAsiaTheme="minorEastAsia"/>
          <w:caps w:val="0"/>
          <w:color w:val="auto"/>
          <w:kern w:val="44"/>
        </w:rPr>
        <w:t>table</w:t>
      </w:r>
      <w:r>
        <w:rPr>
          <w:rStyle w:val="54"/>
          <w:rFonts w:hint="eastAsia" w:ascii="Times New Roman" w:hAnsi="Times New Roman" w:cs="Times New Roman" w:eastAsiaTheme="minorEastAsia"/>
          <w:color w:val="auto"/>
          <w:kern w:val="44"/>
        </w:rPr>
        <w:t xml:space="preserve"> </w:t>
      </w:r>
      <w:r>
        <w:rPr>
          <w:rStyle w:val="54"/>
          <w:rFonts w:hint="eastAsia" w:ascii="Times New Roman" w:hAnsi="Times New Roman" w:cs="Times New Roman" w:eastAsiaTheme="minorEastAsia"/>
          <w:caps w:val="0"/>
          <w:color w:val="auto"/>
          <w:kern w:val="44"/>
        </w:rPr>
        <w:t>of</w:t>
      </w:r>
      <w:r>
        <w:rPr>
          <w:rStyle w:val="54"/>
          <w:rFonts w:hint="eastAsia" w:ascii="Times New Roman" w:hAnsi="Times New Roman" w:cs="Times New Roman" w:eastAsiaTheme="minorEastAsia"/>
          <w:color w:val="auto"/>
          <w:kern w:val="44"/>
        </w:rPr>
        <w:t xml:space="preserve"> </w:t>
      </w:r>
      <w:r>
        <w:rPr>
          <w:rStyle w:val="54"/>
          <w:rFonts w:hint="eastAsia" w:ascii="Times New Roman" w:hAnsi="Times New Roman" w:cs="Times New Roman" w:eastAsiaTheme="minorEastAsia"/>
          <w:caps w:val="0"/>
          <w:color w:val="auto"/>
          <w:kern w:val="44"/>
        </w:rPr>
        <w:t>rectangular</w:t>
      </w:r>
      <w:r>
        <w:rPr>
          <w:rStyle w:val="54"/>
          <w:rFonts w:hint="eastAsia" w:ascii="Times New Roman" w:hAnsi="Times New Roman" w:cs="Times New Roman" w:eastAsiaTheme="minorEastAsia"/>
          <w:color w:val="auto"/>
          <w:kern w:val="44"/>
        </w:rPr>
        <w:t xml:space="preserve"> </w:t>
      </w:r>
      <w:r>
        <w:rPr>
          <w:rStyle w:val="54"/>
          <w:rFonts w:hint="eastAsia" w:ascii="Times New Roman" w:hAnsi="Times New Roman" w:cs="Times New Roman" w:eastAsiaTheme="minorEastAsia"/>
          <w:caps w:val="0"/>
          <w:color w:val="auto"/>
          <w:kern w:val="44"/>
        </w:rPr>
        <w:t>pipe</w:t>
      </w:r>
      <w:r>
        <w:rPr>
          <w:rStyle w:val="54"/>
          <w:rFonts w:hint="eastAsia" w:ascii="Times New Roman" w:hAnsi="Times New Roman" w:cs="Times New Roman" w:eastAsiaTheme="minorEastAsia"/>
          <w:color w:val="auto"/>
          <w:kern w:val="44"/>
        </w:rPr>
        <w:t xml:space="preserve"> </w:t>
      </w:r>
      <w:r>
        <w:rPr>
          <w:rStyle w:val="54"/>
          <w:rFonts w:hint="eastAsia" w:ascii="Times New Roman" w:hAnsi="Times New Roman" w:cs="Times New Roman" w:eastAsiaTheme="minorEastAsia"/>
          <w:caps w:val="0"/>
          <w:color w:val="auto"/>
          <w:kern w:val="44"/>
        </w:rPr>
        <w:t>jacking</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_Toc185236613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24</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4D854919">
      <w:pPr>
        <w:pStyle w:val="31"/>
        <w:tabs>
          <w:tab w:val="right" w:leader="dot" w:pos="9060"/>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"_Toc185236614" </w:instrText>
      </w:r>
      <w:r>
        <w:fldChar w:fldCharType="separate"/>
      </w:r>
      <w:r>
        <w:rPr>
          <w:rStyle w:val="54"/>
          <w:rFonts w:hint="eastAsia" w:ascii="Times New Roman" w:hAnsi="Times New Roman" w:cs="Times New Roman" w:eastAsiaTheme="minorEastAsia"/>
          <w:caps w:val="0"/>
          <w:color w:val="auto"/>
          <w:kern w:val="44"/>
        </w:rPr>
        <w:t>Appendix</w:t>
      </w:r>
      <w:r>
        <w:rPr>
          <w:rStyle w:val="54"/>
          <w:rFonts w:hint="eastAsia" w:ascii="Times New Roman" w:hAnsi="Times New Roman" w:cs="Times New Roman" w:eastAsiaTheme="minorEastAsia"/>
          <w:color w:val="auto"/>
          <w:kern w:val="44"/>
        </w:rPr>
        <w:t xml:space="preserve"> </w:t>
      </w:r>
      <w:r>
        <w:rPr>
          <w:rStyle w:val="54"/>
          <w:rFonts w:ascii="Times New Roman" w:hAnsi="Times New Roman" w:cs="Times New Roman" w:eastAsiaTheme="minorEastAsia"/>
          <w:color w:val="auto"/>
          <w:kern w:val="44"/>
        </w:rPr>
        <w:t>B</w:t>
      </w:r>
      <w:r>
        <w:rPr>
          <w:rStyle w:val="54"/>
          <w:rFonts w:hint="eastAsia" w:ascii="Times New Roman" w:hAnsi="Times New Roman" w:cs="Times New Roman" w:eastAsiaTheme="minorEastAsia"/>
          <w:color w:val="auto"/>
          <w:kern w:val="44"/>
        </w:rPr>
        <w:t xml:space="preserve"> </w:t>
      </w:r>
      <w:r>
        <w:rPr>
          <w:rStyle w:val="54"/>
          <w:rFonts w:ascii="Times New Roman" w:hAnsi="Times New Roman" w:cs="Times New Roman" w:eastAsiaTheme="minorEastAsia"/>
          <w:color w:val="auto"/>
          <w:kern w:val="44"/>
        </w:rPr>
        <w:t xml:space="preserve"> </w:t>
      </w:r>
      <w:r>
        <w:rPr>
          <w:rStyle w:val="54"/>
          <w:rFonts w:hint="eastAsia" w:ascii="Times New Roman" w:hAnsi="Times New Roman" w:cs="Times New Roman" w:eastAsiaTheme="minorEastAsia"/>
          <w:caps w:val="0"/>
          <w:color w:val="auto"/>
          <w:kern w:val="44"/>
        </w:rPr>
        <w:t>Construction record</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_Toc185236614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26</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75F176B9">
      <w:pPr>
        <w:pStyle w:val="31"/>
        <w:tabs>
          <w:tab w:val="right" w:leader="dot" w:pos="9060"/>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"_Toc185236615" </w:instrText>
      </w:r>
      <w:r>
        <w:fldChar w:fldCharType="separate"/>
      </w:r>
      <w:r>
        <w:rPr>
          <w:rStyle w:val="54"/>
          <w:rFonts w:hint="eastAsia" w:ascii="Times New Roman" w:hAnsi="Times New Roman" w:cs="Times New Roman" w:eastAsiaTheme="minorEastAsia"/>
          <w:caps w:val="0"/>
          <w:color w:val="auto"/>
          <w:kern w:val="44"/>
        </w:rPr>
        <w:t>Explanation</w:t>
      </w:r>
      <w:r>
        <w:rPr>
          <w:rStyle w:val="54"/>
          <w:rFonts w:hint="eastAsia" w:ascii="Times New Roman" w:hAnsi="Times New Roman" w:cs="Times New Roman" w:eastAsiaTheme="minorEastAsia"/>
          <w:color w:val="auto"/>
        </w:rPr>
        <w:t xml:space="preserve"> </w:t>
      </w:r>
      <w:r>
        <w:rPr>
          <w:rStyle w:val="54"/>
          <w:rFonts w:hint="eastAsia" w:ascii="Times New Roman" w:hAnsi="Times New Roman" w:cs="Times New Roman" w:eastAsiaTheme="minorEastAsia"/>
          <w:caps w:val="0"/>
          <w:color w:val="auto"/>
          <w:kern w:val="44"/>
        </w:rPr>
        <w:t>of</w:t>
      </w:r>
      <w:r>
        <w:rPr>
          <w:rStyle w:val="54"/>
          <w:rFonts w:hint="eastAsia" w:ascii="Times New Roman" w:hAnsi="Times New Roman" w:cs="Times New Roman" w:eastAsiaTheme="minorEastAsia"/>
          <w:color w:val="auto"/>
        </w:rPr>
        <w:t xml:space="preserve"> </w:t>
      </w:r>
      <w:r>
        <w:rPr>
          <w:rStyle w:val="54"/>
          <w:rFonts w:hint="eastAsia" w:ascii="Times New Roman" w:hAnsi="Times New Roman" w:cs="Times New Roman" w:eastAsiaTheme="minorEastAsia"/>
          <w:caps w:val="0"/>
          <w:color w:val="auto"/>
          <w:kern w:val="44"/>
        </w:rPr>
        <w:t>wording</w:t>
      </w:r>
      <w:r>
        <w:rPr>
          <w:rStyle w:val="54"/>
          <w:rFonts w:hint="eastAsia" w:ascii="Times New Roman" w:hAnsi="Times New Roman" w:cs="Times New Roman" w:eastAsiaTheme="minorEastAsia"/>
          <w:color w:val="auto"/>
        </w:rPr>
        <w:t xml:space="preserve"> </w:t>
      </w:r>
      <w:r>
        <w:rPr>
          <w:rStyle w:val="54"/>
          <w:rFonts w:hint="eastAsia" w:ascii="Times New Roman" w:hAnsi="Times New Roman" w:cs="Times New Roman" w:eastAsiaTheme="minorEastAsia"/>
          <w:caps w:val="0"/>
          <w:color w:val="auto"/>
          <w:kern w:val="44"/>
        </w:rPr>
        <w:t>in</w:t>
      </w:r>
      <w:r>
        <w:rPr>
          <w:rStyle w:val="54"/>
          <w:rFonts w:hint="eastAsia" w:ascii="Times New Roman" w:hAnsi="Times New Roman" w:cs="Times New Roman" w:eastAsiaTheme="minorEastAsia"/>
          <w:color w:val="auto"/>
        </w:rPr>
        <w:t xml:space="preserve"> </w:t>
      </w:r>
      <w:r>
        <w:rPr>
          <w:rStyle w:val="54"/>
          <w:rFonts w:hint="eastAsia" w:ascii="Times New Roman" w:hAnsi="Times New Roman" w:cs="Times New Roman" w:eastAsiaTheme="minorEastAsia"/>
          <w:caps w:val="0"/>
          <w:color w:val="auto"/>
          <w:kern w:val="44"/>
        </w:rPr>
        <w:t>this</w:t>
      </w:r>
      <w:r>
        <w:rPr>
          <w:rStyle w:val="54"/>
          <w:rFonts w:hint="eastAsia" w:ascii="Times New Roman" w:hAnsi="Times New Roman" w:cs="Times New Roman" w:eastAsiaTheme="minorEastAsia"/>
          <w:color w:val="auto"/>
        </w:rPr>
        <w:t xml:space="preserve"> </w:t>
      </w:r>
      <w:r>
        <w:rPr>
          <w:rStyle w:val="54"/>
          <w:rFonts w:ascii="Times New Roman" w:hAnsi="Times New Roman" w:cs="Times New Roman" w:eastAsiaTheme="minorEastAsia"/>
          <w:caps w:val="0"/>
          <w:color w:val="auto"/>
          <w:kern w:val="44"/>
        </w:rPr>
        <w:t>standard</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_Toc185236615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28</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0221F635">
      <w:pPr>
        <w:pStyle w:val="31"/>
        <w:tabs>
          <w:tab w:val="right" w:leader="dot" w:pos="9060"/>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"_Toc185236616" </w:instrText>
      </w:r>
      <w:r>
        <w:fldChar w:fldCharType="separate"/>
      </w:r>
      <w:r>
        <w:rPr>
          <w:rStyle w:val="54"/>
          <w:rFonts w:hint="eastAsia" w:ascii="Times New Roman" w:hAnsi="Times New Roman" w:cs="Times New Roman" w:eastAsiaTheme="minorEastAsia"/>
          <w:caps w:val="0"/>
          <w:color w:val="auto"/>
          <w:kern w:val="44"/>
        </w:rPr>
        <w:t>List</w:t>
      </w:r>
      <w:r>
        <w:rPr>
          <w:rStyle w:val="54"/>
          <w:rFonts w:hint="eastAsia" w:ascii="Times New Roman" w:hAnsi="Times New Roman" w:cs="Times New Roman" w:eastAsiaTheme="minorEastAsia"/>
          <w:color w:val="auto"/>
        </w:rPr>
        <w:t xml:space="preserve"> </w:t>
      </w:r>
      <w:r>
        <w:rPr>
          <w:rStyle w:val="54"/>
          <w:rFonts w:hint="eastAsia" w:ascii="Times New Roman" w:hAnsi="Times New Roman" w:cs="Times New Roman" w:eastAsiaTheme="minorEastAsia"/>
          <w:caps w:val="0"/>
          <w:color w:val="auto"/>
          <w:kern w:val="44"/>
        </w:rPr>
        <w:t>of quoted</w:t>
      </w:r>
      <w:r>
        <w:rPr>
          <w:rStyle w:val="54"/>
          <w:rFonts w:hint="eastAsia" w:ascii="Times New Roman" w:hAnsi="Times New Roman" w:cs="Times New Roman" w:eastAsiaTheme="minorEastAsia"/>
          <w:color w:val="auto"/>
        </w:rPr>
        <w:t xml:space="preserve"> </w:t>
      </w:r>
      <w:r>
        <w:rPr>
          <w:rStyle w:val="54"/>
          <w:rFonts w:hint="eastAsia" w:ascii="Times New Roman" w:hAnsi="Times New Roman" w:cs="Times New Roman" w:eastAsiaTheme="minorEastAsia"/>
          <w:caps w:val="0"/>
          <w:color w:val="auto"/>
          <w:kern w:val="44"/>
        </w:rPr>
        <w:t>standards</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_Toc185236616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29</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p>
    <w:p w14:paraId="665D2E78">
      <w:pPr>
        <w:pStyle w:val="31"/>
        <w:tabs>
          <w:tab w:val="right" w:leader="dot" w:pos="9060"/>
        </w:tabs>
        <w:snapToGrid w:val="0"/>
        <w:spacing w:before="0" w:after="0" w:line="288" w:lineRule="auto"/>
        <w:rPr>
          <w:b w:val="0"/>
        </w:rPr>
      </w:pPr>
      <w:r>
        <w:fldChar w:fldCharType="begin"/>
      </w:r>
      <w:r>
        <w:instrText xml:space="preserve"> HYPERLINK \l "_Toc185236618" </w:instrText>
      </w:r>
      <w:r>
        <w:fldChar w:fldCharType="separate"/>
      </w:r>
      <w:r>
        <w:rPr>
          <w:rStyle w:val="54"/>
          <w:rFonts w:hint="eastAsia" w:ascii="Times New Roman" w:hAnsi="Times New Roman" w:cs="Times New Roman" w:eastAsiaTheme="minorEastAsia"/>
          <w:caps w:val="0"/>
          <w:color w:val="auto"/>
          <w:kern w:val="44"/>
        </w:rPr>
        <w:t>Addition: explanation</w:t>
      </w:r>
      <w:r>
        <w:rPr>
          <w:rStyle w:val="54"/>
          <w:rFonts w:hint="eastAsia" w:ascii="Times New Roman" w:hAnsi="Times New Roman" w:cs="Times New Roman" w:eastAsiaTheme="minorEastAsia"/>
          <w:color w:val="auto"/>
          <w:kern w:val="0"/>
        </w:rPr>
        <w:t xml:space="preserve"> </w:t>
      </w:r>
      <w:r>
        <w:rPr>
          <w:rStyle w:val="54"/>
          <w:rFonts w:hint="eastAsia" w:ascii="Times New Roman" w:hAnsi="Times New Roman" w:cs="Times New Roman" w:eastAsiaTheme="minorEastAsia"/>
          <w:caps w:val="0"/>
          <w:color w:val="auto"/>
          <w:kern w:val="44"/>
        </w:rPr>
        <w:t>of</w:t>
      </w:r>
      <w:r>
        <w:rPr>
          <w:rStyle w:val="54"/>
          <w:rFonts w:hint="eastAsia" w:ascii="Times New Roman" w:hAnsi="Times New Roman" w:cs="Times New Roman" w:eastAsiaTheme="minorEastAsia"/>
          <w:color w:val="auto"/>
          <w:kern w:val="0"/>
        </w:rPr>
        <w:t xml:space="preserve"> </w:t>
      </w:r>
      <w:r>
        <w:rPr>
          <w:rStyle w:val="54"/>
          <w:rFonts w:hint="eastAsia" w:ascii="Times New Roman" w:hAnsi="Times New Roman" w:cs="Times New Roman" w:eastAsiaTheme="minorEastAsia"/>
          <w:caps w:val="0"/>
          <w:color w:val="auto"/>
          <w:kern w:val="44"/>
        </w:rPr>
        <w:t>provisions</w:t>
      </w:r>
      <w:r>
        <w:rPr>
          <w:rFonts w:ascii="Times New Roman" w:hAnsi="Times New Roman" w:cs="Times New Roman" w:eastAsiaTheme="minorEastAsia"/>
          <w:b w:val="0"/>
        </w:rPr>
        <w:tab/>
      </w:r>
      <w:r>
        <w:rPr>
          <w:rFonts w:ascii="Times New Roman" w:hAnsi="Times New Roman" w:cs="Times New Roman" w:eastAsiaTheme="minorEastAsia"/>
          <w:b w:val="0"/>
        </w:rPr>
        <w:fldChar w:fldCharType="begin"/>
      </w:r>
      <w:r>
        <w:rPr>
          <w:rFonts w:ascii="Times New Roman" w:hAnsi="Times New Roman" w:cs="Times New Roman" w:eastAsiaTheme="minorEastAsia"/>
          <w:b w:val="0"/>
        </w:rPr>
        <w:instrText xml:space="preserve"> PAGEREF _Toc185236618 \h </w:instrText>
      </w:r>
      <w:r>
        <w:rPr>
          <w:rFonts w:ascii="Times New Roman" w:hAnsi="Times New Roman" w:cs="Times New Roman" w:eastAsiaTheme="minorEastAsia"/>
          <w:b w:val="0"/>
        </w:rPr>
        <w:fldChar w:fldCharType="separate"/>
      </w:r>
      <w:r>
        <w:rPr>
          <w:rFonts w:ascii="Times New Roman" w:hAnsi="Times New Roman" w:cs="Times New Roman" w:eastAsiaTheme="minorEastAsia"/>
          <w:b w:val="0"/>
        </w:rPr>
        <w:t>30</w:t>
      </w:r>
      <w:r>
        <w:rPr>
          <w:rFonts w:ascii="Times New Roman" w:hAnsi="Times New Roman" w:cs="Times New Roman" w:eastAsiaTheme="minorEastAsia"/>
          <w:b w:val="0"/>
        </w:rPr>
        <w:fldChar w:fldCharType="end"/>
      </w:r>
      <w:r>
        <w:rPr>
          <w:rFonts w:ascii="Times New Roman" w:hAnsi="Times New Roman" w:cs="Times New Roman" w:eastAsiaTheme="minorEastAsia"/>
          <w:b w:val="0"/>
        </w:rPr>
        <w:fldChar w:fldCharType="end"/>
      </w:r>
      <w:r>
        <w:rPr>
          <w:b w:val="0"/>
        </w:rPr>
        <w:fldChar w:fldCharType="end"/>
      </w:r>
    </w:p>
    <w:p w14:paraId="579CF169">
      <w:pPr>
        <w:tabs>
          <w:tab w:val="right" w:leader="middleDot" w:pos="5893"/>
        </w:tabs>
        <w:autoSpaceDE w:val="0"/>
        <w:autoSpaceDN w:val="0"/>
        <w:snapToGrid w:val="0"/>
        <w:spacing w:line="288" w:lineRule="auto"/>
        <w:jc w:val="left"/>
        <w:rPr>
          <w:b/>
          <w:bCs/>
          <w:kern w:val="0"/>
          <w:sz w:val="20"/>
          <w:szCs w:val="20"/>
        </w:rPr>
        <w:sectPr>
          <w:footerReference r:id="rId5" w:type="first"/>
          <w:footerReference r:id="rId3" w:type="default"/>
          <w:footerReference r:id="rId4" w:type="even"/>
          <w:pgSz w:w="11906" w:h="16838"/>
          <w:pgMar w:top="1440" w:right="1418" w:bottom="1440" w:left="1418" w:header="851" w:footer="850" w:gutter="0"/>
          <w:pgNumType w:start="1"/>
          <w:cols w:space="720" w:num="1"/>
          <w:titlePg/>
          <w:docGrid w:type="linesAndChars" w:linePitch="312" w:charSpace="0"/>
        </w:sectPr>
      </w:pPr>
    </w:p>
    <w:p w14:paraId="6F1E98E0">
      <w:pPr>
        <w:snapToGrid w:val="0"/>
        <w:spacing w:line="288" w:lineRule="auto"/>
        <w:jc w:val="center"/>
        <w:outlineLvl w:val="0"/>
        <w:rPr>
          <w:rFonts w:eastAsia="黑体"/>
          <w:b/>
          <w:bCs/>
          <w:kern w:val="44"/>
          <w:sz w:val="26"/>
          <w:szCs w:val="26"/>
        </w:rPr>
      </w:pPr>
      <w:bookmarkStart w:id="6" w:name="_Toc188612048"/>
      <w:bookmarkStart w:id="7" w:name="_Toc188798520"/>
      <w:bookmarkStart w:id="8" w:name="_Toc185236570"/>
      <w:bookmarkStart w:id="9" w:name="_Toc185235619"/>
      <w:bookmarkStart w:id="10" w:name="_Toc532502831"/>
      <w:bookmarkStart w:id="11" w:name="_Toc4358"/>
      <w:bookmarkStart w:id="12" w:name="_Toc534036623"/>
      <w:bookmarkStart w:id="13" w:name="_Toc18313"/>
      <w:bookmarkStart w:id="14" w:name="_Toc1651"/>
      <w:bookmarkStart w:id="15" w:name="_Toc13071911"/>
      <w:bookmarkStart w:id="16" w:name="_Toc28875505"/>
      <w:bookmarkStart w:id="17" w:name="_Toc534043462"/>
      <w:r>
        <w:rPr>
          <w:rFonts w:eastAsia="黑体"/>
          <w:b/>
          <w:bCs/>
          <w:kern w:val="44"/>
          <w:sz w:val="26"/>
          <w:szCs w:val="26"/>
        </w:rPr>
        <w:t>1  总  则</w:t>
      </w:r>
      <w:bookmarkEnd w:id="6"/>
      <w:bookmarkEnd w:id="7"/>
      <w:bookmarkEnd w:id="8"/>
      <w:bookmarkEnd w:id="9"/>
    </w:p>
    <w:p w14:paraId="2C7CC767">
      <w:pPr>
        <w:widowControl/>
        <w:autoSpaceDE w:val="0"/>
        <w:autoSpaceDN w:val="0"/>
        <w:adjustRightInd w:val="0"/>
        <w:snapToGrid w:val="0"/>
        <w:spacing w:line="288" w:lineRule="auto"/>
        <w:ind w:firstLine="400" w:firstLineChars="200"/>
        <w:rPr>
          <w:b/>
          <w:sz w:val="20"/>
          <w:szCs w:val="20"/>
        </w:rPr>
      </w:pPr>
    </w:p>
    <w:p w14:paraId="173D6997">
      <w:pPr>
        <w:snapToGrid w:val="0"/>
        <w:spacing w:line="288" w:lineRule="auto"/>
        <w:rPr>
          <w:sz w:val="20"/>
          <w:szCs w:val="20"/>
        </w:rPr>
      </w:pPr>
      <w:bookmarkStart w:id="18" w:name="_Toc278460228"/>
      <w:bookmarkStart w:id="19" w:name="_Toc280607498"/>
      <w:bookmarkStart w:id="20" w:name="_Toc306911022"/>
      <w:bookmarkStart w:id="21" w:name="_Toc514683944"/>
      <w:bookmarkStart w:id="22" w:name="_Toc273218530"/>
      <w:bookmarkStart w:id="23" w:name="_Toc280607556"/>
      <w:bookmarkStart w:id="24" w:name="_Toc280688101"/>
      <w:r>
        <w:rPr>
          <w:b/>
          <w:bCs/>
          <w:sz w:val="20"/>
          <w:szCs w:val="20"/>
        </w:rPr>
        <w:t>1.0.1</w:t>
      </w:r>
      <w:r>
        <w:rPr>
          <w:sz w:val="20"/>
          <w:szCs w:val="20"/>
        </w:rPr>
        <w:t xml:space="preserve">  为</w:t>
      </w:r>
      <w:r>
        <w:rPr>
          <w:rFonts w:hint="eastAsia"/>
          <w:sz w:val="20"/>
          <w:szCs w:val="20"/>
        </w:rPr>
        <w:t>规范城市轨道交通工程矩形顶管施工，</w:t>
      </w:r>
      <w:r>
        <w:rPr>
          <w:sz w:val="20"/>
          <w:szCs w:val="20"/>
        </w:rPr>
        <w:t>统一技术要求</w:t>
      </w:r>
      <w:r>
        <w:rPr>
          <w:rFonts w:hint="eastAsia"/>
          <w:sz w:val="20"/>
          <w:szCs w:val="20"/>
        </w:rPr>
        <w:t>与验收标准</w:t>
      </w:r>
      <w:r>
        <w:rPr>
          <w:sz w:val="20"/>
          <w:szCs w:val="20"/>
        </w:rPr>
        <w:t>，保证施工质量和安全，</w:t>
      </w:r>
      <w:r>
        <w:rPr>
          <w:rFonts w:hint="eastAsia"/>
          <w:sz w:val="20"/>
          <w:szCs w:val="20"/>
        </w:rPr>
        <w:t>做到</w:t>
      </w:r>
      <w:r>
        <w:rPr>
          <w:sz w:val="20"/>
          <w:szCs w:val="20"/>
        </w:rPr>
        <w:t>技术先进、安全可靠、经济合理、绿色环保，制定本</w:t>
      </w:r>
      <w:r>
        <w:rPr>
          <w:rFonts w:hint="eastAsia"/>
          <w:sz w:val="20"/>
          <w:szCs w:val="20"/>
        </w:rPr>
        <w:t>标准。</w:t>
      </w:r>
    </w:p>
    <w:p w14:paraId="2ED78062">
      <w:pPr>
        <w:snapToGrid w:val="0"/>
        <w:spacing w:line="288" w:lineRule="auto"/>
        <w:rPr>
          <w:sz w:val="20"/>
          <w:szCs w:val="20"/>
        </w:rPr>
      </w:pPr>
      <w:r>
        <w:rPr>
          <w:b/>
          <w:bCs/>
          <w:sz w:val="20"/>
          <w:szCs w:val="20"/>
        </w:rPr>
        <w:t xml:space="preserve">1.0.2 </w:t>
      </w:r>
      <w:r>
        <w:rPr>
          <w:sz w:val="20"/>
          <w:szCs w:val="20"/>
        </w:rPr>
        <w:t xml:space="preserve"> </w:t>
      </w:r>
      <w:r>
        <w:rPr>
          <w:rFonts w:hint="eastAsia"/>
          <w:sz w:val="20"/>
          <w:szCs w:val="20"/>
        </w:rPr>
        <w:t>本标准适用于北京市行政区域内</w:t>
      </w:r>
      <w:r>
        <w:rPr>
          <w:sz w:val="20"/>
          <w:szCs w:val="20"/>
        </w:rPr>
        <w:t>城市轨道交通</w:t>
      </w:r>
      <w:r>
        <w:rPr>
          <w:rFonts w:hint="eastAsia"/>
          <w:sz w:val="20"/>
          <w:szCs w:val="20"/>
        </w:rPr>
        <w:t>工程土压平衡矩形顶管</w:t>
      </w:r>
      <w:r>
        <w:rPr>
          <w:sz w:val="20"/>
          <w:szCs w:val="20"/>
        </w:rPr>
        <w:t>施工</w:t>
      </w:r>
      <w:r>
        <w:rPr>
          <w:rFonts w:hint="eastAsia"/>
          <w:sz w:val="20"/>
          <w:szCs w:val="20"/>
        </w:rPr>
        <w:t>与质量验收。</w:t>
      </w:r>
    </w:p>
    <w:p w14:paraId="2071D753">
      <w:pPr>
        <w:snapToGrid w:val="0"/>
        <w:spacing w:line="288" w:lineRule="auto"/>
        <w:rPr>
          <w:sz w:val="20"/>
          <w:szCs w:val="20"/>
        </w:rPr>
      </w:pPr>
      <w:r>
        <w:rPr>
          <w:b/>
          <w:bCs/>
          <w:sz w:val="20"/>
          <w:szCs w:val="20"/>
        </w:rPr>
        <w:t xml:space="preserve">1.0.3 </w:t>
      </w:r>
      <w:r>
        <w:rPr>
          <w:sz w:val="20"/>
          <w:szCs w:val="20"/>
        </w:rPr>
        <w:t xml:space="preserve"> </w:t>
      </w:r>
      <w:r>
        <w:rPr>
          <w:rFonts w:hint="eastAsia"/>
          <w:sz w:val="20"/>
          <w:szCs w:val="20"/>
        </w:rPr>
        <w:t>城市轨道交通工程矩形顶管施工与质量验收除应符合本标准外，尚应符合国家及北京市现行有关标准的规定。</w:t>
      </w:r>
    </w:p>
    <w:p w14:paraId="017E2C5B">
      <w:pPr>
        <w:adjustRightInd w:val="0"/>
        <w:snapToGrid w:val="0"/>
        <w:spacing w:line="360" w:lineRule="auto"/>
        <w:ind w:firstLine="420"/>
        <w:rPr>
          <w:sz w:val="20"/>
          <w:szCs w:val="20"/>
        </w:rPr>
      </w:pPr>
      <w:bookmarkStart w:id="25" w:name="_Toc323754828"/>
      <w:r>
        <w:rPr>
          <w:sz w:val="20"/>
          <w:szCs w:val="20"/>
        </w:rPr>
        <w:br w:type="page"/>
      </w:r>
      <w:bookmarkStart w:id="26" w:name="_Toc28084"/>
      <w:bookmarkStart w:id="27" w:name="_Toc409425512"/>
      <w:bookmarkStart w:id="28" w:name="_Toc17263"/>
      <w:bookmarkStart w:id="29" w:name="_Toc16640"/>
      <w:bookmarkStart w:id="30" w:name="_Toc405816547"/>
      <w:bookmarkStart w:id="31" w:name="_Toc11845"/>
      <w:bookmarkStart w:id="32" w:name="_Toc29431"/>
      <w:bookmarkStart w:id="33" w:name="_Toc405816106"/>
      <w:bookmarkStart w:id="34" w:name="_Toc409425366"/>
      <w:bookmarkStart w:id="35" w:name="_Toc26"/>
      <w:bookmarkStart w:id="36" w:name="_Toc14817"/>
      <w:bookmarkStart w:id="37" w:name="_Toc28639"/>
      <w:bookmarkStart w:id="38" w:name="_Toc21274"/>
      <w:bookmarkStart w:id="39" w:name="_Toc27142"/>
    </w:p>
    <w:p w14:paraId="4A2E3BD6">
      <w:pPr>
        <w:snapToGrid w:val="0"/>
        <w:spacing w:line="288" w:lineRule="auto"/>
        <w:jc w:val="center"/>
        <w:outlineLvl w:val="0"/>
        <w:rPr>
          <w:rFonts w:eastAsia="黑体"/>
          <w:b/>
          <w:bCs/>
          <w:kern w:val="44"/>
          <w:sz w:val="26"/>
          <w:szCs w:val="26"/>
        </w:rPr>
      </w:pPr>
      <w:bookmarkStart w:id="40" w:name="_Toc537010360"/>
      <w:bookmarkStart w:id="41" w:name="_Toc1043320758"/>
      <w:bookmarkStart w:id="42" w:name="_Toc968222353"/>
      <w:bookmarkStart w:id="43" w:name="_Toc2064547844"/>
      <w:bookmarkStart w:id="44" w:name="_Toc185235620"/>
      <w:bookmarkStart w:id="45" w:name="_Toc188612049"/>
      <w:bookmarkStart w:id="46" w:name="_Toc1381500542"/>
      <w:bookmarkStart w:id="47" w:name="_Toc185236571"/>
      <w:bookmarkStart w:id="48" w:name="_Toc188798521"/>
      <w:r>
        <w:rPr>
          <w:rFonts w:eastAsia="黑体"/>
          <w:b/>
          <w:bCs/>
          <w:kern w:val="44"/>
          <w:sz w:val="26"/>
          <w:szCs w:val="26"/>
        </w:rPr>
        <w:t>2  术</w:t>
      </w:r>
      <w:r>
        <w:rPr>
          <w:rFonts w:hint="eastAsia" w:eastAsia="黑体"/>
          <w:b/>
          <w:bCs/>
          <w:kern w:val="44"/>
          <w:sz w:val="26"/>
          <w:szCs w:val="26"/>
        </w:rPr>
        <w:t xml:space="preserve"> </w:t>
      </w:r>
      <w:r>
        <w:rPr>
          <w:rFonts w:eastAsia="黑体"/>
          <w:b/>
          <w:bCs/>
          <w:kern w:val="44"/>
          <w:sz w:val="26"/>
          <w:szCs w:val="26"/>
        </w:rPr>
        <w:t xml:space="preserve"> 语</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Start w:id="49" w:name="_Toc323754829"/>
    </w:p>
    <w:p w14:paraId="08B1AA2E">
      <w:pPr>
        <w:snapToGrid w:val="0"/>
        <w:spacing w:line="288" w:lineRule="auto"/>
        <w:ind w:firstLine="455" w:firstLineChars="175"/>
        <w:rPr>
          <w:b/>
          <w:bCs/>
          <w:kern w:val="44"/>
          <w:sz w:val="26"/>
          <w:szCs w:val="26"/>
        </w:rPr>
      </w:pPr>
    </w:p>
    <w:bookmarkEnd w:id="49"/>
    <w:p w14:paraId="69AE1D99">
      <w:pPr>
        <w:snapToGrid w:val="0"/>
        <w:spacing w:line="288" w:lineRule="auto"/>
        <w:rPr>
          <w:sz w:val="20"/>
          <w:szCs w:val="20"/>
        </w:rPr>
      </w:pPr>
      <w:r>
        <w:rPr>
          <w:b/>
          <w:bCs/>
          <w:sz w:val="20"/>
          <w:szCs w:val="20"/>
        </w:rPr>
        <w:t xml:space="preserve">2.0.1 </w:t>
      </w:r>
      <w:r>
        <w:rPr>
          <w:sz w:val="20"/>
          <w:szCs w:val="20"/>
        </w:rPr>
        <w:t xml:space="preserve"> 矩形顶管</w:t>
      </w:r>
      <w:r>
        <w:rPr>
          <w:rFonts w:hint="eastAsia"/>
          <w:sz w:val="20"/>
          <w:szCs w:val="20"/>
        </w:rPr>
        <w:t>施工</w:t>
      </w:r>
      <w:r>
        <w:rPr>
          <w:sz w:val="20"/>
          <w:szCs w:val="20"/>
        </w:rPr>
        <w:t xml:space="preserve">  </w:t>
      </w:r>
      <w:r>
        <w:rPr>
          <w:rFonts w:hint="eastAsia" w:hAnsi="宋体"/>
        </w:rPr>
        <w:t>r</w:t>
      </w:r>
      <w:r>
        <w:rPr>
          <w:rFonts w:hAnsi="宋体"/>
        </w:rPr>
        <w:t>ectangular pipe jacking construction</w:t>
      </w:r>
    </w:p>
    <w:p w14:paraId="0C7567F1">
      <w:pPr>
        <w:snapToGrid w:val="0"/>
        <w:spacing w:line="288" w:lineRule="auto"/>
        <w:ind w:firstLine="420"/>
        <w:rPr>
          <w:sz w:val="20"/>
          <w:szCs w:val="20"/>
        </w:rPr>
      </w:pPr>
      <w:r>
        <w:rPr>
          <w:rFonts w:hint="eastAsia" w:hAnsi="宋体"/>
          <w:sz w:val="20"/>
          <w:szCs w:val="20"/>
        </w:rPr>
        <w:t>采用矩形顶管机边切削、边排土、边顶进，将预制管节逐段向前推进，形成地下空间的非开挖施工。</w:t>
      </w:r>
    </w:p>
    <w:p w14:paraId="4D562539">
      <w:pPr>
        <w:snapToGrid w:val="0"/>
        <w:spacing w:line="288" w:lineRule="auto"/>
        <w:rPr>
          <w:sz w:val="20"/>
          <w:szCs w:val="20"/>
        </w:rPr>
      </w:pPr>
      <w:r>
        <w:rPr>
          <w:b/>
          <w:bCs/>
          <w:sz w:val="20"/>
          <w:szCs w:val="20"/>
        </w:rPr>
        <w:t xml:space="preserve">2.0.2  </w:t>
      </w:r>
      <w:r>
        <w:rPr>
          <w:sz w:val="20"/>
          <w:szCs w:val="20"/>
        </w:rPr>
        <w:t>工作井 workting shaft</w:t>
      </w:r>
    </w:p>
    <w:p w14:paraId="7E0E007C">
      <w:pPr>
        <w:snapToGrid w:val="0"/>
        <w:spacing w:line="288" w:lineRule="auto"/>
        <w:ind w:firstLine="420"/>
        <w:rPr>
          <w:rFonts w:hAnsi="宋体"/>
          <w:sz w:val="20"/>
          <w:szCs w:val="20"/>
        </w:rPr>
      </w:pPr>
      <w:r>
        <w:rPr>
          <w:rFonts w:hint="eastAsia" w:hAnsi="宋体"/>
          <w:sz w:val="20"/>
          <w:szCs w:val="20"/>
        </w:rPr>
        <w:t>用于顶管机始发与接收的地下作业空间，包括始发井和接收井。始发井用于顶管机设备组装、调试、始发、管节安装、顶进和出土等；接收井用于顶管机接收、解体等。</w:t>
      </w:r>
    </w:p>
    <w:p w14:paraId="70A1A026">
      <w:pPr>
        <w:snapToGrid w:val="0"/>
        <w:spacing w:line="288" w:lineRule="auto"/>
        <w:rPr>
          <w:sz w:val="20"/>
          <w:szCs w:val="20"/>
        </w:rPr>
      </w:pPr>
      <w:r>
        <w:rPr>
          <w:b/>
          <w:bCs/>
          <w:sz w:val="20"/>
          <w:szCs w:val="20"/>
        </w:rPr>
        <w:t xml:space="preserve">2.0.3 </w:t>
      </w:r>
      <w:r>
        <w:rPr>
          <w:sz w:val="20"/>
          <w:szCs w:val="20"/>
        </w:rPr>
        <w:t xml:space="preserve"> </w:t>
      </w:r>
      <w:r>
        <w:rPr>
          <w:rFonts w:hint="eastAsia"/>
          <w:sz w:val="20"/>
          <w:szCs w:val="20"/>
        </w:rPr>
        <w:t>后背</w:t>
      </w:r>
      <w:r>
        <w:rPr>
          <w:sz w:val="20"/>
          <w:szCs w:val="20"/>
        </w:rPr>
        <w:t>墙react</w:t>
      </w:r>
      <w:r>
        <w:rPr>
          <w:rFonts w:hint="eastAsia"/>
          <w:sz w:val="20"/>
          <w:szCs w:val="20"/>
        </w:rPr>
        <w:t>ion</w:t>
      </w:r>
      <w:r>
        <w:rPr>
          <w:sz w:val="20"/>
          <w:szCs w:val="20"/>
        </w:rPr>
        <w:t xml:space="preserve"> wall</w:t>
      </w:r>
    </w:p>
    <w:p w14:paraId="52774A77">
      <w:pPr>
        <w:snapToGrid w:val="0"/>
        <w:spacing w:line="288" w:lineRule="auto"/>
        <w:ind w:firstLine="420"/>
        <w:rPr>
          <w:rFonts w:hAnsi="宋体"/>
          <w:sz w:val="20"/>
          <w:szCs w:val="20"/>
        </w:rPr>
      </w:pPr>
      <w:r>
        <w:rPr>
          <w:rFonts w:hint="eastAsia" w:hAnsi="宋体"/>
          <w:sz w:val="20"/>
          <w:szCs w:val="20"/>
        </w:rPr>
        <w:t>将主顶油缸推力的反作用力传递到始发井外岩土中去的墙体结构。</w:t>
      </w:r>
    </w:p>
    <w:p w14:paraId="5336BC1C">
      <w:pPr>
        <w:snapToGrid w:val="0"/>
        <w:spacing w:line="288" w:lineRule="auto"/>
        <w:rPr>
          <w:b/>
          <w:bCs/>
          <w:sz w:val="20"/>
          <w:szCs w:val="20"/>
        </w:rPr>
      </w:pPr>
      <w:r>
        <w:rPr>
          <w:b/>
          <w:bCs/>
          <w:sz w:val="20"/>
          <w:szCs w:val="20"/>
        </w:rPr>
        <w:t xml:space="preserve">2.0.4 </w:t>
      </w:r>
      <w:r>
        <w:rPr>
          <w:rFonts w:hint="eastAsia"/>
          <w:b/>
          <w:bCs/>
          <w:sz w:val="20"/>
          <w:szCs w:val="20"/>
        </w:rPr>
        <w:t xml:space="preserve"> </w:t>
      </w:r>
      <w:r>
        <w:rPr>
          <w:sz w:val="20"/>
          <w:szCs w:val="20"/>
        </w:rPr>
        <w:t>后背 reaction base</w:t>
      </w:r>
    </w:p>
    <w:p w14:paraId="76B8EAFD">
      <w:pPr>
        <w:snapToGrid w:val="0"/>
        <w:spacing w:line="288" w:lineRule="auto"/>
        <w:ind w:firstLine="420"/>
        <w:rPr>
          <w:rFonts w:hAnsi="宋体"/>
          <w:sz w:val="20"/>
          <w:szCs w:val="20"/>
        </w:rPr>
      </w:pPr>
      <w:r>
        <w:rPr>
          <w:rFonts w:hint="eastAsia" w:hAnsi="宋体"/>
          <w:sz w:val="20"/>
          <w:szCs w:val="20"/>
        </w:rPr>
        <w:t>设置在主顶油缸与后背墙之间，用于均匀分散顶管反力的构件。</w:t>
      </w:r>
    </w:p>
    <w:p w14:paraId="0DC3B2C6">
      <w:pPr>
        <w:snapToGrid w:val="0"/>
        <w:spacing w:line="288" w:lineRule="auto"/>
        <w:rPr>
          <w:sz w:val="20"/>
          <w:szCs w:val="20"/>
        </w:rPr>
      </w:pPr>
      <w:r>
        <w:rPr>
          <w:b/>
          <w:bCs/>
          <w:sz w:val="20"/>
          <w:szCs w:val="20"/>
        </w:rPr>
        <w:t xml:space="preserve">2.0.5  </w:t>
      </w:r>
      <w:r>
        <w:rPr>
          <w:bCs/>
          <w:sz w:val="20"/>
          <w:szCs w:val="20"/>
        </w:rPr>
        <w:t>导轨 rail</w:t>
      </w:r>
    </w:p>
    <w:p w14:paraId="2A701AF9">
      <w:pPr>
        <w:snapToGrid w:val="0"/>
        <w:spacing w:line="288" w:lineRule="auto"/>
        <w:ind w:firstLine="420"/>
        <w:rPr>
          <w:rFonts w:hAnsi="宋体"/>
          <w:sz w:val="20"/>
          <w:szCs w:val="20"/>
        </w:rPr>
      </w:pPr>
      <w:r>
        <w:rPr>
          <w:rFonts w:hint="eastAsia" w:hAnsi="宋体"/>
          <w:sz w:val="20"/>
          <w:szCs w:val="20"/>
        </w:rPr>
        <w:t>铺设在工作井和接收井底部，用于支撑顶管机、顶铁、初始导向、管节安装和顶管机接收的装置。</w:t>
      </w:r>
    </w:p>
    <w:p w14:paraId="6CC53851">
      <w:pPr>
        <w:snapToGrid w:val="0"/>
        <w:spacing w:line="288" w:lineRule="auto"/>
        <w:rPr>
          <w:sz w:val="20"/>
          <w:szCs w:val="20"/>
        </w:rPr>
      </w:pPr>
      <w:r>
        <w:rPr>
          <w:b/>
          <w:bCs/>
          <w:sz w:val="20"/>
          <w:szCs w:val="20"/>
        </w:rPr>
        <w:t xml:space="preserve">2.0.6  </w:t>
      </w:r>
      <w:r>
        <w:rPr>
          <w:sz w:val="20"/>
          <w:szCs w:val="20"/>
        </w:rPr>
        <w:t>管节 tubular joint</w:t>
      </w:r>
    </w:p>
    <w:p w14:paraId="4D60D796">
      <w:pPr>
        <w:snapToGrid w:val="0"/>
        <w:spacing w:line="288" w:lineRule="auto"/>
        <w:ind w:firstLine="420"/>
        <w:rPr>
          <w:rFonts w:hAnsi="宋体"/>
          <w:sz w:val="20"/>
          <w:szCs w:val="20"/>
        </w:rPr>
      </w:pPr>
      <w:r>
        <w:rPr>
          <w:rFonts w:hint="eastAsia" w:hAnsi="宋体"/>
          <w:sz w:val="20"/>
          <w:szCs w:val="20"/>
        </w:rPr>
        <w:t>分块预制或整节预制的矩形顶管衬砌结构单元。</w:t>
      </w:r>
    </w:p>
    <w:p w14:paraId="425C2E22">
      <w:pPr>
        <w:snapToGrid w:val="0"/>
        <w:spacing w:line="288" w:lineRule="auto"/>
        <w:rPr>
          <w:sz w:val="20"/>
          <w:szCs w:val="20"/>
        </w:rPr>
      </w:pPr>
      <w:r>
        <w:rPr>
          <w:b/>
          <w:bCs/>
          <w:sz w:val="20"/>
          <w:szCs w:val="20"/>
        </w:rPr>
        <w:t xml:space="preserve">2.0.7  </w:t>
      </w:r>
      <w:r>
        <w:rPr>
          <w:sz w:val="20"/>
          <w:szCs w:val="20"/>
        </w:rPr>
        <w:t>顶力 jacking force</w:t>
      </w:r>
    </w:p>
    <w:p w14:paraId="46FA7024">
      <w:pPr>
        <w:snapToGrid w:val="0"/>
        <w:spacing w:line="288" w:lineRule="auto"/>
        <w:ind w:firstLine="420"/>
        <w:rPr>
          <w:rFonts w:hAnsi="宋体"/>
          <w:sz w:val="20"/>
          <w:szCs w:val="20"/>
        </w:rPr>
      </w:pPr>
      <w:r>
        <w:rPr>
          <w:rFonts w:hAnsi="宋体"/>
          <w:sz w:val="20"/>
          <w:szCs w:val="20"/>
        </w:rPr>
        <w:t>由主顶油缸提供的推进管节向前的力。</w:t>
      </w:r>
    </w:p>
    <w:p w14:paraId="114CE202">
      <w:pPr>
        <w:snapToGrid w:val="0"/>
        <w:spacing w:line="288" w:lineRule="auto"/>
        <w:rPr>
          <w:sz w:val="20"/>
          <w:szCs w:val="20"/>
        </w:rPr>
      </w:pPr>
      <w:r>
        <w:rPr>
          <w:b/>
          <w:bCs/>
          <w:sz w:val="20"/>
          <w:szCs w:val="20"/>
        </w:rPr>
        <w:t xml:space="preserve">2.0.8  </w:t>
      </w:r>
      <w:r>
        <w:rPr>
          <w:sz w:val="20"/>
          <w:szCs w:val="20"/>
        </w:rPr>
        <w:t xml:space="preserve">始发 launching </w:t>
      </w:r>
    </w:p>
    <w:p w14:paraId="35BC8567">
      <w:pPr>
        <w:snapToGrid w:val="0"/>
        <w:spacing w:line="288" w:lineRule="auto"/>
        <w:ind w:firstLine="420"/>
        <w:rPr>
          <w:rFonts w:hAnsi="宋体"/>
          <w:sz w:val="20"/>
          <w:szCs w:val="20"/>
        </w:rPr>
      </w:pPr>
      <w:r>
        <w:rPr>
          <w:rFonts w:hAnsi="宋体"/>
          <w:sz w:val="20"/>
          <w:szCs w:val="20"/>
        </w:rPr>
        <w:t>顶管机由工作井进入地层开始顶进的过程。</w:t>
      </w:r>
    </w:p>
    <w:p w14:paraId="4203366D">
      <w:pPr>
        <w:snapToGrid w:val="0"/>
        <w:spacing w:line="288" w:lineRule="auto"/>
        <w:rPr>
          <w:sz w:val="20"/>
          <w:szCs w:val="20"/>
        </w:rPr>
      </w:pPr>
      <w:r>
        <w:rPr>
          <w:b/>
          <w:bCs/>
          <w:sz w:val="20"/>
          <w:szCs w:val="20"/>
        </w:rPr>
        <w:t xml:space="preserve">2.0.9  </w:t>
      </w:r>
      <w:r>
        <w:rPr>
          <w:sz w:val="20"/>
          <w:szCs w:val="20"/>
        </w:rPr>
        <w:t xml:space="preserve">接收  </w:t>
      </w:r>
      <w:r>
        <w:rPr>
          <w:rFonts w:hint="eastAsia"/>
          <w:sz w:val="20"/>
          <w:szCs w:val="20"/>
        </w:rPr>
        <w:t>receiving</w:t>
      </w:r>
      <w:r>
        <w:rPr>
          <w:sz w:val="20"/>
          <w:szCs w:val="20"/>
        </w:rPr>
        <w:t xml:space="preserve"> </w:t>
      </w:r>
    </w:p>
    <w:p w14:paraId="4A9C3AA3">
      <w:pPr>
        <w:snapToGrid w:val="0"/>
        <w:spacing w:line="288" w:lineRule="auto"/>
        <w:ind w:firstLine="420"/>
        <w:rPr>
          <w:rFonts w:hAnsi="宋体"/>
          <w:sz w:val="20"/>
          <w:szCs w:val="20"/>
        </w:rPr>
      </w:pPr>
      <w:r>
        <w:rPr>
          <w:rFonts w:hAnsi="宋体"/>
          <w:sz w:val="20"/>
          <w:szCs w:val="20"/>
        </w:rPr>
        <w:t>顶管机由地层进入接收井完成顶进的过程。</w:t>
      </w:r>
    </w:p>
    <w:p w14:paraId="690F52FD">
      <w:pPr>
        <w:snapToGrid w:val="0"/>
        <w:spacing w:line="288" w:lineRule="auto"/>
        <w:rPr>
          <w:sz w:val="20"/>
          <w:szCs w:val="20"/>
        </w:rPr>
      </w:pPr>
      <w:r>
        <w:rPr>
          <w:b/>
          <w:bCs/>
          <w:sz w:val="20"/>
          <w:szCs w:val="20"/>
        </w:rPr>
        <w:t xml:space="preserve">2.0.10  </w:t>
      </w:r>
      <w:r>
        <w:rPr>
          <w:sz w:val="20"/>
          <w:szCs w:val="20"/>
        </w:rPr>
        <w:t>触变泥浆 thixotropic slurry</w:t>
      </w:r>
    </w:p>
    <w:p w14:paraId="53F9966C">
      <w:pPr>
        <w:snapToGrid w:val="0"/>
        <w:spacing w:line="288" w:lineRule="auto"/>
        <w:ind w:firstLine="420"/>
        <w:rPr>
          <w:rFonts w:hAnsi="宋体"/>
          <w:sz w:val="20"/>
          <w:szCs w:val="20"/>
        </w:rPr>
      </w:pPr>
      <w:r>
        <w:rPr>
          <w:rFonts w:hint="eastAsia"/>
          <w:sz w:val="20"/>
          <w:szCs w:val="20"/>
        </w:rPr>
        <w:t>一种具有低失水率、低压缩性的泥浆，主要材料为膨润土、水和外加剂。</w:t>
      </w:r>
    </w:p>
    <w:p w14:paraId="7D79A8AE">
      <w:pPr>
        <w:snapToGrid w:val="0"/>
        <w:spacing w:line="288" w:lineRule="auto"/>
        <w:rPr>
          <w:sz w:val="20"/>
          <w:szCs w:val="20"/>
        </w:rPr>
      </w:pPr>
      <w:r>
        <w:rPr>
          <w:b/>
          <w:bCs/>
          <w:sz w:val="20"/>
          <w:szCs w:val="20"/>
        </w:rPr>
        <w:t xml:space="preserve">2.0.11  </w:t>
      </w:r>
      <w:r>
        <w:rPr>
          <w:sz w:val="20"/>
          <w:szCs w:val="20"/>
        </w:rPr>
        <w:t>浓泥</w:t>
      </w:r>
      <w:r>
        <w:rPr>
          <w:rFonts w:hint="eastAsia"/>
          <w:sz w:val="20"/>
          <w:szCs w:val="20"/>
        </w:rPr>
        <w:t>t</w:t>
      </w:r>
      <w:r>
        <w:rPr>
          <w:sz w:val="20"/>
          <w:szCs w:val="20"/>
        </w:rPr>
        <w:t>hick mud</w:t>
      </w:r>
    </w:p>
    <w:p w14:paraId="1F799AE8">
      <w:pPr>
        <w:snapToGrid w:val="0"/>
        <w:spacing w:line="288" w:lineRule="auto"/>
        <w:ind w:firstLine="420"/>
        <w:rPr>
          <w:rFonts w:hAnsi="宋体"/>
          <w:sz w:val="20"/>
          <w:szCs w:val="20"/>
        </w:rPr>
      </w:pPr>
      <w:r>
        <w:rPr>
          <w:rFonts w:hint="eastAsia"/>
          <w:sz w:val="20"/>
          <w:szCs w:val="20"/>
        </w:rPr>
        <w:t>一种具有大比重、低压缩性的浓稠状泥膏</w:t>
      </w:r>
      <w:r>
        <w:rPr>
          <w:rFonts w:hint="eastAsia" w:hAnsi="宋体"/>
          <w:sz w:val="20"/>
          <w:szCs w:val="20"/>
        </w:rPr>
        <w:t>，</w:t>
      </w:r>
      <w:r>
        <w:rPr>
          <w:rFonts w:hint="eastAsia"/>
          <w:sz w:val="20"/>
          <w:szCs w:val="20"/>
          <w:lang w:bidi="ar"/>
        </w:rPr>
        <w:t>主要材料为膨润土、水和外加剂。</w:t>
      </w:r>
    </w:p>
    <w:p w14:paraId="1F71C693">
      <w:pPr>
        <w:snapToGrid w:val="0"/>
        <w:spacing w:line="288" w:lineRule="auto"/>
        <w:rPr>
          <w:sz w:val="20"/>
          <w:szCs w:val="20"/>
        </w:rPr>
      </w:pPr>
      <w:r>
        <w:rPr>
          <w:b/>
          <w:bCs/>
          <w:sz w:val="20"/>
          <w:szCs w:val="20"/>
        </w:rPr>
        <w:t xml:space="preserve">2.0.12  </w:t>
      </w:r>
      <w:r>
        <w:rPr>
          <w:sz w:val="20"/>
          <w:szCs w:val="20"/>
        </w:rPr>
        <w:t>中继间 intermediate jacking station</w:t>
      </w:r>
    </w:p>
    <w:p w14:paraId="6C8EE723">
      <w:pPr>
        <w:snapToGrid w:val="0"/>
        <w:spacing w:line="288" w:lineRule="auto"/>
        <w:ind w:firstLine="420"/>
        <w:rPr>
          <w:rFonts w:hAnsi="宋体"/>
          <w:sz w:val="20"/>
          <w:szCs w:val="20"/>
        </w:rPr>
      </w:pPr>
      <w:r>
        <w:rPr>
          <w:rFonts w:hint="eastAsia" w:hAnsi="宋体"/>
          <w:sz w:val="20"/>
          <w:szCs w:val="20"/>
        </w:rPr>
        <w:t>当主顶油缸总顶力不能保证区段贯通时，为减小顶进力而设置的随管节一同前进的接力顶进装置，主要由前后壳体、推进油缸、阀组、泵站、行程测量装置等组成。</w:t>
      </w:r>
    </w:p>
    <w:p w14:paraId="2D16D78E">
      <w:pPr>
        <w:snapToGrid w:val="0"/>
        <w:spacing w:line="288" w:lineRule="auto"/>
        <w:rPr>
          <w:b/>
          <w:bCs/>
          <w:sz w:val="20"/>
          <w:szCs w:val="20"/>
        </w:rPr>
      </w:pPr>
      <w:r>
        <w:rPr>
          <w:b/>
          <w:bCs/>
          <w:sz w:val="20"/>
          <w:szCs w:val="20"/>
        </w:rPr>
        <w:t xml:space="preserve">2.0.13  </w:t>
      </w:r>
      <w:r>
        <w:rPr>
          <w:rFonts w:hint="eastAsia"/>
          <w:bCs/>
          <w:sz w:val="20"/>
          <w:szCs w:val="20"/>
        </w:rPr>
        <w:t>止退装置 stop</w:t>
      </w:r>
      <w:r>
        <w:rPr>
          <w:bCs/>
          <w:sz w:val="20"/>
          <w:szCs w:val="20"/>
        </w:rPr>
        <w:t xml:space="preserve"> </w:t>
      </w:r>
      <w:r>
        <w:rPr>
          <w:rFonts w:hint="eastAsia"/>
          <w:bCs/>
          <w:sz w:val="20"/>
          <w:szCs w:val="20"/>
        </w:rPr>
        <w:t>ring</w:t>
      </w:r>
    </w:p>
    <w:p w14:paraId="4A06A798">
      <w:pPr>
        <w:snapToGrid w:val="0"/>
        <w:spacing w:line="288" w:lineRule="auto"/>
        <w:ind w:firstLine="420"/>
        <w:rPr>
          <w:rFonts w:hAnsi="宋体"/>
          <w:sz w:val="20"/>
          <w:szCs w:val="20"/>
        </w:rPr>
      </w:pPr>
      <w:r>
        <w:rPr>
          <w:rFonts w:hint="eastAsia" w:hAnsi="宋体"/>
          <w:sz w:val="20"/>
          <w:szCs w:val="20"/>
        </w:rPr>
        <w:t>安装在工作井管节两侧，用于</w:t>
      </w:r>
      <w:r>
        <w:rPr>
          <w:rFonts w:hAnsi="宋体"/>
          <w:sz w:val="20"/>
          <w:szCs w:val="20"/>
        </w:rPr>
        <w:t>防止管节</w:t>
      </w:r>
      <w:r>
        <w:rPr>
          <w:rFonts w:hint="eastAsia" w:hAnsi="宋体"/>
          <w:sz w:val="20"/>
          <w:szCs w:val="20"/>
        </w:rPr>
        <w:t>或顶管机</w:t>
      </w:r>
      <w:r>
        <w:rPr>
          <w:rFonts w:hAnsi="宋体"/>
          <w:sz w:val="20"/>
          <w:szCs w:val="20"/>
        </w:rPr>
        <w:t>倒退的装置</w:t>
      </w:r>
      <w:r>
        <w:rPr>
          <w:rFonts w:hint="eastAsia" w:hAnsi="宋体"/>
          <w:sz w:val="20"/>
          <w:szCs w:val="20"/>
        </w:rPr>
        <w:t>。</w:t>
      </w:r>
    </w:p>
    <w:p w14:paraId="40926052">
      <w:pPr>
        <w:snapToGrid w:val="0"/>
        <w:spacing w:line="288" w:lineRule="auto"/>
        <w:ind w:firstLine="400" w:firstLineChars="200"/>
        <w:rPr>
          <w:sz w:val="20"/>
          <w:szCs w:val="20"/>
        </w:rPr>
      </w:pPr>
      <w:r>
        <w:rPr>
          <w:sz w:val="20"/>
          <w:szCs w:val="20"/>
        </w:rPr>
        <w:br w:type="page"/>
      </w:r>
      <w:bookmarkEnd w:id="25"/>
      <w:bookmarkStart w:id="50" w:name="_Toc24525"/>
      <w:bookmarkStart w:id="51" w:name="_Toc13977"/>
      <w:bookmarkStart w:id="52" w:name="_Toc31788"/>
      <w:bookmarkStart w:id="53" w:name="_Toc5381"/>
      <w:bookmarkStart w:id="54" w:name="_Toc15062"/>
      <w:bookmarkStart w:id="55" w:name="_Toc16443"/>
      <w:bookmarkStart w:id="56" w:name="_Toc29011"/>
      <w:bookmarkStart w:id="57" w:name="_Toc10416"/>
      <w:bookmarkStart w:id="58" w:name="_Toc286"/>
      <w:bookmarkStart w:id="59" w:name="_Toc27294"/>
      <w:bookmarkStart w:id="60" w:name="_Toc323754830"/>
    </w:p>
    <w:p w14:paraId="63A0B4F8">
      <w:pPr>
        <w:snapToGrid w:val="0"/>
        <w:spacing w:line="288" w:lineRule="auto"/>
        <w:jc w:val="center"/>
        <w:outlineLvl w:val="0"/>
        <w:rPr>
          <w:rFonts w:eastAsia="黑体"/>
          <w:b/>
          <w:bCs/>
          <w:kern w:val="44"/>
          <w:sz w:val="26"/>
          <w:szCs w:val="26"/>
        </w:rPr>
      </w:pPr>
      <w:bookmarkStart w:id="61" w:name="_Toc1558743162"/>
      <w:bookmarkStart w:id="62" w:name="_Toc764839624"/>
      <w:bookmarkStart w:id="63" w:name="_Toc164652680"/>
      <w:bookmarkStart w:id="64" w:name="_Toc441334903"/>
      <w:bookmarkStart w:id="65" w:name="_Toc313848329"/>
      <w:bookmarkStart w:id="66" w:name="_Toc185236572"/>
      <w:bookmarkStart w:id="67" w:name="_Toc185235621"/>
      <w:bookmarkStart w:id="68" w:name="_Toc188612050"/>
      <w:bookmarkStart w:id="69" w:name="_Toc188798522"/>
      <w:r>
        <w:rPr>
          <w:rFonts w:eastAsia="黑体"/>
          <w:b/>
          <w:bCs/>
          <w:kern w:val="44"/>
          <w:sz w:val="26"/>
          <w:szCs w:val="26"/>
        </w:rPr>
        <w:t xml:space="preserve">3  </w:t>
      </w:r>
      <w:bookmarkEnd w:id="50"/>
      <w:bookmarkEnd w:id="51"/>
      <w:bookmarkEnd w:id="52"/>
      <w:bookmarkEnd w:id="53"/>
      <w:bookmarkEnd w:id="54"/>
      <w:bookmarkEnd w:id="55"/>
      <w:bookmarkEnd w:id="56"/>
      <w:bookmarkEnd w:id="57"/>
      <w:bookmarkEnd w:id="58"/>
      <w:bookmarkEnd w:id="59"/>
      <w:bookmarkEnd w:id="61"/>
      <w:bookmarkEnd w:id="62"/>
      <w:bookmarkEnd w:id="63"/>
      <w:bookmarkEnd w:id="64"/>
      <w:bookmarkEnd w:id="65"/>
      <w:r>
        <w:rPr>
          <w:rFonts w:hint="eastAsia" w:eastAsia="黑体"/>
          <w:b/>
          <w:bCs/>
          <w:kern w:val="44"/>
          <w:sz w:val="26"/>
          <w:szCs w:val="26"/>
        </w:rPr>
        <w:t>基本规定</w:t>
      </w:r>
      <w:bookmarkEnd w:id="66"/>
      <w:bookmarkEnd w:id="67"/>
      <w:bookmarkEnd w:id="68"/>
      <w:bookmarkEnd w:id="69"/>
    </w:p>
    <w:p w14:paraId="7F71C5F1">
      <w:pPr>
        <w:snapToGrid w:val="0"/>
        <w:spacing w:line="288" w:lineRule="auto"/>
        <w:ind w:firstLine="350" w:firstLineChars="175"/>
        <w:rPr>
          <w:sz w:val="20"/>
          <w:szCs w:val="20"/>
        </w:rPr>
      </w:pPr>
    </w:p>
    <w:p w14:paraId="6251B863">
      <w:pPr>
        <w:snapToGrid w:val="0"/>
        <w:spacing w:line="288" w:lineRule="auto"/>
        <w:rPr>
          <w:rFonts w:hAnsi="宋体"/>
          <w:bCs/>
          <w:sz w:val="20"/>
          <w:szCs w:val="20"/>
        </w:rPr>
      </w:pPr>
      <w:bookmarkStart w:id="70" w:name="_Toc758787217"/>
      <w:bookmarkStart w:id="71" w:name="_Toc31472"/>
      <w:bookmarkStart w:id="72" w:name="_Toc383863358"/>
      <w:bookmarkStart w:id="73" w:name="_Toc1693586142"/>
      <w:bookmarkStart w:id="74" w:name="_Toc129197727"/>
      <w:bookmarkStart w:id="75" w:name="_Toc624165585"/>
      <w:bookmarkStart w:id="76" w:name="_Toc20574"/>
      <w:bookmarkStart w:id="77" w:name="_Toc22350"/>
      <w:bookmarkStart w:id="78" w:name="_Toc4243"/>
      <w:bookmarkStart w:id="79" w:name="_Toc23102"/>
      <w:bookmarkStart w:id="80" w:name="_Toc22177"/>
      <w:bookmarkStart w:id="81" w:name="_Toc9831"/>
      <w:r>
        <w:rPr>
          <w:rFonts w:hAnsi="宋体"/>
          <w:b/>
          <w:bCs/>
          <w:sz w:val="20"/>
          <w:szCs w:val="20"/>
        </w:rPr>
        <w:t xml:space="preserve">3.0.1  </w:t>
      </w:r>
      <w:r>
        <w:rPr>
          <w:rFonts w:hint="eastAsia" w:hAnsi="宋体"/>
          <w:bCs/>
          <w:sz w:val="20"/>
          <w:szCs w:val="20"/>
        </w:rPr>
        <w:t>工程使用的原材料、半成品、成品、构配件、器具和设备应进行进场检验，其质量应符合国家及北京市现行有关标准、设计要求。涉及安全、节能、环境保护和主要使用功能的重要材料、产品应按照各专业相关规定进行复检，并应经监理工程师检查认可。</w:t>
      </w:r>
    </w:p>
    <w:p w14:paraId="26DEA716">
      <w:pPr>
        <w:snapToGrid w:val="0"/>
        <w:spacing w:line="288" w:lineRule="auto"/>
        <w:rPr>
          <w:bCs/>
          <w:sz w:val="20"/>
          <w:szCs w:val="20"/>
        </w:rPr>
      </w:pPr>
      <w:r>
        <w:rPr>
          <w:b/>
          <w:bCs/>
          <w:sz w:val="20"/>
          <w:szCs w:val="20"/>
        </w:rPr>
        <w:t xml:space="preserve">3.0.2  </w:t>
      </w:r>
      <w:r>
        <w:rPr>
          <w:rFonts w:hint="eastAsia"/>
          <w:bCs/>
          <w:sz w:val="20"/>
          <w:szCs w:val="20"/>
        </w:rPr>
        <w:t>施工场地应满足工作井、起重设备、管节存放、浆液站、材料和渣土存放、供配电站、操作室、库房等生产设施占地和施工运输要求。</w:t>
      </w:r>
    </w:p>
    <w:p w14:paraId="344937C5">
      <w:pPr>
        <w:snapToGrid w:val="0"/>
        <w:spacing w:line="288" w:lineRule="auto"/>
        <w:rPr>
          <w:rFonts w:hAnsi="Cambria Math"/>
          <w:bCs/>
          <w:sz w:val="20"/>
          <w:szCs w:val="20"/>
        </w:rPr>
      </w:pPr>
      <w:r>
        <w:rPr>
          <w:rFonts w:hAnsi="宋体"/>
          <w:b/>
          <w:sz w:val="20"/>
          <w:szCs w:val="20"/>
        </w:rPr>
        <w:t xml:space="preserve">3.0.3  </w:t>
      </w:r>
      <w:r>
        <w:rPr>
          <w:rFonts w:hint="eastAsia" w:hAnsi="Cambria Math"/>
          <w:bCs/>
          <w:sz w:val="20"/>
          <w:szCs w:val="20"/>
        </w:rPr>
        <w:t>施工使用的测量、监测与计量设备、仪器应经计量检定、校准合格，并在有效期内。</w:t>
      </w:r>
    </w:p>
    <w:p w14:paraId="55C41D4B">
      <w:pPr>
        <w:snapToGrid w:val="0"/>
        <w:spacing w:line="288" w:lineRule="auto"/>
        <w:rPr>
          <w:rFonts w:hAnsi="宋体"/>
          <w:bCs/>
          <w:sz w:val="20"/>
          <w:szCs w:val="20"/>
        </w:rPr>
      </w:pPr>
      <w:r>
        <w:rPr>
          <w:rFonts w:hint="eastAsia" w:hAnsi="宋体"/>
          <w:b/>
          <w:sz w:val="20"/>
          <w:szCs w:val="20"/>
        </w:rPr>
        <w:t>3.0.</w:t>
      </w:r>
      <w:r>
        <w:rPr>
          <w:rFonts w:hAnsi="宋体"/>
          <w:b/>
          <w:sz w:val="20"/>
          <w:szCs w:val="20"/>
        </w:rPr>
        <w:t xml:space="preserve">4  </w:t>
      </w:r>
      <w:r>
        <w:rPr>
          <w:rFonts w:hint="eastAsia" w:hAnsi="宋体"/>
          <w:bCs/>
          <w:sz w:val="20"/>
          <w:szCs w:val="20"/>
        </w:rPr>
        <w:t>矩形顶管施工应实施信息化管理，宜配置远程监控系统。</w:t>
      </w:r>
    </w:p>
    <w:p w14:paraId="3D1943CF">
      <w:pPr>
        <w:snapToGrid w:val="0"/>
        <w:spacing w:line="288" w:lineRule="auto"/>
        <w:rPr>
          <w:rFonts w:hAnsi="宋体"/>
          <w:bCs/>
          <w:sz w:val="20"/>
          <w:szCs w:val="20"/>
        </w:rPr>
      </w:pPr>
      <w:r>
        <w:rPr>
          <w:rFonts w:hint="eastAsia" w:hAnsi="宋体"/>
          <w:b/>
          <w:sz w:val="20"/>
          <w:szCs w:val="20"/>
        </w:rPr>
        <w:t>3.0.</w:t>
      </w:r>
      <w:r>
        <w:rPr>
          <w:rFonts w:hAnsi="宋体"/>
          <w:b/>
          <w:sz w:val="20"/>
          <w:szCs w:val="20"/>
        </w:rPr>
        <w:t>5</w:t>
      </w:r>
      <w:r>
        <w:rPr>
          <w:rFonts w:hint="eastAsia" w:hAnsi="宋体"/>
          <w:b/>
          <w:sz w:val="20"/>
          <w:szCs w:val="20"/>
        </w:rPr>
        <w:t xml:space="preserve"> </w:t>
      </w:r>
      <w:r>
        <w:rPr>
          <w:rFonts w:hint="eastAsia" w:hAnsi="宋体"/>
          <w:bCs/>
          <w:sz w:val="20"/>
          <w:szCs w:val="20"/>
        </w:rPr>
        <w:t xml:space="preserve"> 管节应工厂预制，宜采用钢承口结构形式。</w:t>
      </w:r>
    </w:p>
    <w:p w14:paraId="66FC6E08">
      <w:pPr>
        <w:snapToGrid w:val="0"/>
        <w:spacing w:line="288" w:lineRule="auto"/>
        <w:rPr>
          <w:rFonts w:hAnsi="宋体"/>
          <w:bCs/>
          <w:sz w:val="20"/>
          <w:szCs w:val="20"/>
        </w:rPr>
      </w:pPr>
      <w:r>
        <w:rPr>
          <w:rFonts w:hint="eastAsia" w:hAnsi="宋体"/>
          <w:b/>
          <w:sz w:val="20"/>
          <w:szCs w:val="20"/>
        </w:rPr>
        <w:t>3.0.</w:t>
      </w:r>
      <w:r>
        <w:rPr>
          <w:rFonts w:hAnsi="宋体"/>
          <w:b/>
          <w:sz w:val="20"/>
          <w:szCs w:val="20"/>
        </w:rPr>
        <w:t xml:space="preserve">6  </w:t>
      </w:r>
      <w:r>
        <w:rPr>
          <w:rFonts w:hint="eastAsia" w:hAnsi="宋体"/>
          <w:bCs/>
          <w:sz w:val="20"/>
          <w:szCs w:val="20"/>
        </w:rPr>
        <w:t>矩形顶管机设备应满足工程地质、水文地质、工程环境条件及其他要求。</w:t>
      </w:r>
    </w:p>
    <w:p w14:paraId="2B49944F">
      <w:pPr>
        <w:snapToGrid w:val="0"/>
        <w:spacing w:line="288" w:lineRule="auto"/>
        <w:ind w:firstLine="350" w:firstLineChars="175"/>
        <w:rPr>
          <w:sz w:val="20"/>
          <w:szCs w:val="20"/>
        </w:rPr>
      </w:pPr>
    </w:p>
    <w:p w14:paraId="25382F38">
      <w:pPr>
        <w:snapToGrid w:val="0"/>
        <w:spacing w:line="288" w:lineRule="auto"/>
        <w:ind w:left="2" w:hanging="2"/>
        <w:jc w:val="center"/>
        <w:outlineLvl w:val="0"/>
        <w:rPr>
          <w:rFonts w:ascii="Calibri" w:hAnsi="Calibri" w:cs="Calibri"/>
          <w:b/>
          <w:bCs/>
          <w:kern w:val="0"/>
          <w:lang w:bidi="ar"/>
        </w:rPr>
      </w:pPr>
      <w:r>
        <w:rPr>
          <w:rFonts w:ascii="Calibri" w:hAnsi="Calibri" w:cs="Calibri"/>
          <w:b/>
          <w:bCs/>
          <w:kern w:val="0"/>
          <w:lang w:bidi="ar"/>
        </w:rPr>
        <w:br w:type="page"/>
      </w:r>
      <w:bookmarkStart w:id="82" w:name="_Toc19724"/>
      <w:bookmarkStart w:id="83" w:name="_Toc10926"/>
      <w:bookmarkStart w:id="84" w:name="_Toc21419649"/>
      <w:bookmarkStart w:id="85" w:name="_Toc79404379"/>
      <w:bookmarkStart w:id="86" w:name="_Toc89096263"/>
      <w:bookmarkStart w:id="87" w:name="_Toc78789686"/>
      <w:bookmarkStart w:id="88" w:name="_Toc91757338"/>
      <w:bookmarkStart w:id="89" w:name="_Toc76479692"/>
      <w:bookmarkStart w:id="90" w:name="_Toc89420474"/>
      <w:bookmarkStart w:id="91" w:name="_Toc92028668"/>
      <w:bookmarkStart w:id="92" w:name="_Toc89097023"/>
      <w:bookmarkStart w:id="93" w:name="_Toc89260048"/>
      <w:bookmarkStart w:id="94" w:name="_Toc164082905"/>
    </w:p>
    <w:p w14:paraId="2D55852B">
      <w:pPr>
        <w:snapToGrid w:val="0"/>
        <w:spacing w:line="288" w:lineRule="auto"/>
        <w:jc w:val="center"/>
        <w:outlineLvl w:val="0"/>
        <w:rPr>
          <w:rFonts w:eastAsia="黑体"/>
          <w:b/>
          <w:bCs/>
          <w:kern w:val="44"/>
          <w:sz w:val="26"/>
          <w:szCs w:val="26"/>
        </w:rPr>
      </w:pPr>
      <w:bookmarkStart w:id="95" w:name="_Toc185235622"/>
      <w:bookmarkStart w:id="96" w:name="_Toc188798523"/>
      <w:bookmarkStart w:id="97" w:name="_Toc185236573"/>
      <w:bookmarkStart w:id="98" w:name="_Toc188612051"/>
      <w:r>
        <w:rPr>
          <w:rFonts w:eastAsia="黑体"/>
          <w:b/>
          <w:bCs/>
          <w:kern w:val="44"/>
          <w:sz w:val="26"/>
          <w:szCs w:val="26"/>
        </w:rPr>
        <w:t xml:space="preserve">4  </w:t>
      </w:r>
      <w:r>
        <w:rPr>
          <w:rFonts w:hint="eastAsia" w:eastAsia="黑体"/>
          <w:b/>
          <w:bCs/>
          <w:kern w:val="44"/>
          <w:sz w:val="26"/>
          <w:szCs w:val="26"/>
        </w:rPr>
        <w:t>施</w:t>
      </w:r>
      <w:bookmarkEnd w:id="82"/>
      <w:bookmarkEnd w:id="83"/>
      <w:bookmarkEnd w:id="84"/>
      <w:r>
        <w:rPr>
          <w:rFonts w:hint="eastAsia" w:eastAsia="黑体"/>
          <w:b/>
          <w:bCs/>
          <w:kern w:val="44"/>
          <w:sz w:val="26"/>
          <w:szCs w:val="26"/>
        </w:rPr>
        <w:t>工准备</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B9D12B1">
      <w:pPr>
        <w:pStyle w:val="3"/>
        <w:snapToGrid w:val="0"/>
        <w:spacing w:before="312" w:beforeLines="100" w:after="0" w:line="288" w:lineRule="auto"/>
        <w:jc w:val="center"/>
        <w:rPr>
          <w:rFonts w:ascii="Times New Roman" w:hAnsi="Times New Roman"/>
          <w:sz w:val="20"/>
          <w:szCs w:val="21"/>
        </w:rPr>
      </w:pPr>
      <w:bookmarkStart w:id="99" w:name="_Toc11416552"/>
      <w:bookmarkStart w:id="100" w:name="_Toc13312"/>
      <w:bookmarkStart w:id="101" w:name="_Toc14690"/>
      <w:bookmarkStart w:id="102" w:name="_Toc21419651"/>
      <w:bookmarkStart w:id="103" w:name="_Toc185236574"/>
      <w:bookmarkStart w:id="104" w:name="_Toc188612052"/>
      <w:bookmarkStart w:id="105" w:name="_Toc185235623"/>
      <w:bookmarkStart w:id="106" w:name="_Toc188798524"/>
      <w:bookmarkStart w:id="107" w:name="_Toc164082907"/>
      <w:bookmarkStart w:id="108" w:name="_Toc89260050"/>
      <w:bookmarkStart w:id="109" w:name="_Toc89096265"/>
      <w:bookmarkStart w:id="110" w:name="_Toc78789688"/>
      <w:bookmarkStart w:id="111" w:name="_Toc92028670"/>
      <w:bookmarkStart w:id="112" w:name="_Toc89097025"/>
      <w:bookmarkStart w:id="113" w:name="_Toc79404381"/>
      <w:bookmarkStart w:id="114" w:name="_Toc89420476"/>
      <w:bookmarkStart w:id="115" w:name="_Toc91757340"/>
      <w:bookmarkStart w:id="116" w:name="_Toc76479694"/>
      <w:bookmarkStart w:id="117" w:name="_Toc11416551"/>
      <w:bookmarkStart w:id="118" w:name="_Toc76479693"/>
      <w:bookmarkStart w:id="119" w:name="_Toc89260049"/>
      <w:bookmarkStart w:id="120" w:name="_Toc89096264"/>
      <w:bookmarkStart w:id="121" w:name="_Toc91757339"/>
      <w:bookmarkStart w:id="122" w:name="_Toc15732"/>
      <w:bookmarkStart w:id="123" w:name="_Toc92028669"/>
      <w:bookmarkStart w:id="124" w:name="_Toc21419650"/>
      <w:bookmarkStart w:id="125" w:name="_Toc164082906"/>
      <w:bookmarkStart w:id="126" w:name="_Toc89097024"/>
      <w:bookmarkStart w:id="127" w:name="_Toc79404380"/>
      <w:bookmarkStart w:id="128" w:name="_Toc21815"/>
      <w:bookmarkStart w:id="129" w:name="_Toc78789687"/>
      <w:bookmarkStart w:id="130" w:name="_Toc89420475"/>
      <w:bookmarkStart w:id="131" w:name="_Toc529104032"/>
      <w:r>
        <w:rPr>
          <w:rFonts w:ascii="Times New Roman" w:hAnsi="Times New Roman"/>
          <w:sz w:val="20"/>
          <w:szCs w:val="21"/>
        </w:rPr>
        <w:t xml:space="preserve">4.1  </w:t>
      </w:r>
      <w:bookmarkEnd w:id="99"/>
      <w:bookmarkEnd w:id="100"/>
      <w:bookmarkEnd w:id="101"/>
      <w:bookmarkEnd w:id="102"/>
      <w:r>
        <w:rPr>
          <w:rFonts w:hint="eastAsia" w:ascii="Times New Roman" w:hAnsi="Times New Roman"/>
          <w:sz w:val="20"/>
          <w:szCs w:val="21"/>
        </w:rPr>
        <w:t>一般规定</w:t>
      </w:r>
      <w:bookmarkEnd w:id="103"/>
      <w:bookmarkEnd w:id="104"/>
      <w:bookmarkEnd w:id="105"/>
      <w:bookmarkEnd w:id="106"/>
    </w:p>
    <w:p w14:paraId="7A4A2DDC">
      <w:pPr>
        <w:snapToGrid w:val="0"/>
        <w:spacing w:line="288" w:lineRule="auto"/>
        <w:outlineLvl w:val="2"/>
        <w:rPr>
          <w:rFonts w:hAnsi="宋体"/>
          <w:sz w:val="20"/>
          <w:szCs w:val="20"/>
        </w:rPr>
      </w:pPr>
      <w:r>
        <w:rPr>
          <w:rFonts w:hAnsi="宋体"/>
          <w:b/>
          <w:sz w:val="20"/>
          <w:szCs w:val="20"/>
        </w:rPr>
        <w:t>4.1.1</w:t>
      </w:r>
      <w:r>
        <w:rPr>
          <w:rFonts w:ascii="宋体" w:hAnsi="宋体"/>
          <w:bCs/>
          <w:kern w:val="0"/>
          <w:sz w:val="20"/>
          <w:szCs w:val="20"/>
        </w:rPr>
        <w:t xml:space="preserve">  </w:t>
      </w:r>
      <w:r>
        <w:rPr>
          <w:rFonts w:hint="eastAsia" w:ascii="宋体" w:hAnsi="宋体"/>
          <w:bCs/>
          <w:kern w:val="0"/>
          <w:sz w:val="20"/>
          <w:szCs w:val="20"/>
        </w:rPr>
        <w:t>矩形</w:t>
      </w:r>
      <w:r>
        <w:rPr>
          <w:rFonts w:hint="eastAsia"/>
          <w:sz w:val="20"/>
          <w:szCs w:val="20"/>
        </w:rPr>
        <w:t>顶管施工前</w:t>
      </w:r>
      <w:r>
        <w:rPr>
          <w:rFonts w:hint="eastAsia" w:hAnsi="宋体"/>
          <w:bCs/>
          <w:sz w:val="20"/>
          <w:szCs w:val="20"/>
        </w:rPr>
        <w:t>，应具备下列资料</w:t>
      </w:r>
      <w:r>
        <w:rPr>
          <w:rFonts w:hAnsi="宋体"/>
          <w:bCs/>
          <w:sz w:val="20"/>
          <w:szCs w:val="20"/>
        </w:rPr>
        <w:t>:</w:t>
      </w:r>
    </w:p>
    <w:p w14:paraId="32945550">
      <w:pPr>
        <w:snapToGrid w:val="0"/>
        <w:spacing w:line="288" w:lineRule="auto"/>
        <w:ind w:firstLine="350" w:firstLineChars="175"/>
        <w:rPr>
          <w:rFonts w:hAnsi="宋体"/>
          <w:sz w:val="20"/>
          <w:szCs w:val="20"/>
        </w:rPr>
      </w:pPr>
      <w:r>
        <w:rPr>
          <w:rFonts w:hAnsi="宋体"/>
          <w:b/>
          <w:sz w:val="20"/>
          <w:szCs w:val="20"/>
        </w:rPr>
        <w:t>1</w:t>
      </w:r>
      <w:r>
        <w:rPr>
          <w:rFonts w:hint="eastAsia" w:hAnsi="宋体"/>
          <w:bCs/>
          <w:sz w:val="20"/>
          <w:szCs w:val="20"/>
        </w:rPr>
        <w:t xml:space="preserve"> 工程地质和水文地质勘察报告；</w:t>
      </w:r>
    </w:p>
    <w:p w14:paraId="4E896339">
      <w:pPr>
        <w:snapToGrid w:val="0"/>
        <w:spacing w:line="288" w:lineRule="auto"/>
        <w:ind w:firstLine="350" w:firstLineChars="175"/>
        <w:rPr>
          <w:rFonts w:hAnsi="宋体"/>
          <w:sz w:val="20"/>
          <w:szCs w:val="20"/>
        </w:rPr>
      </w:pPr>
      <w:r>
        <w:rPr>
          <w:rFonts w:hint="eastAsia" w:hAnsi="宋体"/>
          <w:b/>
          <w:sz w:val="20"/>
          <w:szCs w:val="20"/>
        </w:rPr>
        <w:t>2</w:t>
      </w:r>
      <w:r>
        <w:rPr>
          <w:rFonts w:hint="eastAsia" w:hAnsi="宋体"/>
          <w:bCs/>
          <w:sz w:val="20"/>
          <w:szCs w:val="20"/>
        </w:rPr>
        <w:t xml:space="preserve"> 施工沿线地上、地下建（构）筑物及管线等的调查报告；</w:t>
      </w:r>
    </w:p>
    <w:p w14:paraId="56744EAC">
      <w:pPr>
        <w:snapToGrid w:val="0"/>
        <w:spacing w:line="288" w:lineRule="auto"/>
        <w:ind w:firstLine="350" w:firstLineChars="175"/>
        <w:rPr>
          <w:rFonts w:hAnsi="宋体"/>
          <w:sz w:val="20"/>
          <w:szCs w:val="20"/>
        </w:rPr>
      </w:pPr>
      <w:r>
        <w:rPr>
          <w:rFonts w:hint="eastAsia" w:hAnsi="宋体"/>
          <w:b/>
          <w:sz w:val="20"/>
          <w:szCs w:val="20"/>
        </w:rPr>
        <w:t>3</w:t>
      </w:r>
      <w:r>
        <w:rPr>
          <w:rFonts w:hint="eastAsia" w:hAnsi="宋体"/>
          <w:bCs/>
          <w:sz w:val="20"/>
          <w:szCs w:val="20"/>
        </w:rPr>
        <w:t xml:space="preserve"> 施工所需的设计图纸资料。</w:t>
      </w:r>
    </w:p>
    <w:p w14:paraId="48B0C4FA">
      <w:pPr>
        <w:snapToGrid w:val="0"/>
        <w:spacing w:line="288" w:lineRule="auto"/>
        <w:outlineLvl w:val="2"/>
        <w:rPr>
          <w:rFonts w:hAnsi="宋体"/>
          <w:sz w:val="20"/>
          <w:szCs w:val="20"/>
        </w:rPr>
      </w:pPr>
      <w:r>
        <w:rPr>
          <w:rFonts w:hAnsi="宋体"/>
          <w:b/>
          <w:sz w:val="20"/>
          <w:szCs w:val="20"/>
        </w:rPr>
        <w:t>4.1.2</w:t>
      </w:r>
      <w:r>
        <w:rPr>
          <w:rFonts w:hAnsi="宋体"/>
          <w:bCs/>
          <w:sz w:val="20"/>
          <w:szCs w:val="20"/>
        </w:rPr>
        <w:t xml:space="preserve">  </w:t>
      </w:r>
      <w:r>
        <w:rPr>
          <w:rFonts w:hint="eastAsia" w:ascii="宋体" w:hAnsi="宋体"/>
          <w:bCs/>
          <w:kern w:val="0"/>
          <w:sz w:val="20"/>
          <w:szCs w:val="20"/>
        </w:rPr>
        <w:t>矩形</w:t>
      </w:r>
      <w:r>
        <w:rPr>
          <w:rFonts w:hint="eastAsia"/>
          <w:sz w:val="20"/>
          <w:szCs w:val="20"/>
        </w:rPr>
        <w:t>顶管</w:t>
      </w:r>
      <w:r>
        <w:rPr>
          <w:rFonts w:hint="eastAsia" w:hAnsi="宋体"/>
          <w:bCs/>
          <w:sz w:val="20"/>
          <w:szCs w:val="20"/>
        </w:rPr>
        <w:t>施工前</w:t>
      </w:r>
      <w:r>
        <w:rPr>
          <w:rFonts w:hint="eastAsia"/>
          <w:sz w:val="20"/>
          <w:szCs w:val="20"/>
        </w:rPr>
        <w:t>应建立施工测量和监控量测系统</w:t>
      </w:r>
      <w:r>
        <w:rPr>
          <w:rFonts w:hint="eastAsia" w:hAnsi="宋体"/>
          <w:bCs/>
          <w:sz w:val="20"/>
          <w:szCs w:val="20"/>
        </w:rPr>
        <w:t>。</w:t>
      </w:r>
    </w:p>
    <w:p w14:paraId="4489F656">
      <w:pPr>
        <w:snapToGrid w:val="0"/>
        <w:spacing w:line="288" w:lineRule="auto"/>
        <w:outlineLvl w:val="2"/>
        <w:rPr>
          <w:rFonts w:hAnsi="宋体"/>
          <w:bCs/>
          <w:sz w:val="20"/>
          <w:szCs w:val="20"/>
        </w:rPr>
      </w:pPr>
      <w:r>
        <w:rPr>
          <w:rFonts w:hAnsi="宋体"/>
          <w:b/>
          <w:sz w:val="20"/>
          <w:szCs w:val="20"/>
        </w:rPr>
        <w:t>4.1.3</w:t>
      </w:r>
      <w:r>
        <w:rPr>
          <w:rFonts w:hAnsi="宋体"/>
          <w:bCs/>
          <w:sz w:val="20"/>
          <w:szCs w:val="20"/>
        </w:rPr>
        <w:t xml:space="preserve">  </w:t>
      </w:r>
      <w:bookmarkStart w:id="132" w:name="OLE_LINK2"/>
      <w:r>
        <w:rPr>
          <w:rFonts w:hint="eastAsia" w:ascii="宋体" w:hAnsi="宋体"/>
          <w:bCs/>
          <w:kern w:val="0"/>
          <w:sz w:val="20"/>
          <w:szCs w:val="20"/>
        </w:rPr>
        <w:t>矩形</w:t>
      </w:r>
      <w:r>
        <w:rPr>
          <w:rFonts w:hint="eastAsia"/>
          <w:sz w:val="20"/>
          <w:szCs w:val="20"/>
        </w:rPr>
        <w:t>顶管</w:t>
      </w:r>
      <w:r>
        <w:rPr>
          <w:rFonts w:hint="eastAsia" w:hAnsi="宋体"/>
          <w:bCs/>
          <w:sz w:val="20"/>
          <w:szCs w:val="20"/>
        </w:rPr>
        <w:t>施工前</w:t>
      </w:r>
      <w:bookmarkEnd w:id="132"/>
      <w:r>
        <w:rPr>
          <w:rFonts w:hint="eastAsia"/>
          <w:sz w:val="20"/>
          <w:szCs w:val="20"/>
        </w:rPr>
        <w:t>应根据顶管所处的工程地质和水文地质条件</w:t>
      </w:r>
      <w:r>
        <w:rPr>
          <w:rFonts w:hint="eastAsia" w:hAnsi="宋体"/>
          <w:bCs/>
          <w:sz w:val="20"/>
          <w:szCs w:val="20"/>
        </w:rPr>
        <w:t>、线路条件和结构设计条件、环境保护要求等进行顶管机选型、设计和制造。</w:t>
      </w:r>
    </w:p>
    <w:p w14:paraId="2DA3276D">
      <w:pPr>
        <w:snapToGrid w:val="0"/>
        <w:spacing w:line="288" w:lineRule="auto"/>
        <w:outlineLvl w:val="2"/>
        <w:rPr>
          <w:rFonts w:hAnsi="宋体"/>
          <w:bCs/>
          <w:sz w:val="20"/>
          <w:szCs w:val="20"/>
        </w:rPr>
      </w:pPr>
      <w:r>
        <w:rPr>
          <w:rFonts w:hAnsi="宋体"/>
          <w:b/>
          <w:sz w:val="20"/>
          <w:szCs w:val="20"/>
        </w:rPr>
        <w:t>4.1.</w:t>
      </w:r>
      <w:r>
        <w:rPr>
          <w:rFonts w:hint="eastAsia" w:hAnsi="宋体"/>
          <w:b/>
          <w:sz w:val="20"/>
          <w:szCs w:val="20"/>
        </w:rPr>
        <w:t>4</w:t>
      </w:r>
      <w:r>
        <w:rPr>
          <w:rFonts w:hAnsi="宋体"/>
          <w:b/>
          <w:sz w:val="20"/>
          <w:szCs w:val="20"/>
        </w:rPr>
        <w:t xml:space="preserve">  </w:t>
      </w:r>
      <w:r>
        <w:rPr>
          <w:rFonts w:hint="eastAsia"/>
          <w:sz w:val="20"/>
          <w:szCs w:val="20"/>
        </w:rPr>
        <w:t>管节现场存放应受力均匀</w:t>
      </w:r>
      <w:r>
        <w:rPr>
          <w:rFonts w:hint="eastAsia" w:hAnsi="宋体"/>
          <w:bCs/>
          <w:sz w:val="20"/>
          <w:szCs w:val="20"/>
        </w:rPr>
        <w:t xml:space="preserve">、安全稳固，管节外表面应涂润滑剂。 </w:t>
      </w:r>
    </w:p>
    <w:p w14:paraId="1C5EF383">
      <w:pPr>
        <w:pStyle w:val="3"/>
        <w:snapToGrid w:val="0"/>
        <w:spacing w:before="312" w:beforeLines="100" w:after="0" w:line="288" w:lineRule="auto"/>
        <w:jc w:val="center"/>
        <w:rPr>
          <w:rFonts w:ascii="Times New Roman" w:hAnsi="Times New Roman"/>
          <w:sz w:val="20"/>
          <w:szCs w:val="21"/>
        </w:rPr>
      </w:pPr>
      <w:bookmarkStart w:id="133" w:name="_Toc185235624"/>
      <w:bookmarkStart w:id="134" w:name="_Toc188798525"/>
      <w:bookmarkStart w:id="135" w:name="_Toc185236575"/>
      <w:bookmarkStart w:id="136" w:name="_Toc188612053"/>
      <w:r>
        <w:rPr>
          <w:rFonts w:hint="eastAsia" w:ascii="Times New Roman" w:hAnsi="Times New Roman"/>
          <w:sz w:val="20"/>
          <w:szCs w:val="21"/>
        </w:rPr>
        <w:t>4.</w:t>
      </w:r>
      <w:r>
        <w:rPr>
          <w:rFonts w:ascii="Times New Roman" w:hAnsi="Times New Roman"/>
          <w:sz w:val="20"/>
          <w:szCs w:val="21"/>
        </w:rPr>
        <w:t>2  前期调查</w:t>
      </w:r>
      <w:bookmarkEnd w:id="107"/>
      <w:bookmarkEnd w:id="108"/>
      <w:bookmarkEnd w:id="109"/>
      <w:bookmarkEnd w:id="110"/>
      <w:bookmarkEnd w:id="111"/>
      <w:bookmarkEnd w:id="112"/>
      <w:bookmarkEnd w:id="113"/>
      <w:bookmarkEnd w:id="114"/>
      <w:bookmarkEnd w:id="115"/>
      <w:bookmarkEnd w:id="116"/>
      <w:bookmarkEnd w:id="133"/>
      <w:bookmarkEnd w:id="134"/>
      <w:bookmarkEnd w:id="135"/>
      <w:bookmarkEnd w:id="136"/>
    </w:p>
    <w:p w14:paraId="5C67BEAC">
      <w:pPr>
        <w:snapToGrid w:val="0"/>
        <w:spacing w:line="288" w:lineRule="auto"/>
        <w:outlineLvl w:val="2"/>
        <w:rPr>
          <w:sz w:val="20"/>
          <w:szCs w:val="20"/>
        </w:rPr>
      </w:pPr>
      <w:r>
        <w:rPr>
          <w:b/>
          <w:sz w:val="20"/>
        </w:rPr>
        <w:t>4.2.1</w:t>
      </w:r>
      <w:r>
        <w:rPr>
          <w:kern w:val="0"/>
          <w:sz w:val="20"/>
        </w:rPr>
        <w:t xml:space="preserve"> </w:t>
      </w:r>
      <w:r>
        <w:rPr>
          <w:rFonts w:hint="eastAsia"/>
          <w:kern w:val="0"/>
          <w:sz w:val="20"/>
        </w:rPr>
        <w:t xml:space="preserve"> </w:t>
      </w:r>
      <w:r>
        <w:rPr>
          <w:rFonts w:hint="eastAsia"/>
          <w:sz w:val="20"/>
          <w:szCs w:val="20"/>
        </w:rPr>
        <w:t>根据勘察资料对施工范围内工程地质和水文地质情况进行调查，</w:t>
      </w:r>
      <w:r>
        <w:rPr>
          <w:sz w:val="20"/>
          <w:szCs w:val="20"/>
        </w:rPr>
        <w:t>必要</w:t>
      </w:r>
      <w:r>
        <w:rPr>
          <w:rFonts w:hint="eastAsia"/>
          <w:sz w:val="20"/>
          <w:szCs w:val="20"/>
        </w:rPr>
        <w:t>时应进行</w:t>
      </w:r>
      <w:r>
        <w:rPr>
          <w:sz w:val="20"/>
          <w:szCs w:val="20"/>
        </w:rPr>
        <w:t>补充</w:t>
      </w:r>
      <w:r>
        <w:rPr>
          <w:rFonts w:hint="eastAsia"/>
          <w:sz w:val="20"/>
          <w:szCs w:val="20"/>
        </w:rPr>
        <w:t>勘察</w:t>
      </w:r>
      <w:r>
        <w:rPr>
          <w:rFonts w:hint="eastAsia" w:ascii="宋体" w:hAnsi="宋体"/>
          <w:sz w:val="20"/>
          <w:szCs w:val="20"/>
        </w:rPr>
        <w:t>。</w:t>
      </w:r>
    </w:p>
    <w:p w14:paraId="07BE5C89">
      <w:pPr>
        <w:snapToGrid w:val="0"/>
        <w:spacing w:line="288" w:lineRule="auto"/>
        <w:outlineLvl w:val="2"/>
      </w:pPr>
      <w:r>
        <w:rPr>
          <w:b/>
          <w:sz w:val="20"/>
        </w:rPr>
        <w:t>4.2.2</w:t>
      </w:r>
      <w:r>
        <w:rPr>
          <w:sz w:val="20"/>
        </w:rPr>
        <w:t xml:space="preserve">  </w:t>
      </w:r>
      <w:r>
        <w:rPr>
          <w:rFonts w:hint="eastAsia" w:ascii="宋体" w:hAnsi="宋体"/>
          <w:bCs/>
          <w:kern w:val="0"/>
          <w:sz w:val="20"/>
          <w:szCs w:val="20"/>
        </w:rPr>
        <w:t>矩形</w:t>
      </w:r>
      <w:r>
        <w:rPr>
          <w:rFonts w:hint="eastAsia"/>
          <w:sz w:val="20"/>
          <w:szCs w:val="20"/>
        </w:rPr>
        <w:t>顶管</w:t>
      </w:r>
      <w:r>
        <w:rPr>
          <w:rFonts w:hint="eastAsia" w:hAnsi="宋体"/>
          <w:bCs/>
          <w:sz w:val="20"/>
          <w:szCs w:val="20"/>
        </w:rPr>
        <w:t>施工前</w:t>
      </w:r>
      <w:r>
        <w:rPr>
          <w:rFonts w:hint="eastAsia"/>
          <w:sz w:val="20"/>
          <w:szCs w:val="20"/>
        </w:rPr>
        <w:t>应</w:t>
      </w:r>
      <w:r>
        <w:rPr>
          <w:sz w:val="20"/>
          <w:szCs w:val="20"/>
        </w:rPr>
        <w:t>根据设计资料</w:t>
      </w:r>
      <w:r>
        <w:rPr>
          <w:rFonts w:hint="eastAsia"/>
          <w:sz w:val="20"/>
          <w:szCs w:val="20"/>
        </w:rPr>
        <w:t>对</w:t>
      </w:r>
      <w:r>
        <w:rPr>
          <w:sz w:val="20"/>
          <w:szCs w:val="20"/>
        </w:rPr>
        <w:t>施工场地及施工影响范围内的既有城市轨道交通、铁路、城</w:t>
      </w:r>
      <w:r>
        <w:rPr>
          <w:rFonts w:hint="eastAsia"/>
          <w:sz w:val="20"/>
          <w:szCs w:val="20"/>
        </w:rPr>
        <w:t>市</w:t>
      </w:r>
      <w:r>
        <w:rPr>
          <w:sz w:val="20"/>
          <w:szCs w:val="20"/>
        </w:rPr>
        <w:t>道路交通设施、公路、水利设施、建（构）筑物、地下管线、文物古迹</w:t>
      </w:r>
      <w:r>
        <w:rPr>
          <w:rFonts w:hint="eastAsia"/>
          <w:sz w:val="20"/>
          <w:szCs w:val="20"/>
        </w:rPr>
        <w:t>、</w:t>
      </w:r>
      <w:r>
        <w:rPr>
          <w:sz w:val="20"/>
          <w:szCs w:val="20"/>
        </w:rPr>
        <w:t>园林绿化等情况进行实地调查</w:t>
      </w:r>
      <w:r>
        <w:rPr>
          <w:rFonts w:hint="eastAsia"/>
          <w:sz w:val="20"/>
          <w:szCs w:val="20"/>
        </w:rPr>
        <w:t>。</w:t>
      </w:r>
    </w:p>
    <w:p w14:paraId="5640F85C">
      <w:pPr>
        <w:snapToGrid w:val="0"/>
        <w:spacing w:line="288" w:lineRule="auto"/>
        <w:outlineLvl w:val="2"/>
        <w:rPr>
          <w:sz w:val="20"/>
        </w:rPr>
      </w:pPr>
      <w:r>
        <w:rPr>
          <w:b/>
          <w:sz w:val="20"/>
        </w:rPr>
        <w:t>4.2.3</w:t>
      </w:r>
      <w:r>
        <w:rPr>
          <w:kern w:val="0"/>
          <w:sz w:val="20"/>
        </w:rPr>
        <w:t xml:space="preserve"> </w:t>
      </w:r>
      <w:r>
        <w:rPr>
          <w:rFonts w:hint="eastAsia"/>
          <w:kern w:val="0"/>
          <w:sz w:val="20"/>
        </w:rPr>
        <w:t xml:space="preserve"> </w:t>
      </w:r>
      <w:r>
        <w:rPr>
          <w:rFonts w:hint="eastAsia" w:ascii="宋体" w:hAnsi="宋体"/>
          <w:bCs/>
          <w:kern w:val="0"/>
          <w:sz w:val="20"/>
          <w:szCs w:val="20"/>
        </w:rPr>
        <w:t>矩形</w:t>
      </w:r>
      <w:r>
        <w:rPr>
          <w:rFonts w:hint="eastAsia"/>
          <w:sz w:val="20"/>
          <w:szCs w:val="20"/>
        </w:rPr>
        <w:t>顶管</w:t>
      </w:r>
      <w:r>
        <w:rPr>
          <w:rFonts w:hint="eastAsia" w:hAnsi="宋体"/>
          <w:bCs/>
          <w:sz w:val="20"/>
          <w:szCs w:val="20"/>
        </w:rPr>
        <w:t>施工前</w:t>
      </w:r>
      <w:r>
        <w:rPr>
          <w:rFonts w:hint="eastAsia"/>
          <w:kern w:val="0"/>
          <w:sz w:val="20"/>
        </w:rPr>
        <w:t>应查清施工影响范围内同期其他在建和拟建工程情况</w:t>
      </w:r>
      <w:r>
        <w:rPr>
          <w:rFonts w:hint="eastAsia" w:ascii="宋体" w:hAnsi="宋体"/>
          <w:sz w:val="20"/>
          <w:szCs w:val="20"/>
        </w:rPr>
        <w:t>。</w:t>
      </w:r>
    </w:p>
    <w:p w14:paraId="11858B0A">
      <w:pPr>
        <w:pStyle w:val="3"/>
        <w:snapToGrid w:val="0"/>
        <w:spacing w:before="312" w:beforeLines="100" w:after="0" w:line="288" w:lineRule="auto"/>
        <w:jc w:val="center"/>
        <w:rPr>
          <w:rFonts w:ascii="Times New Roman" w:hAnsi="Times New Roman"/>
          <w:sz w:val="20"/>
          <w:szCs w:val="21"/>
        </w:rPr>
      </w:pPr>
      <w:bookmarkStart w:id="137" w:name="_Toc188612054"/>
      <w:bookmarkStart w:id="138" w:name="_Toc185235625"/>
      <w:bookmarkStart w:id="139" w:name="_Toc185236576"/>
      <w:bookmarkStart w:id="140" w:name="_Toc188798526"/>
      <w:r>
        <w:rPr>
          <w:rFonts w:ascii="Times New Roman" w:hAnsi="Times New Roman"/>
          <w:sz w:val="20"/>
          <w:szCs w:val="21"/>
        </w:rPr>
        <w:t xml:space="preserve">4.3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sz w:val="20"/>
          <w:szCs w:val="21"/>
        </w:rPr>
        <w:t>技术准备</w:t>
      </w:r>
      <w:bookmarkEnd w:id="137"/>
      <w:bookmarkEnd w:id="138"/>
      <w:bookmarkEnd w:id="139"/>
      <w:bookmarkEnd w:id="140"/>
    </w:p>
    <w:p w14:paraId="4ACB62DA">
      <w:pPr>
        <w:snapToGrid w:val="0"/>
        <w:spacing w:line="288" w:lineRule="auto"/>
        <w:outlineLvl w:val="2"/>
        <w:rPr>
          <w:sz w:val="20"/>
          <w:szCs w:val="20"/>
        </w:rPr>
      </w:pPr>
      <w:r>
        <w:rPr>
          <w:rFonts w:hint="eastAsia"/>
          <w:b/>
          <w:bCs/>
          <w:sz w:val="20"/>
          <w:szCs w:val="20"/>
        </w:rPr>
        <w:t>4.3.</w:t>
      </w:r>
      <w:r>
        <w:rPr>
          <w:b/>
          <w:bCs/>
          <w:sz w:val="20"/>
          <w:szCs w:val="20"/>
        </w:rPr>
        <w:t>1</w:t>
      </w:r>
      <w:r>
        <w:rPr>
          <w:rFonts w:hint="eastAsia"/>
          <w:b/>
          <w:bCs/>
          <w:sz w:val="20"/>
          <w:szCs w:val="20"/>
        </w:rPr>
        <w:t xml:space="preserve"> </w:t>
      </w:r>
      <w:r>
        <w:rPr>
          <w:b/>
          <w:bCs/>
          <w:sz w:val="20"/>
          <w:szCs w:val="20"/>
        </w:rPr>
        <w:t xml:space="preserve"> </w:t>
      </w:r>
      <w:r>
        <w:rPr>
          <w:rFonts w:hint="eastAsia"/>
          <w:sz w:val="20"/>
          <w:szCs w:val="20"/>
        </w:rPr>
        <w:t>应完成设计交底及图纸会审，</w:t>
      </w:r>
      <w:r>
        <w:rPr>
          <w:sz w:val="20"/>
          <w:szCs w:val="20"/>
        </w:rPr>
        <w:t>并</w:t>
      </w:r>
      <w:r>
        <w:rPr>
          <w:rFonts w:hint="eastAsia"/>
          <w:sz w:val="20"/>
          <w:szCs w:val="20"/>
        </w:rPr>
        <w:t>形成文件。</w:t>
      </w:r>
    </w:p>
    <w:p w14:paraId="69150462">
      <w:pPr>
        <w:snapToGrid w:val="0"/>
        <w:spacing w:line="288" w:lineRule="auto"/>
        <w:outlineLvl w:val="2"/>
        <w:rPr>
          <w:rFonts w:hAnsi="宋体"/>
          <w:bCs/>
          <w:sz w:val="20"/>
          <w:szCs w:val="20"/>
        </w:rPr>
      </w:pPr>
      <w:r>
        <w:rPr>
          <w:rFonts w:hint="eastAsia"/>
          <w:b/>
          <w:bCs/>
          <w:sz w:val="20"/>
          <w:szCs w:val="20"/>
        </w:rPr>
        <w:t xml:space="preserve">4.3.2  </w:t>
      </w:r>
      <w:r>
        <w:rPr>
          <w:rFonts w:hint="eastAsia"/>
          <w:sz w:val="20"/>
          <w:szCs w:val="20"/>
        </w:rPr>
        <w:t>应编制专项施工方案，按规定程序审批后执行；并应进行方案交底、安全技术交底与培训</w:t>
      </w:r>
      <w:r>
        <w:rPr>
          <w:rFonts w:hint="eastAsia" w:hAnsi="宋体"/>
          <w:bCs/>
          <w:sz w:val="20"/>
          <w:szCs w:val="20"/>
        </w:rPr>
        <w:t>。</w:t>
      </w:r>
    </w:p>
    <w:p w14:paraId="727611F8">
      <w:pPr>
        <w:snapToGrid w:val="0"/>
        <w:spacing w:line="288" w:lineRule="auto"/>
        <w:outlineLvl w:val="2"/>
        <w:rPr>
          <w:sz w:val="20"/>
          <w:szCs w:val="20"/>
        </w:rPr>
      </w:pPr>
      <w:r>
        <w:rPr>
          <w:b/>
          <w:bCs/>
          <w:sz w:val="20"/>
          <w:szCs w:val="20"/>
        </w:rPr>
        <w:t>4.3.</w:t>
      </w:r>
      <w:r>
        <w:rPr>
          <w:rFonts w:hint="eastAsia"/>
          <w:b/>
          <w:bCs/>
          <w:sz w:val="20"/>
          <w:szCs w:val="20"/>
        </w:rPr>
        <w:t xml:space="preserve">3  </w:t>
      </w:r>
      <w:r>
        <w:rPr>
          <w:rFonts w:hint="eastAsia"/>
          <w:sz w:val="20"/>
          <w:szCs w:val="20"/>
        </w:rPr>
        <w:t>应</w:t>
      </w:r>
      <w:r>
        <w:rPr>
          <w:sz w:val="20"/>
          <w:szCs w:val="20"/>
        </w:rPr>
        <w:t>建立施工测量控制网</w:t>
      </w:r>
      <w:r>
        <w:rPr>
          <w:rFonts w:hint="eastAsia"/>
          <w:sz w:val="20"/>
          <w:szCs w:val="20"/>
        </w:rPr>
        <w:t>，</w:t>
      </w:r>
      <w:r>
        <w:rPr>
          <w:sz w:val="20"/>
          <w:szCs w:val="20"/>
        </w:rPr>
        <w:t>完成</w:t>
      </w:r>
      <w:r>
        <w:rPr>
          <w:rFonts w:hint="eastAsia"/>
          <w:sz w:val="20"/>
          <w:szCs w:val="20"/>
        </w:rPr>
        <w:t>顶进</w:t>
      </w:r>
      <w:r>
        <w:rPr>
          <w:sz w:val="20"/>
          <w:szCs w:val="20"/>
        </w:rPr>
        <w:t>前的联系测量</w:t>
      </w:r>
      <w:r>
        <w:rPr>
          <w:rFonts w:hint="eastAsia"/>
          <w:sz w:val="20"/>
          <w:szCs w:val="20"/>
        </w:rPr>
        <w:t>，并</w:t>
      </w:r>
      <w:r>
        <w:rPr>
          <w:sz w:val="20"/>
          <w:szCs w:val="20"/>
        </w:rPr>
        <w:t>复核工作井</w:t>
      </w:r>
      <w:r>
        <w:rPr>
          <w:rFonts w:hint="eastAsia"/>
          <w:sz w:val="20"/>
          <w:szCs w:val="20"/>
        </w:rPr>
        <w:t>井位</w:t>
      </w:r>
      <w:r>
        <w:rPr>
          <w:sz w:val="20"/>
          <w:szCs w:val="20"/>
        </w:rPr>
        <w:t>及预留洞口</w:t>
      </w:r>
      <w:r>
        <w:rPr>
          <w:rFonts w:hint="eastAsia"/>
          <w:sz w:val="20"/>
          <w:szCs w:val="20"/>
        </w:rPr>
        <w:t>中心位置</w:t>
      </w:r>
      <w:r>
        <w:rPr>
          <w:sz w:val="20"/>
          <w:szCs w:val="20"/>
        </w:rPr>
        <w:t>。</w:t>
      </w:r>
    </w:p>
    <w:p w14:paraId="6A723F4C">
      <w:pPr>
        <w:snapToGrid w:val="0"/>
        <w:spacing w:line="288" w:lineRule="auto"/>
        <w:outlineLvl w:val="2"/>
        <w:rPr>
          <w:rFonts w:hAnsi="宋体"/>
          <w:sz w:val="20"/>
          <w:szCs w:val="20"/>
        </w:rPr>
      </w:pPr>
      <w:r>
        <w:rPr>
          <w:b/>
          <w:bCs/>
          <w:sz w:val="20"/>
          <w:szCs w:val="20"/>
        </w:rPr>
        <w:t>4.3.</w:t>
      </w:r>
      <w:r>
        <w:rPr>
          <w:rFonts w:hint="eastAsia"/>
          <w:b/>
          <w:bCs/>
          <w:sz w:val="20"/>
          <w:szCs w:val="20"/>
        </w:rPr>
        <w:t>4</w:t>
      </w:r>
      <w:r>
        <w:rPr>
          <w:sz w:val="20"/>
          <w:szCs w:val="20"/>
        </w:rPr>
        <w:t xml:space="preserve"> </w:t>
      </w:r>
      <w:r>
        <w:rPr>
          <w:rFonts w:hint="eastAsia"/>
          <w:sz w:val="20"/>
          <w:szCs w:val="20"/>
        </w:rPr>
        <w:t xml:space="preserve"> 应完成</w:t>
      </w:r>
      <w:r>
        <w:rPr>
          <w:rFonts w:hint="eastAsia" w:hAnsi="宋体"/>
          <w:sz w:val="20"/>
          <w:szCs w:val="20"/>
        </w:rPr>
        <w:t>监测点的布设、验收及初始数据采集。</w:t>
      </w:r>
    </w:p>
    <w:p w14:paraId="698E2C9B">
      <w:pPr>
        <w:snapToGrid w:val="0"/>
        <w:spacing w:line="288" w:lineRule="auto"/>
        <w:outlineLvl w:val="2"/>
        <w:rPr>
          <w:rFonts w:hAnsi="宋体"/>
          <w:sz w:val="20"/>
          <w:szCs w:val="20"/>
        </w:rPr>
      </w:pPr>
      <w:r>
        <w:rPr>
          <w:b/>
          <w:bCs/>
          <w:sz w:val="20"/>
          <w:szCs w:val="20"/>
        </w:rPr>
        <w:t>4.3.5</w:t>
      </w:r>
      <w:r>
        <w:rPr>
          <w:rFonts w:hAnsi="Cambria Math"/>
          <w:b/>
          <w:sz w:val="20"/>
          <w:szCs w:val="20"/>
        </w:rPr>
        <w:t xml:space="preserve">  </w:t>
      </w:r>
      <w:r>
        <w:rPr>
          <w:rFonts w:hint="eastAsia"/>
          <w:sz w:val="20"/>
          <w:szCs w:val="20"/>
        </w:rPr>
        <w:t>根据工程设计和水文地质等条件，对邻近建（构）筑物、管线等</w:t>
      </w:r>
      <w:r>
        <w:rPr>
          <w:sz w:val="20"/>
          <w:szCs w:val="20"/>
        </w:rPr>
        <w:t>风险源</w:t>
      </w:r>
      <w:r>
        <w:rPr>
          <w:rFonts w:hint="eastAsia"/>
          <w:sz w:val="20"/>
          <w:szCs w:val="20"/>
        </w:rPr>
        <w:t>采取保护措施。</w:t>
      </w:r>
    </w:p>
    <w:p w14:paraId="28792218">
      <w:pPr>
        <w:pStyle w:val="3"/>
        <w:snapToGrid w:val="0"/>
        <w:spacing w:before="312" w:beforeLines="100" w:after="0" w:line="288" w:lineRule="auto"/>
        <w:jc w:val="center"/>
        <w:rPr>
          <w:rFonts w:ascii="Times New Roman" w:hAnsi="Times New Roman"/>
          <w:sz w:val="20"/>
          <w:szCs w:val="21"/>
        </w:rPr>
      </w:pPr>
      <w:bookmarkStart w:id="141" w:name="_Toc76479697"/>
      <w:bookmarkStart w:id="142" w:name="_Toc6951"/>
      <w:bookmarkStart w:id="143" w:name="_Toc21419654"/>
      <w:bookmarkStart w:id="144" w:name="_Toc11416555"/>
      <w:bookmarkStart w:id="145" w:name="_Toc78789691"/>
      <w:bookmarkStart w:id="146" w:name="_Toc79404384"/>
      <w:bookmarkStart w:id="147" w:name="_Toc20402"/>
      <w:bookmarkStart w:id="148" w:name="_Toc89097027"/>
      <w:bookmarkStart w:id="149" w:name="_Toc92028672"/>
      <w:bookmarkStart w:id="150" w:name="_Toc91757342"/>
      <w:bookmarkStart w:id="151" w:name="_Toc89420478"/>
      <w:bookmarkStart w:id="152" w:name="_Toc89096267"/>
      <w:bookmarkStart w:id="153" w:name="_Toc188612055"/>
      <w:bookmarkStart w:id="154" w:name="_Toc188798527"/>
      <w:bookmarkStart w:id="155" w:name="_Toc185236577"/>
      <w:bookmarkStart w:id="156" w:name="_Toc164082909"/>
      <w:bookmarkStart w:id="157" w:name="_Toc89260052"/>
      <w:bookmarkStart w:id="158" w:name="_Toc185235626"/>
      <w:r>
        <w:rPr>
          <w:rFonts w:hint="eastAsia" w:ascii="Times New Roman" w:hAnsi="Times New Roman"/>
          <w:sz w:val="20"/>
          <w:szCs w:val="21"/>
        </w:rPr>
        <w:t>4.</w:t>
      </w:r>
      <w:r>
        <w:rPr>
          <w:rFonts w:ascii="Times New Roman" w:hAnsi="Times New Roman"/>
          <w:sz w:val="20"/>
          <w:szCs w:val="21"/>
        </w:rPr>
        <w:t>4</w:t>
      </w:r>
      <w:r>
        <w:rPr>
          <w:rFonts w:hint="eastAsia" w:ascii="Times New Roman" w:hAnsi="Times New Roman"/>
          <w:sz w:val="20"/>
          <w:szCs w:val="21"/>
        </w:rPr>
        <w:t xml:space="preserve"> </w:t>
      </w:r>
      <w:bookmarkEnd w:id="141"/>
      <w:bookmarkEnd w:id="142"/>
      <w:bookmarkEnd w:id="143"/>
      <w:bookmarkEnd w:id="144"/>
      <w:bookmarkEnd w:id="145"/>
      <w:bookmarkEnd w:id="146"/>
      <w:bookmarkEnd w:id="147"/>
      <w:r>
        <w:rPr>
          <w:rFonts w:hint="eastAsia" w:ascii="Times New Roman" w:hAnsi="Times New Roman"/>
          <w:sz w:val="20"/>
          <w:szCs w:val="21"/>
        </w:rPr>
        <w:t>顶管机选型与配置</w:t>
      </w:r>
      <w:bookmarkEnd w:id="148"/>
      <w:bookmarkEnd w:id="149"/>
      <w:bookmarkEnd w:id="150"/>
      <w:bookmarkEnd w:id="151"/>
      <w:bookmarkEnd w:id="152"/>
      <w:bookmarkEnd w:id="153"/>
      <w:bookmarkEnd w:id="154"/>
      <w:bookmarkEnd w:id="155"/>
      <w:bookmarkEnd w:id="156"/>
      <w:bookmarkEnd w:id="157"/>
      <w:bookmarkEnd w:id="158"/>
    </w:p>
    <w:p w14:paraId="61B576C9">
      <w:pPr>
        <w:snapToGrid w:val="0"/>
        <w:spacing w:line="288" w:lineRule="auto"/>
        <w:outlineLvl w:val="2"/>
        <w:rPr>
          <w:rFonts w:hAnsi="宋体"/>
          <w:sz w:val="20"/>
          <w:szCs w:val="20"/>
        </w:rPr>
      </w:pPr>
      <w:r>
        <w:rPr>
          <w:b/>
          <w:bCs/>
          <w:sz w:val="20"/>
          <w:szCs w:val="20"/>
        </w:rPr>
        <w:t xml:space="preserve">4.4.1  </w:t>
      </w:r>
      <w:r>
        <w:rPr>
          <w:rFonts w:hint="eastAsia"/>
          <w:sz w:val="20"/>
          <w:szCs w:val="20"/>
        </w:rPr>
        <w:t>矩形顶管机选型应遵循适用、可靠、先进、经济原则，选型依据应包括下列内容</w:t>
      </w:r>
      <w:r>
        <w:rPr>
          <w:rFonts w:hint="eastAsia" w:hAnsi="宋体"/>
          <w:sz w:val="20"/>
          <w:szCs w:val="20"/>
        </w:rPr>
        <w:t>：</w:t>
      </w:r>
    </w:p>
    <w:p w14:paraId="30CE96B9">
      <w:pPr>
        <w:snapToGrid w:val="0"/>
        <w:spacing w:line="288" w:lineRule="auto"/>
        <w:ind w:firstLine="350" w:firstLineChars="175"/>
        <w:rPr>
          <w:rFonts w:hAnsi="宋体"/>
          <w:sz w:val="20"/>
          <w:szCs w:val="20"/>
        </w:rPr>
      </w:pPr>
      <w:r>
        <w:rPr>
          <w:rFonts w:hAnsi="宋体"/>
          <w:b/>
          <w:bCs/>
          <w:sz w:val="20"/>
          <w:szCs w:val="20"/>
        </w:rPr>
        <w:t>1</w:t>
      </w:r>
      <w:r>
        <w:rPr>
          <w:rFonts w:hint="eastAsia" w:hAnsi="宋体"/>
          <w:b/>
          <w:bCs/>
          <w:sz w:val="20"/>
          <w:szCs w:val="20"/>
        </w:rPr>
        <w:t xml:space="preserve"> </w:t>
      </w:r>
      <w:r>
        <w:rPr>
          <w:rFonts w:hint="eastAsia"/>
          <w:sz w:val="20"/>
          <w:szCs w:val="20"/>
        </w:rPr>
        <w:t>设计文件</w:t>
      </w:r>
      <w:r>
        <w:rPr>
          <w:rFonts w:hint="eastAsia" w:hAnsi="宋体"/>
          <w:sz w:val="20"/>
          <w:szCs w:val="20"/>
        </w:rPr>
        <w:t>；</w:t>
      </w:r>
      <w:r>
        <w:rPr>
          <w:rFonts w:hint="eastAsia" w:hAnsi="宋体"/>
          <w:bCs/>
          <w:sz w:val="20"/>
          <w:szCs w:val="20"/>
        </w:rPr>
        <w:t xml:space="preserve"> </w:t>
      </w:r>
    </w:p>
    <w:p w14:paraId="5A712CCA">
      <w:pPr>
        <w:snapToGrid w:val="0"/>
        <w:spacing w:line="288" w:lineRule="auto"/>
        <w:ind w:firstLine="350" w:firstLineChars="175"/>
        <w:rPr>
          <w:rFonts w:hAnsi="宋体"/>
          <w:sz w:val="20"/>
          <w:szCs w:val="20"/>
        </w:rPr>
      </w:pPr>
      <w:r>
        <w:rPr>
          <w:rFonts w:hAnsi="宋体"/>
          <w:b/>
          <w:bCs/>
          <w:sz w:val="20"/>
          <w:szCs w:val="20"/>
        </w:rPr>
        <w:t xml:space="preserve">2 </w:t>
      </w:r>
      <w:r>
        <w:rPr>
          <w:rFonts w:hint="eastAsia" w:hAnsi="宋体"/>
          <w:bCs/>
          <w:sz w:val="20"/>
          <w:szCs w:val="20"/>
        </w:rPr>
        <w:t>工程地质</w:t>
      </w:r>
      <w:r>
        <w:rPr>
          <w:rFonts w:hint="eastAsia"/>
          <w:sz w:val="20"/>
          <w:szCs w:val="20"/>
        </w:rPr>
        <w:t>和水文地质勘察报告</w:t>
      </w:r>
      <w:r>
        <w:rPr>
          <w:rFonts w:hint="eastAsia" w:hAnsi="宋体"/>
          <w:sz w:val="20"/>
          <w:szCs w:val="20"/>
        </w:rPr>
        <w:t>；</w:t>
      </w:r>
    </w:p>
    <w:p w14:paraId="251F21E2">
      <w:pPr>
        <w:snapToGrid w:val="0"/>
        <w:spacing w:line="288" w:lineRule="auto"/>
        <w:ind w:firstLine="350" w:firstLineChars="175"/>
        <w:rPr>
          <w:rFonts w:hAnsi="宋体"/>
          <w:sz w:val="20"/>
          <w:szCs w:val="20"/>
        </w:rPr>
      </w:pPr>
      <w:r>
        <w:rPr>
          <w:rFonts w:hAnsi="宋体"/>
          <w:b/>
          <w:bCs/>
          <w:sz w:val="20"/>
          <w:szCs w:val="20"/>
        </w:rPr>
        <w:t xml:space="preserve">3 </w:t>
      </w:r>
      <w:r>
        <w:rPr>
          <w:rFonts w:hint="eastAsia"/>
          <w:sz w:val="20"/>
          <w:szCs w:val="20"/>
        </w:rPr>
        <w:t>周边</w:t>
      </w:r>
      <w:r>
        <w:rPr>
          <w:sz w:val="20"/>
          <w:szCs w:val="20"/>
        </w:rPr>
        <w:t>环境</w:t>
      </w:r>
      <w:r>
        <w:rPr>
          <w:rFonts w:hint="eastAsia"/>
          <w:sz w:val="20"/>
          <w:szCs w:val="20"/>
        </w:rPr>
        <w:t>条件</w:t>
      </w:r>
      <w:r>
        <w:rPr>
          <w:sz w:val="20"/>
          <w:szCs w:val="20"/>
        </w:rPr>
        <w:t>及其保护要求</w:t>
      </w:r>
      <w:r>
        <w:rPr>
          <w:rFonts w:hint="eastAsia"/>
          <w:sz w:val="20"/>
          <w:szCs w:val="20"/>
        </w:rPr>
        <w:t>；</w:t>
      </w:r>
    </w:p>
    <w:p w14:paraId="643A7237">
      <w:pPr>
        <w:snapToGrid w:val="0"/>
        <w:spacing w:line="288" w:lineRule="auto"/>
        <w:ind w:firstLine="350" w:firstLineChars="175"/>
        <w:rPr>
          <w:rFonts w:hAnsi="宋体"/>
          <w:sz w:val="20"/>
          <w:szCs w:val="20"/>
        </w:rPr>
      </w:pPr>
      <w:r>
        <w:rPr>
          <w:rFonts w:hAnsi="宋体"/>
          <w:b/>
          <w:bCs/>
          <w:sz w:val="20"/>
          <w:szCs w:val="20"/>
        </w:rPr>
        <w:t>4</w:t>
      </w:r>
      <w:r>
        <w:rPr>
          <w:rFonts w:hint="eastAsia" w:hAnsi="宋体"/>
          <w:b/>
          <w:bCs/>
          <w:sz w:val="20"/>
          <w:szCs w:val="20"/>
        </w:rPr>
        <w:t xml:space="preserve"> </w:t>
      </w:r>
      <w:r>
        <w:rPr>
          <w:rFonts w:hint="eastAsia"/>
          <w:sz w:val="20"/>
          <w:szCs w:val="20"/>
        </w:rPr>
        <w:t>辅助</w:t>
      </w:r>
      <w:r>
        <w:rPr>
          <w:rFonts w:hint="eastAsia" w:hAnsi="宋体"/>
          <w:bCs/>
          <w:sz w:val="20"/>
          <w:szCs w:val="20"/>
        </w:rPr>
        <w:t>施工</w:t>
      </w:r>
      <w:r>
        <w:rPr>
          <w:rFonts w:hint="eastAsia"/>
          <w:sz w:val="20"/>
          <w:szCs w:val="20"/>
        </w:rPr>
        <w:t>方法</w:t>
      </w:r>
      <w:r>
        <w:rPr>
          <w:rFonts w:hint="eastAsia" w:hAnsi="宋体"/>
          <w:sz w:val="20"/>
          <w:szCs w:val="20"/>
        </w:rPr>
        <w:t>；</w:t>
      </w:r>
    </w:p>
    <w:p w14:paraId="1B7D7CAB">
      <w:pPr>
        <w:snapToGrid w:val="0"/>
        <w:spacing w:line="288" w:lineRule="auto"/>
        <w:ind w:firstLine="350" w:firstLineChars="175"/>
        <w:rPr>
          <w:sz w:val="20"/>
          <w:szCs w:val="20"/>
        </w:rPr>
      </w:pPr>
      <w:r>
        <w:rPr>
          <w:rFonts w:hAnsi="宋体"/>
          <w:b/>
          <w:bCs/>
          <w:sz w:val="20"/>
          <w:szCs w:val="20"/>
        </w:rPr>
        <w:t xml:space="preserve">5 </w:t>
      </w:r>
      <w:r>
        <w:rPr>
          <w:rFonts w:hint="eastAsia"/>
          <w:sz w:val="20"/>
          <w:szCs w:val="20"/>
        </w:rPr>
        <w:t>类似工程施工经验。</w:t>
      </w:r>
    </w:p>
    <w:p w14:paraId="027A5CE9">
      <w:pPr>
        <w:snapToGrid w:val="0"/>
        <w:spacing w:line="288" w:lineRule="auto"/>
        <w:outlineLvl w:val="2"/>
        <w:rPr>
          <w:sz w:val="20"/>
          <w:szCs w:val="20"/>
        </w:rPr>
      </w:pPr>
      <w:r>
        <w:rPr>
          <w:b/>
          <w:bCs/>
          <w:sz w:val="20"/>
          <w:szCs w:val="20"/>
        </w:rPr>
        <w:t xml:space="preserve">4.4.2  </w:t>
      </w:r>
      <w:r>
        <w:rPr>
          <w:rFonts w:hint="eastAsia"/>
          <w:sz w:val="20"/>
          <w:szCs w:val="20"/>
        </w:rPr>
        <w:t>矩形顶管机选型应与结构断面尺寸、工作井大小、管节长度等相匹配。</w:t>
      </w:r>
    </w:p>
    <w:p w14:paraId="0DFA3857">
      <w:pPr>
        <w:snapToGrid w:val="0"/>
        <w:spacing w:line="288" w:lineRule="auto"/>
        <w:outlineLvl w:val="2"/>
        <w:rPr>
          <w:sz w:val="20"/>
          <w:szCs w:val="20"/>
        </w:rPr>
      </w:pPr>
      <w:r>
        <w:rPr>
          <w:b/>
          <w:bCs/>
          <w:sz w:val="20"/>
          <w:szCs w:val="20"/>
        </w:rPr>
        <w:t xml:space="preserve">4.4.3  </w:t>
      </w:r>
      <w:r>
        <w:rPr>
          <w:rFonts w:hint="eastAsia"/>
          <w:sz w:val="20"/>
          <w:szCs w:val="20"/>
        </w:rPr>
        <w:t xml:space="preserve">矩形顶管机选型应依据地层岩土类型、物理力学参数、地下水压情况，以及开挖尺寸、开挖面稳定性、埋深、地下水处置方案等因素。 </w:t>
      </w:r>
    </w:p>
    <w:p w14:paraId="61DC88CA">
      <w:pPr>
        <w:snapToGrid w:val="0"/>
        <w:spacing w:line="288" w:lineRule="auto"/>
        <w:outlineLvl w:val="2"/>
        <w:rPr>
          <w:rFonts w:hAnsi="宋体"/>
          <w:sz w:val="20"/>
          <w:szCs w:val="20"/>
        </w:rPr>
      </w:pPr>
      <w:r>
        <w:rPr>
          <w:rFonts w:hint="eastAsia" w:hAnsi="宋体"/>
          <w:b/>
          <w:sz w:val="20"/>
          <w:szCs w:val="20"/>
        </w:rPr>
        <w:t>4.</w:t>
      </w:r>
      <w:r>
        <w:rPr>
          <w:rFonts w:hAnsi="宋体"/>
          <w:b/>
          <w:sz w:val="20"/>
          <w:szCs w:val="20"/>
        </w:rPr>
        <w:t>4</w:t>
      </w:r>
      <w:r>
        <w:rPr>
          <w:rFonts w:hint="eastAsia" w:hAnsi="宋体"/>
          <w:b/>
          <w:sz w:val="20"/>
          <w:szCs w:val="20"/>
        </w:rPr>
        <w:t>.4</w:t>
      </w:r>
      <w:r>
        <w:rPr>
          <w:rFonts w:hAnsi="宋体"/>
          <w:b/>
          <w:sz w:val="20"/>
          <w:szCs w:val="20"/>
        </w:rPr>
        <w:t xml:space="preserve">  </w:t>
      </w:r>
      <w:r>
        <w:rPr>
          <w:rFonts w:hint="eastAsia"/>
          <w:sz w:val="20"/>
          <w:szCs w:val="20"/>
        </w:rPr>
        <w:t>土压平衡式矩形顶管机配置应包括刀盘、主驱动、螺旋输送机、纠偏系统、液压系统、渣土改良系统、减阻泥浆注入系统等</w:t>
      </w:r>
      <w:r>
        <w:rPr>
          <w:rFonts w:hint="eastAsia" w:hAnsi="宋体"/>
          <w:sz w:val="20"/>
          <w:szCs w:val="20"/>
        </w:rPr>
        <w:t>。</w:t>
      </w:r>
    </w:p>
    <w:p w14:paraId="54536784">
      <w:pPr>
        <w:snapToGrid w:val="0"/>
        <w:spacing w:line="288" w:lineRule="auto"/>
        <w:outlineLvl w:val="2"/>
        <w:rPr>
          <w:sz w:val="20"/>
          <w:szCs w:val="20"/>
        </w:rPr>
      </w:pPr>
      <w:r>
        <w:rPr>
          <w:b/>
          <w:bCs/>
          <w:sz w:val="20"/>
          <w:szCs w:val="20"/>
        </w:rPr>
        <w:t>4.4.5</w:t>
      </w:r>
      <w:r>
        <w:rPr>
          <w:rFonts w:hint="eastAsia"/>
          <w:sz w:val="20"/>
          <w:szCs w:val="20"/>
        </w:rPr>
        <w:t xml:space="preserve">  矩形顶管机壳体结构应能保证在其所承受的设计荷载作用下，各结构件均应处于安全可靠状态。</w:t>
      </w:r>
    </w:p>
    <w:p w14:paraId="69A0F240">
      <w:pPr>
        <w:snapToGrid w:val="0"/>
        <w:spacing w:line="288" w:lineRule="auto"/>
        <w:outlineLvl w:val="2"/>
        <w:rPr>
          <w:rFonts w:hAnsi="宋体"/>
          <w:sz w:val="20"/>
          <w:szCs w:val="20"/>
        </w:rPr>
      </w:pPr>
      <w:r>
        <w:rPr>
          <w:rFonts w:hAnsi="宋体"/>
          <w:b/>
          <w:sz w:val="20"/>
          <w:szCs w:val="20"/>
        </w:rPr>
        <w:t>4.4.</w:t>
      </w:r>
      <w:r>
        <w:rPr>
          <w:rFonts w:hint="eastAsia" w:hAnsi="宋体"/>
          <w:b/>
          <w:sz w:val="20"/>
          <w:szCs w:val="20"/>
        </w:rPr>
        <w:t>6</w:t>
      </w:r>
      <w:r>
        <w:rPr>
          <w:rFonts w:hAnsi="宋体"/>
          <w:b/>
          <w:sz w:val="20"/>
          <w:szCs w:val="20"/>
        </w:rPr>
        <w:t xml:space="preserve">  </w:t>
      </w:r>
      <w:r>
        <w:rPr>
          <w:rFonts w:hint="eastAsia"/>
          <w:sz w:val="20"/>
          <w:szCs w:val="20"/>
        </w:rPr>
        <w:t>刀盘应符合下列规定</w:t>
      </w:r>
      <w:r>
        <w:rPr>
          <w:rFonts w:hint="eastAsia" w:hAnsi="宋体"/>
          <w:sz w:val="20"/>
          <w:szCs w:val="20"/>
        </w:rPr>
        <w:t xml:space="preserve">： </w:t>
      </w:r>
    </w:p>
    <w:p w14:paraId="3F48E242">
      <w:pPr>
        <w:snapToGrid w:val="0"/>
        <w:spacing w:line="288" w:lineRule="auto"/>
        <w:ind w:firstLine="350" w:firstLineChars="175"/>
        <w:rPr>
          <w:rFonts w:hAnsi="宋体"/>
          <w:sz w:val="20"/>
          <w:szCs w:val="20"/>
        </w:rPr>
      </w:pPr>
      <w:r>
        <w:rPr>
          <w:rFonts w:hint="eastAsia" w:hAnsi="宋体"/>
          <w:b/>
          <w:bCs/>
          <w:sz w:val="20"/>
          <w:szCs w:val="20"/>
        </w:rPr>
        <w:t>1</w:t>
      </w:r>
      <w:r>
        <w:rPr>
          <w:rFonts w:hAnsi="宋体"/>
          <w:b/>
          <w:bCs/>
          <w:sz w:val="20"/>
          <w:szCs w:val="20"/>
        </w:rPr>
        <w:t xml:space="preserve"> </w:t>
      </w:r>
      <w:r>
        <w:rPr>
          <w:rFonts w:hint="eastAsia" w:hAnsi="宋体"/>
          <w:sz w:val="20"/>
          <w:szCs w:val="20"/>
        </w:rPr>
        <w:t>刀盘的形式、尺寸、数量、切削率、切削盲区应满足开挖断面及工程条件要求；</w:t>
      </w:r>
    </w:p>
    <w:p w14:paraId="0AFF7836">
      <w:pPr>
        <w:snapToGrid w:val="0"/>
        <w:spacing w:line="288" w:lineRule="auto"/>
        <w:ind w:firstLine="350" w:firstLineChars="175"/>
        <w:rPr>
          <w:rFonts w:hAnsi="宋体"/>
          <w:sz w:val="20"/>
          <w:szCs w:val="20"/>
        </w:rPr>
      </w:pPr>
      <w:r>
        <w:rPr>
          <w:rFonts w:hint="eastAsia" w:hAnsi="宋体"/>
          <w:b/>
          <w:bCs/>
          <w:sz w:val="20"/>
          <w:szCs w:val="20"/>
        </w:rPr>
        <w:t xml:space="preserve">2 </w:t>
      </w:r>
      <w:r>
        <w:rPr>
          <w:rFonts w:hint="eastAsia"/>
          <w:sz w:val="20"/>
          <w:szCs w:val="20"/>
        </w:rPr>
        <w:t>刀具的选型和配置</w:t>
      </w:r>
      <w:r>
        <w:rPr>
          <w:rFonts w:hint="eastAsia" w:hAnsi="宋体"/>
          <w:sz w:val="20"/>
          <w:szCs w:val="20"/>
        </w:rPr>
        <w:t>应根据地质条件、切削速度、顶进长度及地下障碍物情况等确定；</w:t>
      </w:r>
    </w:p>
    <w:p w14:paraId="6096EA7C">
      <w:pPr>
        <w:snapToGrid w:val="0"/>
        <w:spacing w:line="288" w:lineRule="auto"/>
        <w:ind w:firstLine="350" w:firstLineChars="175"/>
        <w:rPr>
          <w:rFonts w:hAnsi="宋体"/>
          <w:sz w:val="20"/>
          <w:szCs w:val="20"/>
        </w:rPr>
      </w:pPr>
      <w:r>
        <w:rPr>
          <w:rFonts w:hint="eastAsia" w:hAnsi="宋体"/>
          <w:b/>
          <w:bCs/>
          <w:sz w:val="20"/>
          <w:szCs w:val="20"/>
        </w:rPr>
        <w:t xml:space="preserve">3 </w:t>
      </w:r>
      <w:r>
        <w:rPr>
          <w:rFonts w:hint="eastAsia" w:hAnsi="宋体"/>
          <w:sz w:val="20"/>
          <w:szCs w:val="20"/>
        </w:rPr>
        <w:t>刀盘的渣土改良剂注入口的数量及位置应根据地质条件、刀盘结构、刀盘开挖断面等确定。</w:t>
      </w:r>
    </w:p>
    <w:p w14:paraId="46C77B20">
      <w:pPr>
        <w:snapToGrid w:val="0"/>
        <w:spacing w:line="288" w:lineRule="auto"/>
        <w:outlineLvl w:val="2"/>
        <w:rPr>
          <w:rFonts w:hAnsi="宋体"/>
          <w:sz w:val="20"/>
          <w:szCs w:val="20"/>
        </w:rPr>
      </w:pPr>
      <w:r>
        <w:rPr>
          <w:rFonts w:hAnsi="宋体"/>
          <w:b/>
          <w:sz w:val="20"/>
          <w:szCs w:val="20"/>
        </w:rPr>
        <w:t>4.4.</w:t>
      </w:r>
      <w:r>
        <w:rPr>
          <w:rFonts w:hint="eastAsia" w:hAnsi="宋体"/>
          <w:b/>
          <w:sz w:val="20"/>
          <w:szCs w:val="20"/>
        </w:rPr>
        <w:t>7</w:t>
      </w:r>
      <w:r>
        <w:rPr>
          <w:rFonts w:hAnsi="宋体"/>
          <w:b/>
          <w:sz w:val="20"/>
          <w:szCs w:val="20"/>
        </w:rPr>
        <w:t xml:space="preserve">  </w:t>
      </w:r>
      <w:r>
        <w:rPr>
          <w:rFonts w:hint="eastAsia"/>
          <w:sz w:val="20"/>
          <w:szCs w:val="20"/>
        </w:rPr>
        <w:t>刀盘主驱动系统应符合下列规定</w:t>
      </w:r>
      <w:r>
        <w:rPr>
          <w:rFonts w:hint="eastAsia" w:hAnsi="宋体"/>
          <w:sz w:val="20"/>
          <w:szCs w:val="20"/>
        </w:rPr>
        <w:t>：</w:t>
      </w:r>
    </w:p>
    <w:p w14:paraId="4A9A8A89">
      <w:pPr>
        <w:snapToGrid w:val="0"/>
        <w:spacing w:line="288" w:lineRule="auto"/>
        <w:ind w:firstLine="350" w:firstLineChars="175"/>
        <w:rPr>
          <w:rFonts w:hAnsi="宋体"/>
          <w:sz w:val="20"/>
          <w:szCs w:val="20"/>
        </w:rPr>
      </w:pPr>
      <w:r>
        <w:rPr>
          <w:rFonts w:hAnsi="宋体"/>
          <w:b/>
          <w:bCs/>
          <w:sz w:val="20"/>
          <w:szCs w:val="20"/>
        </w:rPr>
        <w:t xml:space="preserve">1 </w:t>
      </w:r>
      <w:r>
        <w:rPr>
          <w:rFonts w:hint="eastAsia"/>
          <w:sz w:val="20"/>
          <w:szCs w:val="20"/>
        </w:rPr>
        <w:t>最大设计扭矩应满足地质条件和脱困要求</w:t>
      </w:r>
      <w:r>
        <w:rPr>
          <w:rFonts w:hint="eastAsia" w:hAnsi="宋体"/>
          <w:sz w:val="20"/>
          <w:szCs w:val="20"/>
        </w:rPr>
        <w:t>；</w:t>
      </w:r>
    </w:p>
    <w:p w14:paraId="133D4BA7">
      <w:pPr>
        <w:snapToGrid w:val="0"/>
        <w:spacing w:line="288" w:lineRule="auto"/>
        <w:ind w:firstLine="350" w:firstLineChars="175"/>
        <w:rPr>
          <w:rFonts w:hAnsi="宋体"/>
          <w:sz w:val="20"/>
          <w:szCs w:val="20"/>
        </w:rPr>
      </w:pPr>
      <w:r>
        <w:rPr>
          <w:rFonts w:hAnsi="宋体"/>
          <w:b/>
          <w:bCs/>
          <w:sz w:val="20"/>
          <w:szCs w:val="20"/>
        </w:rPr>
        <w:t>2</w:t>
      </w:r>
      <w:r>
        <w:rPr>
          <w:rFonts w:hint="eastAsia" w:hAnsi="宋体"/>
          <w:b/>
          <w:bCs/>
          <w:sz w:val="20"/>
          <w:szCs w:val="20"/>
        </w:rPr>
        <w:t xml:space="preserve"> </w:t>
      </w:r>
      <w:r>
        <w:rPr>
          <w:rFonts w:hint="eastAsia"/>
          <w:sz w:val="20"/>
          <w:szCs w:val="20"/>
        </w:rPr>
        <w:t>刀盘</w:t>
      </w:r>
      <w:r>
        <w:rPr>
          <w:rFonts w:hint="eastAsia" w:hAnsi="宋体"/>
          <w:bCs/>
          <w:sz w:val="20"/>
          <w:szCs w:val="20"/>
        </w:rPr>
        <w:t>转速</w:t>
      </w:r>
      <w:r>
        <w:rPr>
          <w:rFonts w:hint="eastAsia"/>
          <w:sz w:val="20"/>
          <w:szCs w:val="20"/>
        </w:rPr>
        <w:t>应根据地质条件和施工要求确定，采用多刀盘时，各刀盘转速应独立可调</w:t>
      </w:r>
      <w:r>
        <w:rPr>
          <w:rFonts w:hint="eastAsia" w:hAnsi="宋体"/>
          <w:sz w:val="20"/>
          <w:szCs w:val="20"/>
        </w:rPr>
        <w:t>；</w:t>
      </w:r>
    </w:p>
    <w:p w14:paraId="051B2C25">
      <w:pPr>
        <w:snapToGrid w:val="0"/>
        <w:spacing w:line="288" w:lineRule="auto"/>
        <w:outlineLvl w:val="2"/>
        <w:rPr>
          <w:sz w:val="20"/>
          <w:szCs w:val="20"/>
        </w:rPr>
      </w:pPr>
      <w:r>
        <w:rPr>
          <w:rFonts w:hAnsi="宋体"/>
          <w:b/>
          <w:sz w:val="20"/>
          <w:szCs w:val="20"/>
        </w:rPr>
        <w:t>4.</w:t>
      </w:r>
      <w:r>
        <w:rPr>
          <w:rFonts w:hint="eastAsia" w:hAnsi="宋体"/>
          <w:b/>
          <w:sz w:val="20"/>
          <w:szCs w:val="20"/>
        </w:rPr>
        <w:t>4</w:t>
      </w:r>
      <w:r>
        <w:rPr>
          <w:rFonts w:hAnsi="宋体"/>
          <w:b/>
          <w:sz w:val="20"/>
          <w:szCs w:val="20"/>
        </w:rPr>
        <w:t xml:space="preserve">.8  </w:t>
      </w:r>
      <w:r>
        <w:rPr>
          <w:rFonts w:hint="eastAsia"/>
          <w:sz w:val="20"/>
          <w:szCs w:val="20"/>
        </w:rPr>
        <w:t>螺旋输送机的结构和尺寸应根据工程地质和水文地质条件、顶管机尺寸和顶进速度等确定。闸门应具有紧急关闭功能。</w:t>
      </w:r>
    </w:p>
    <w:p w14:paraId="1D1F033B">
      <w:pPr>
        <w:snapToGrid w:val="0"/>
        <w:spacing w:line="288" w:lineRule="auto"/>
        <w:outlineLvl w:val="2"/>
        <w:rPr>
          <w:sz w:val="20"/>
          <w:szCs w:val="20"/>
        </w:rPr>
      </w:pPr>
      <w:r>
        <w:rPr>
          <w:rFonts w:hAnsi="宋体"/>
          <w:b/>
          <w:sz w:val="20"/>
          <w:szCs w:val="20"/>
        </w:rPr>
        <w:t xml:space="preserve">4.4.9  </w:t>
      </w:r>
      <w:r>
        <w:rPr>
          <w:rFonts w:hint="eastAsia"/>
          <w:sz w:val="20"/>
          <w:szCs w:val="20"/>
        </w:rPr>
        <w:t>纠偏装置的最大推力应大于前后壳体姿态变化引起的阻力，每组纠偏油缸应具备行程监测功能。纠偏密封系统应满足使用要求。</w:t>
      </w:r>
    </w:p>
    <w:p w14:paraId="321BE085">
      <w:pPr>
        <w:snapToGrid w:val="0"/>
        <w:spacing w:line="288" w:lineRule="auto"/>
        <w:outlineLvl w:val="2"/>
        <w:rPr>
          <w:sz w:val="20"/>
          <w:szCs w:val="20"/>
        </w:rPr>
      </w:pPr>
      <w:r>
        <w:rPr>
          <w:rFonts w:hAnsi="宋体"/>
          <w:b/>
          <w:sz w:val="20"/>
          <w:szCs w:val="20"/>
        </w:rPr>
        <w:t>4.4.</w:t>
      </w:r>
      <w:r>
        <w:rPr>
          <w:rFonts w:hint="eastAsia" w:hAnsi="宋体"/>
          <w:b/>
          <w:sz w:val="20"/>
          <w:szCs w:val="20"/>
        </w:rPr>
        <w:t>10</w:t>
      </w:r>
      <w:r>
        <w:rPr>
          <w:rFonts w:hAnsi="宋体"/>
          <w:b/>
          <w:sz w:val="20"/>
          <w:szCs w:val="20"/>
        </w:rPr>
        <w:t xml:space="preserve">  </w:t>
      </w:r>
      <w:r>
        <w:rPr>
          <w:rFonts w:hint="eastAsia"/>
          <w:sz w:val="20"/>
          <w:szCs w:val="20"/>
        </w:rPr>
        <w:t>渣土改良系统应与地质条件相适应。</w:t>
      </w:r>
    </w:p>
    <w:p w14:paraId="15782BB5">
      <w:pPr>
        <w:snapToGrid w:val="0"/>
        <w:spacing w:line="288" w:lineRule="auto"/>
        <w:outlineLvl w:val="2"/>
        <w:rPr>
          <w:sz w:val="20"/>
          <w:szCs w:val="20"/>
        </w:rPr>
      </w:pPr>
      <w:r>
        <w:rPr>
          <w:rFonts w:hint="eastAsia" w:hAnsi="宋体"/>
          <w:b/>
          <w:sz w:val="20"/>
          <w:szCs w:val="20"/>
        </w:rPr>
        <w:t>4.</w:t>
      </w:r>
      <w:r>
        <w:rPr>
          <w:rFonts w:hAnsi="宋体"/>
          <w:b/>
          <w:sz w:val="20"/>
          <w:szCs w:val="20"/>
        </w:rPr>
        <w:t>4</w:t>
      </w:r>
      <w:r>
        <w:rPr>
          <w:rFonts w:hint="eastAsia" w:hAnsi="宋体"/>
          <w:b/>
          <w:sz w:val="20"/>
          <w:szCs w:val="20"/>
        </w:rPr>
        <w:t>.11</w:t>
      </w:r>
      <w:r>
        <w:rPr>
          <w:rFonts w:hint="eastAsia"/>
          <w:sz w:val="20"/>
          <w:szCs w:val="20"/>
        </w:rPr>
        <w:t xml:space="preserve">  触变泥浆减阻系统的能力应与顶管机最大顶进速度相匹配，应具备注入速度调节功能及压力显示功能。</w:t>
      </w:r>
    </w:p>
    <w:p w14:paraId="1BE8AEF8">
      <w:pPr>
        <w:snapToGrid w:val="0"/>
        <w:spacing w:line="288" w:lineRule="auto"/>
        <w:outlineLvl w:val="2"/>
        <w:rPr>
          <w:sz w:val="20"/>
          <w:szCs w:val="20"/>
        </w:rPr>
      </w:pPr>
      <w:r>
        <w:rPr>
          <w:rFonts w:hint="eastAsia" w:hAnsi="宋体"/>
          <w:b/>
          <w:sz w:val="20"/>
          <w:szCs w:val="20"/>
        </w:rPr>
        <w:t>4.</w:t>
      </w:r>
      <w:r>
        <w:rPr>
          <w:rFonts w:hAnsi="宋体"/>
          <w:b/>
          <w:sz w:val="20"/>
          <w:szCs w:val="20"/>
        </w:rPr>
        <w:t>4</w:t>
      </w:r>
      <w:r>
        <w:rPr>
          <w:rFonts w:hint="eastAsia" w:hAnsi="宋体"/>
          <w:b/>
          <w:sz w:val="20"/>
          <w:szCs w:val="20"/>
        </w:rPr>
        <w:t xml:space="preserve">.12  </w:t>
      </w:r>
      <w:r>
        <w:rPr>
          <w:rFonts w:hint="eastAsia"/>
          <w:sz w:val="20"/>
          <w:szCs w:val="20"/>
        </w:rPr>
        <w:t>浓泥加注系统应独立设置搅拌装置及注入泵，应具备注入压力监测功能。</w:t>
      </w:r>
    </w:p>
    <w:p w14:paraId="077237C9">
      <w:pPr>
        <w:snapToGrid w:val="0"/>
        <w:spacing w:line="288" w:lineRule="auto"/>
        <w:outlineLvl w:val="2"/>
        <w:rPr>
          <w:sz w:val="20"/>
          <w:szCs w:val="20"/>
        </w:rPr>
      </w:pPr>
      <w:r>
        <w:rPr>
          <w:rFonts w:hAnsi="宋体"/>
          <w:b/>
          <w:sz w:val="20"/>
          <w:szCs w:val="20"/>
        </w:rPr>
        <w:t>4.4.1</w:t>
      </w:r>
      <w:r>
        <w:rPr>
          <w:rFonts w:hint="eastAsia" w:hAnsi="宋体"/>
          <w:b/>
          <w:sz w:val="20"/>
          <w:szCs w:val="20"/>
        </w:rPr>
        <w:t>3</w:t>
      </w:r>
      <w:r>
        <w:rPr>
          <w:rFonts w:hAnsi="宋体"/>
          <w:b/>
          <w:sz w:val="20"/>
          <w:szCs w:val="20"/>
        </w:rPr>
        <w:t xml:space="preserve">  </w:t>
      </w:r>
      <w:r>
        <w:rPr>
          <w:rFonts w:hint="eastAsia"/>
          <w:sz w:val="20"/>
          <w:szCs w:val="20"/>
        </w:rPr>
        <w:t>检查孔应满足开仓作业要求。</w:t>
      </w:r>
    </w:p>
    <w:p w14:paraId="7B755CD5">
      <w:pPr>
        <w:snapToGrid w:val="0"/>
        <w:spacing w:line="288" w:lineRule="auto"/>
        <w:outlineLvl w:val="2"/>
        <w:rPr>
          <w:sz w:val="20"/>
          <w:szCs w:val="20"/>
        </w:rPr>
      </w:pPr>
      <w:r>
        <w:rPr>
          <w:rFonts w:hAnsi="宋体"/>
          <w:b/>
          <w:sz w:val="20"/>
          <w:szCs w:val="20"/>
        </w:rPr>
        <w:t>4.4.</w:t>
      </w:r>
      <w:r>
        <w:rPr>
          <w:rFonts w:hint="eastAsia" w:hAnsi="宋体"/>
          <w:b/>
          <w:sz w:val="20"/>
          <w:szCs w:val="20"/>
        </w:rPr>
        <w:t>14</w:t>
      </w:r>
      <w:r>
        <w:rPr>
          <w:rFonts w:hAnsi="宋体"/>
          <w:b/>
          <w:sz w:val="20"/>
          <w:szCs w:val="20"/>
        </w:rPr>
        <w:t xml:space="preserve">  </w:t>
      </w:r>
      <w:r>
        <w:rPr>
          <w:rFonts w:hint="eastAsia"/>
          <w:sz w:val="20"/>
          <w:szCs w:val="20"/>
        </w:rPr>
        <w:t>主顶油缸应根据推进阻力的总和及所需的安全系数确定，油缸的行程宜大于管节安装长度。</w:t>
      </w:r>
    </w:p>
    <w:p w14:paraId="31EBD695">
      <w:pPr>
        <w:pStyle w:val="3"/>
        <w:snapToGrid w:val="0"/>
        <w:spacing w:before="312" w:beforeLines="100" w:after="0" w:line="288" w:lineRule="auto"/>
        <w:jc w:val="center"/>
        <w:rPr>
          <w:rFonts w:ascii="Times New Roman" w:hAnsi="Times New Roman"/>
          <w:sz w:val="20"/>
          <w:szCs w:val="21"/>
        </w:rPr>
      </w:pPr>
      <w:bookmarkStart w:id="159" w:name="_Toc188798528"/>
      <w:bookmarkStart w:id="160" w:name="_Toc188612056"/>
      <w:bookmarkStart w:id="161" w:name="_Toc185235627"/>
      <w:bookmarkStart w:id="162" w:name="_Toc185236578"/>
      <w:r>
        <w:rPr>
          <w:rFonts w:ascii="Times New Roman" w:hAnsi="Times New Roman"/>
          <w:sz w:val="20"/>
          <w:szCs w:val="21"/>
        </w:rPr>
        <w:t xml:space="preserve">4.5  </w:t>
      </w:r>
      <w:r>
        <w:rPr>
          <w:rFonts w:hint="eastAsia" w:ascii="Times New Roman" w:hAnsi="Times New Roman"/>
          <w:sz w:val="20"/>
          <w:szCs w:val="21"/>
        </w:rPr>
        <w:t>工作井</w:t>
      </w:r>
      <w:bookmarkEnd w:id="159"/>
      <w:bookmarkEnd w:id="160"/>
      <w:bookmarkEnd w:id="161"/>
      <w:bookmarkEnd w:id="162"/>
    </w:p>
    <w:p w14:paraId="463278B1">
      <w:pPr>
        <w:snapToGrid w:val="0"/>
        <w:spacing w:line="288" w:lineRule="auto"/>
        <w:outlineLvl w:val="2"/>
        <w:rPr>
          <w:rFonts w:hAnsi="宋体"/>
          <w:bCs/>
          <w:sz w:val="20"/>
          <w:szCs w:val="20"/>
        </w:rPr>
      </w:pPr>
      <w:bookmarkStart w:id="163" w:name="_Toc164082911"/>
      <w:bookmarkStart w:id="164" w:name="_Toc76479700"/>
      <w:bookmarkStart w:id="165" w:name="_Toc89420480"/>
      <w:bookmarkStart w:id="166" w:name="_Toc92028674"/>
      <w:bookmarkStart w:id="167" w:name="_Toc89097030"/>
      <w:bookmarkStart w:id="168" w:name="_Toc79404387"/>
      <w:bookmarkStart w:id="169" w:name="_Toc91757344"/>
      <w:bookmarkStart w:id="170" w:name="_Toc89096270"/>
      <w:bookmarkStart w:id="171" w:name="_Toc89260055"/>
      <w:bookmarkStart w:id="172" w:name="_Toc78789694"/>
      <w:r>
        <w:rPr>
          <w:rFonts w:hint="eastAsia" w:hAnsi="宋体"/>
          <w:b/>
          <w:sz w:val="20"/>
          <w:szCs w:val="20"/>
        </w:rPr>
        <w:t>4.</w:t>
      </w:r>
      <w:r>
        <w:rPr>
          <w:rFonts w:hAnsi="宋体"/>
          <w:b/>
          <w:sz w:val="20"/>
          <w:szCs w:val="20"/>
        </w:rPr>
        <w:t>5</w:t>
      </w:r>
      <w:r>
        <w:rPr>
          <w:rFonts w:hint="eastAsia" w:hAnsi="宋体"/>
          <w:b/>
          <w:sz w:val="20"/>
          <w:szCs w:val="20"/>
        </w:rPr>
        <w:t xml:space="preserve">.1  </w:t>
      </w:r>
      <w:r>
        <w:rPr>
          <w:rFonts w:hint="eastAsia"/>
          <w:sz w:val="20"/>
          <w:szCs w:val="20"/>
        </w:rPr>
        <w:t>工作井围护体系应根据场地条件</w:t>
      </w:r>
      <w:r>
        <w:rPr>
          <w:rFonts w:hint="eastAsia" w:hAnsi="宋体"/>
          <w:bCs/>
          <w:sz w:val="20"/>
          <w:szCs w:val="20"/>
        </w:rPr>
        <w:t>、工程地质条件、水文地质条件及周边环境条件合理设置。</w:t>
      </w:r>
    </w:p>
    <w:p w14:paraId="132E4F00">
      <w:pPr>
        <w:snapToGrid w:val="0"/>
        <w:spacing w:line="288" w:lineRule="auto"/>
        <w:outlineLvl w:val="2"/>
        <w:rPr>
          <w:rFonts w:hAnsi="宋体"/>
          <w:bCs/>
          <w:sz w:val="20"/>
          <w:szCs w:val="20"/>
        </w:rPr>
      </w:pPr>
      <w:r>
        <w:rPr>
          <w:rFonts w:hint="eastAsia" w:hAnsi="宋体"/>
          <w:b/>
          <w:sz w:val="20"/>
          <w:szCs w:val="20"/>
        </w:rPr>
        <w:t>4.</w:t>
      </w:r>
      <w:r>
        <w:rPr>
          <w:rFonts w:hAnsi="宋体"/>
          <w:b/>
          <w:sz w:val="20"/>
          <w:szCs w:val="20"/>
        </w:rPr>
        <w:t>5</w:t>
      </w:r>
      <w:r>
        <w:rPr>
          <w:rFonts w:hint="eastAsia" w:hAnsi="宋体"/>
          <w:b/>
          <w:sz w:val="20"/>
          <w:szCs w:val="20"/>
        </w:rPr>
        <w:t xml:space="preserve">.2  </w:t>
      </w:r>
      <w:r>
        <w:rPr>
          <w:rFonts w:hint="eastAsia"/>
          <w:sz w:val="20"/>
          <w:szCs w:val="20"/>
        </w:rPr>
        <w:t>工作井宜结合车站主体及附属结构设置</w:t>
      </w:r>
      <w:r>
        <w:rPr>
          <w:rFonts w:hint="eastAsia" w:hAnsi="宋体"/>
          <w:bCs/>
          <w:sz w:val="20"/>
          <w:szCs w:val="20"/>
        </w:rPr>
        <w:t>，当车站结构作为矩形顶管工作井时，车站结构应满足矩形顶管反作用力及竖向荷载的要求。</w:t>
      </w:r>
    </w:p>
    <w:p w14:paraId="3502F561">
      <w:pPr>
        <w:snapToGrid w:val="0"/>
        <w:spacing w:line="288" w:lineRule="auto"/>
        <w:outlineLvl w:val="2"/>
        <w:rPr>
          <w:rFonts w:hAnsi="宋体"/>
          <w:sz w:val="20"/>
          <w:szCs w:val="20"/>
        </w:rPr>
      </w:pPr>
      <w:r>
        <w:rPr>
          <w:rFonts w:hAnsi="宋体"/>
          <w:b/>
          <w:sz w:val="20"/>
          <w:szCs w:val="20"/>
        </w:rPr>
        <w:t>4.5.</w:t>
      </w:r>
      <w:r>
        <w:rPr>
          <w:rFonts w:hint="eastAsia" w:hAnsi="宋体"/>
          <w:b/>
          <w:sz w:val="20"/>
          <w:szCs w:val="20"/>
        </w:rPr>
        <w:t xml:space="preserve">3 </w:t>
      </w:r>
      <w:r>
        <w:rPr>
          <w:rFonts w:hAnsi="宋体"/>
          <w:sz w:val="20"/>
          <w:szCs w:val="20"/>
        </w:rPr>
        <w:t xml:space="preserve"> </w:t>
      </w:r>
      <w:r>
        <w:rPr>
          <w:rFonts w:hint="eastAsia"/>
          <w:sz w:val="20"/>
          <w:szCs w:val="20"/>
        </w:rPr>
        <w:t>工作井的尺寸应符合下列规定</w:t>
      </w:r>
      <w:r>
        <w:rPr>
          <w:rFonts w:hint="eastAsia" w:hAnsi="宋体"/>
          <w:sz w:val="20"/>
          <w:szCs w:val="20"/>
        </w:rPr>
        <w:t>：</w:t>
      </w:r>
    </w:p>
    <w:p w14:paraId="121331C4">
      <w:pPr>
        <w:snapToGrid w:val="0"/>
        <w:spacing w:line="288" w:lineRule="auto"/>
        <w:ind w:firstLine="350" w:firstLineChars="175"/>
        <w:rPr>
          <w:rFonts w:hAnsi="宋体"/>
          <w:sz w:val="20"/>
          <w:szCs w:val="20"/>
        </w:rPr>
      </w:pPr>
      <w:r>
        <w:rPr>
          <w:rFonts w:hint="eastAsia" w:hAnsi="宋体"/>
          <w:b/>
          <w:bCs/>
          <w:sz w:val="20"/>
          <w:szCs w:val="20"/>
        </w:rPr>
        <w:t xml:space="preserve">1 </w:t>
      </w:r>
      <w:r>
        <w:rPr>
          <w:rFonts w:hint="eastAsia" w:hAnsi="宋体"/>
          <w:sz w:val="20"/>
          <w:szCs w:val="20"/>
        </w:rPr>
        <w:t>始发井的最小净长度按顶管机长度确定时，宜满足下式要求：</w:t>
      </w:r>
    </w:p>
    <w:p w14:paraId="049BA7D8">
      <w:pPr>
        <w:wordWrap w:val="0"/>
        <w:snapToGrid w:val="0"/>
        <w:ind w:firstLine="350" w:firstLineChars="175"/>
        <w:jc w:val="right"/>
        <w:rPr>
          <w:rFonts w:hAnsi="宋体"/>
          <w:bCs/>
          <w:sz w:val="20"/>
          <w:szCs w:val="20"/>
        </w:rPr>
      </w:pPr>
      <m:oMath>
        <m:sSub>
          <m:sSubPr>
            <m:ctrlPr>
              <w:rPr>
                <w:rFonts w:ascii="Cambria Math" w:hAnsi="Cambria Math"/>
                <w:bCs/>
                <w:sz w:val="20"/>
                <w:szCs w:val="20"/>
              </w:rPr>
            </m:ctrlPr>
          </m:sSubPr>
          <m:e>
            <m:r>
              <m:rPr/>
              <w:rPr>
                <w:rFonts w:ascii="Cambria Math" w:hAnsi="Cambria Math"/>
                <w:sz w:val="20"/>
                <w:szCs w:val="20"/>
              </w:rPr>
              <m:t>L</m:t>
            </m:r>
            <m:ctrlPr>
              <w:rPr>
                <w:rFonts w:ascii="Cambria Math" w:hAnsi="Cambria Math"/>
                <w:bCs/>
                <w:sz w:val="20"/>
                <w:szCs w:val="20"/>
              </w:rPr>
            </m:ctrlPr>
          </m:e>
          <m:sub>
            <m:r>
              <m:rPr/>
              <w:rPr>
                <w:rFonts w:ascii="Cambria Math" w:hAnsi="Cambria Math"/>
                <w:sz w:val="20"/>
                <w:szCs w:val="20"/>
              </w:rPr>
              <m:t>j</m:t>
            </m:r>
            <m:ctrlPr>
              <w:rPr>
                <w:rFonts w:ascii="Cambria Math" w:hAnsi="Cambria Math"/>
                <w:bCs/>
                <w:sz w:val="20"/>
                <w:szCs w:val="20"/>
              </w:rPr>
            </m:ctrlPr>
          </m:sub>
        </m:sSub>
        <m:r>
          <m:rPr>
            <m:sty m:val="p"/>
          </m:rPr>
          <w:rPr>
            <w:rFonts w:ascii="Cambria Math" w:hAnsi="Cambria Math"/>
            <w:sz w:val="20"/>
            <w:szCs w:val="20"/>
          </w:rPr>
          <m:t>=</m:t>
        </m:r>
        <m:sSub>
          <m:sSubPr>
            <m:ctrlPr>
              <w:rPr>
                <w:rFonts w:ascii="Cambria Math" w:hAnsi="Cambria Math"/>
                <w:bCs/>
                <w:i/>
                <w:sz w:val="20"/>
                <w:szCs w:val="20"/>
              </w:rPr>
            </m:ctrlPr>
          </m:sSubPr>
          <m:e>
            <m:r>
              <m:rPr/>
              <w:rPr>
                <w:rFonts w:ascii="Cambria Math" w:hAnsi="Cambria Math"/>
                <w:sz w:val="20"/>
                <w:szCs w:val="20"/>
              </w:rPr>
              <m:t>L</m:t>
            </m:r>
            <m:ctrlPr>
              <w:rPr>
                <w:rFonts w:ascii="Cambria Math" w:hAnsi="Cambria Math"/>
                <w:bCs/>
                <w:i/>
                <w:sz w:val="20"/>
                <w:szCs w:val="20"/>
              </w:rPr>
            </m:ctrlPr>
          </m:e>
          <m:sub>
            <m:r>
              <m:rPr/>
              <w:rPr>
                <w:rFonts w:ascii="Cambria Math" w:hAnsi="Cambria Math"/>
                <w:sz w:val="20"/>
                <w:szCs w:val="20"/>
              </w:rPr>
              <m:t>1</m:t>
            </m:r>
            <m:ctrlPr>
              <w:rPr>
                <w:rFonts w:ascii="Cambria Math" w:hAnsi="Cambria Math"/>
                <w:bCs/>
                <w:i/>
                <w:sz w:val="20"/>
                <w:szCs w:val="20"/>
              </w:rPr>
            </m:ctrlPr>
          </m:sub>
        </m:sSub>
        <m:r>
          <m:rPr>
            <m:sty m:val="p"/>
          </m:rPr>
          <w:rPr>
            <w:rFonts w:ascii="Cambria Math" w:hAnsi="Cambria Math"/>
            <w:sz w:val="20"/>
            <w:szCs w:val="20"/>
          </w:rPr>
          <m:t>+</m:t>
        </m:r>
        <m:sSub>
          <m:sSubPr>
            <m:ctrlPr>
              <w:rPr>
                <w:rFonts w:ascii="Cambria Math" w:hAnsi="Cambria Math"/>
                <w:bCs/>
                <w:i/>
                <w:sz w:val="20"/>
                <w:szCs w:val="20"/>
              </w:rPr>
            </m:ctrlPr>
          </m:sSubPr>
          <m:e>
            <m:r>
              <m:rPr/>
              <w:rPr>
                <w:rFonts w:ascii="Cambria Math" w:hAnsi="Cambria Math"/>
                <w:sz w:val="20"/>
                <w:szCs w:val="20"/>
              </w:rPr>
              <m:t>L</m:t>
            </m:r>
            <m:ctrlPr>
              <w:rPr>
                <w:rFonts w:ascii="Cambria Math" w:hAnsi="Cambria Math"/>
                <w:bCs/>
                <w:i/>
                <w:sz w:val="20"/>
                <w:szCs w:val="20"/>
              </w:rPr>
            </m:ctrlPr>
          </m:e>
          <m:sub>
            <m:r>
              <m:rPr/>
              <w:rPr>
                <w:rFonts w:ascii="Cambria Math" w:hAnsi="Cambria Math"/>
                <w:sz w:val="20"/>
                <w:szCs w:val="20"/>
              </w:rPr>
              <m:t>2</m:t>
            </m:r>
            <m:ctrlPr>
              <w:rPr>
                <w:rFonts w:ascii="Cambria Math" w:hAnsi="Cambria Math"/>
                <w:bCs/>
                <w:i/>
                <w:sz w:val="20"/>
                <w:szCs w:val="20"/>
              </w:rPr>
            </m:ctrlPr>
          </m:sub>
        </m:sSub>
        <m:r>
          <m:rPr>
            <m:sty m:val="p"/>
          </m:rPr>
          <w:rPr>
            <w:rFonts w:ascii="Cambria Math" w:hAnsi="Cambria Math"/>
            <w:sz w:val="20"/>
            <w:szCs w:val="20"/>
          </w:rPr>
          <m:t>+</m:t>
        </m:r>
        <m:sSub>
          <m:sSubPr>
            <m:ctrlPr>
              <w:rPr>
                <w:rFonts w:ascii="Cambria Math" w:hAnsi="Cambria Math"/>
                <w:bCs/>
                <w:i/>
                <w:sz w:val="20"/>
                <w:szCs w:val="20"/>
              </w:rPr>
            </m:ctrlPr>
          </m:sSubPr>
          <m:e>
            <m:r>
              <m:rPr/>
              <w:rPr>
                <w:rFonts w:ascii="Cambria Math" w:hAnsi="Cambria Math"/>
                <w:sz w:val="20"/>
                <w:szCs w:val="20"/>
              </w:rPr>
              <m:t>L</m:t>
            </m:r>
            <m:ctrlPr>
              <w:rPr>
                <w:rFonts w:ascii="Cambria Math" w:hAnsi="Cambria Math"/>
                <w:bCs/>
                <w:i/>
                <w:sz w:val="20"/>
                <w:szCs w:val="20"/>
              </w:rPr>
            </m:ctrlPr>
          </m:e>
          <m:sub>
            <m:r>
              <m:rPr/>
              <w:rPr>
                <w:rFonts w:ascii="Cambria Math" w:hAnsi="Cambria Math"/>
                <w:sz w:val="20"/>
                <w:szCs w:val="20"/>
              </w:rPr>
              <m:t>3</m:t>
            </m:r>
            <m:ctrlPr>
              <w:rPr>
                <w:rFonts w:ascii="Cambria Math" w:hAnsi="Cambria Math"/>
                <w:bCs/>
                <w:i/>
                <w:sz w:val="20"/>
                <w:szCs w:val="20"/>
              </w:rPr>
            </m:ctrlPr>
          </m:sub>
        </m:sSub>
        <m:r>
          <m:rPr>
            <m:sty m:val="p"/>
          </m:rPr>
          <w:rPr>
            <w:rFonts w:ascii="Cambria Math" w:hAnsi="Cambria Math"/>
            <w:sz w:val="20"/>
            <w:szCs w:val="20"/>
          </w:rPr>
          <m:t>+</m:t>
        </m:r>
        <m:sSub>
          <m:sSubPr>
            <m:ctrlPr>
              <w:rPr>
                <w:rFonts w:ascii="Cambria Math" w:hAnsi="Cambria Math"/>
                <w:bCs/>
                <w:i/>
                <w:sz w:val="20"/>
                <w:szCs w:val="20"/>
              </w:rPr>
            </m:ctrlPr>
          </m:sSubPr>
          <m:e>
            <m:r>
              <m:rPr/>
              <w:rPr>
                <w:rFonts w:ascii="Cambria Math" w:hAnsi="Cambria Math"/>
                <w:sz w:val="20"/>
                <w:szCs w:val="20"/>
              </w:rPr>
              <m:t>L</m:t>
            </m:r>
            <m:ctrlPr>
              <w:rPr>
                <w:rFonts w:ascii="Cambria Math" w:hAnsi="Cambria Math"/>
                <w:bCs/>
                <w:i/>
                <w:sz w:val="20"/>
                <w:szCs w:val="20"/>
              </w:rPr>
            </m:ctrlPr>
          </m:e>
          <m:sub>
            <m:r>
              <m:rPr/>
              <w:rPr>
                <w:rFonts w:ascii="Cambria Math" w:hAnsi="Cambria Math"/>
                <w:sz w:val="20"/>
                <w:szCs w:val="20"/>
              </w:rPr>
              <m:t>4</m:t>
            </m:r>
            <m:ctrlPr>
              <w:rPr>
                <w:rFonts w:ascii="Cambria Math" w:hAnsi="Cambria Math"/>
                <w:bCs/>
                <w:i/>
                <w:sz w:val="20"/>
                <w:szCs w:val="20"/>
              </w:rPr>
            </m:ctrlPr>
          </m:sub>
        </m:sSub>
        <m:r>
          <m:rPr>
            <m:sty m:val="p"/>
          </m:rPr>
          <w:rPr>
            <w:rFonts w:ascii="Cambria Math" w:hAnsi="Cambria Math"/>
            <w:sz w:val="20"/>
            <w:szCs w:val="20"/>
          </w:rPr>
          <m:t>+</m:t>
        </m:r>
        <m:sSub>
          <m:sSubPr>
            <m:ctrlPr>
              <w:rPr>
                <w:rFonts w:ascii="Cambria Math" w:hAnsi="Cambria Math"/>
                <w:bCs/>
                <w:i/>
                <w:sz w:val="20"/>
                <w:szCs w:val="20"/>
              </w:rPr>
            </m:ctrlPr>
          </m:sSubPr>
          <m:e>
            <m:r>
              <m:rPr/>
              <w:rPr>
                <w:rFonts w:ascii="Cambria Math" w:hAnsi="Cambria Math"/>
                <w:sz w:val="20"/>
                <w:szCs w:val="20"/>
              </w:rPr>
              <m:t>L</m:t>
            </m:r>
            <m:ctrlPr>
              <w:rPr>
                <w:rFonts w:ascii="Cambria Math" w:hAnsi="Cambria Math"/>
                <w:bCs/>
                <w:i/>
                <w:sz w:val="20"/>
                <w:szCs w:val="20"/>
              </w:rPr>
            </m:ctrlPr>
          </m:e>
          <m:sub>
            <m:r>
              <m:rPr/>
              <w:rPr>
                <w:rFonts w:ascii="Cambria Math" w:hAnsi="Cambria Math"/>
                <w:sz w:val="20"/>
                <w:szCs w:val="20"/>
              </w:rPr>
              <m:t>5</m:t>
            </m:r>
            <m:ctrlPr>
              <w:rPr>
                <w:rFonts w:ascii="Cambria Math" w:hAnsi="Cambria Math"/>
                <w:bCs/>
                <w:i/>
                <w:sz w:val="20"/>
                <w:szCs w:val="20"/>
              </w:rPr>
            </m:ctrlPr>
          </m:sub>
        </m:sSub>
        <m:r>
          <m:rPr>
            <m:sty m:val="p"/>
          </m:rPr>
          <w:rPr>
            <w:rFonts w:ascii="Cambria Math" w:hAnsi="Cambria Math"/>
            <w:sz w:val="20"/>
            <w:szCs w:val="20"/>
          </w:rPr>
          <m:t>+</m:t>
        </m:r>
        <m:sSub>
          <m:sSubPr>
            <m:ctrlPr>
              <w:rPr>
                <w:rFonts w:ascii="Cambria Math" w:hAnsi="Cambria Math"/>
                <w:bCs/>
                <w:i/>
                <w:sz w:val="20"/>
                <w:szCs w:val="20"/>
              </w:rPr>
            </m:ctrlPr>
          </m:sSubPr>
          <m:e>
            <m:r>
              <m:rPr/>
              <w:rPr>
                <w:rFonts w:ascii="Cambria Math" w:hAnsi="Cambria Math"/>
                <w:sz w:val="20"/>
                <w:szCs w:val="20"/>
              </w:rPr>
              <m:t>S</m:t>
            </m:r>
            <m:ctrlPr>
              <w:rPr>
                <w:rFonts w:ascii="Cambria Math" w:hAnsi="Cambria Math"/>
                <w:bCs/>
                <w:i/>
                <w:sz w:val="20"/>
                <w:szCs w:val="20"/>
              </w:rPr>
            </m:ctrlPr>
          </m:e>
          <m:sub>
            <m:r>
              <m:rPr/>
              <w:rPr>
                <w:rFonts w:ascii="Cambria Math" w:hAnsi="Cambria Math"/>
                <w:sz w:val="20"/>
                <w:szCs w:val="20"/>
              </w:rPr>
              <m:t>1</m:t>
            </m:r>
            <m:ctrlPr>
              <w:rPr>
                <w:rFonts w:ascii="Cambria Math" w:hAnsi="Cambria Math"/>
                <w:bCs/>
                <w:i/>
                <w:sz w:val="20"/>
                <w:szCs w:val="20"/>
              </w:rPr>
            </m:ctrlPr>
          </m:sub>
        </m:sSub>
        <m:r>
          <m:rPr>
            <m:sty m:val="p"/>
          </m:rPr>
          <w:rPr>
            <w:rFonts w:ascii="Cambria Math" w:hAnsi="Cambria Math"/>
            <w:sz w:val="20"/>
            <w:szCs w:val="20"/>
          </w:rPr>
          <m:t>+</m:t>
        </m:r>
        <m:sSub>
          <m:sSubPr>
            <m:ctrlPr>
              <w:rPr>
                <w:rFonts w:ascii="Cambria Math" w:hAnsi="Cambria Math"/>
                <w:bCs/>
                <w:i/>
                <w:sz w:val="20"/>
                <w:szCs w:val="20"/>
              </w:rPr>
            </m:ctrlPr>
          </m:sSubPr>
          <m:e>
            <m:r>
              <m:rPr/>
              <w:rPr>
                <w:rFonts w:ascii="Cambria Math" w:hAnsi="Cambria Math"/>
                <w:sz w:val="20"/>
                <w:szCs w:val="20"/>
              </w:rPr>
              <m:t>S</m:t>
            </m:r>
            <m:ctrlPr>
              <w:rPr>
                <w:rFonts w:ascii="Cambria Math" w:hAnsi="Cambria Math"/>
                <w:bCs/>
                <w:i/>
                <w:sz w:val="20"/>
                <w:szCs w:val="20"/>
              </w:rPr>
            </m:ctrlPr>
          </m:e>
          <m:sub>
            <m:r>
              <m:rPr/>
              <w:rPr>
                <w:rFonts w:ascii="Cambria Math" w:hAnsi="Cambria Math"/>
                <w:sz w:val="20"/>
                <w:szCs w:val="20"/>
              </w:rPr>
              <m:t>2</m:t>
            </m:r>
            <m:ctrlPr>
              <w:rPr>
                <w:rFonts w:ascii="Cambria Math" w:hAnsi="Cambria Math"/>
                <w:bCs/>
                <w:i/>
                <w:sz w:val="20"/>
                <w:szCs w:val="20"/>
              </w:rPr>
            </m:ctrlPr>
          </m:sub>
        </m:sSub>
      </m:oMath>
      <w:r>
        <w:rPr>
          <w:rFonts w:hint="eastAsia" w:hAnsi="宋体"/>
          <w:bCs/>
          <w:sz w:val="20"/>
          <w:szCs w:val="20"/>
        </w:rPr>
        <w:t xml:space="preserve">             </w:t>
      </w:r>
      <w:r>
        <w:rPr>
          <w:rFonts w:hint="eastAsia" w:ascii="Calibri" w:hAnsi="Calibri" w:cs="Calibri"/>
          <w:kern w:val="0"/>
          <w:sz w:val="20"/>
          <w:szCs w:val="20"/>
          <w:lang w:bidi="ar"/>
        </w:rPr>
        <w:t>（</w:t>
      </w:r>
      <w:r>
        <w:rPr>
          <w:rFonts w:ascii="Calibri" w:hAnsi="Calibri" w:cs="Calibri"/>
          <w:kern w:val="0"/>
          <w:sz w:val="20"/>
          <w:szCs w:val="20"/>
          <w:lang w:bidi="ar"/>
        </w:rPr>
        <w:t>4.</w:t>
      </w:r>
      <w:r>
        <w:rPr>
          <w:rFonts w:hint="eastAsia" w:ascii="Calibri" w:hAnsi="Calibri" w:cs="Calibri"/>
          <w:kern w:val="0"/>
          <w:sz w:val="20"/>
          <w:szCs w:val="20"/>
          <w:lang w:bidi="ar"/>
        </w:rPr>
        <w:t>5</w:t>
      </w:r>
      <w:r>
        <w:rPr>
          <w:rFonts w:ascii="Calibri" w:hAnsi="Calibri" w:cs="Calibri"/>
          <w:kern w:val="0"/>
          <w:sz w:val="20"/>
          <w:szCs w:val="20"/>
          <w:lang w:bidi="ar"/>
        </w:rPr>
        <w:t>.</w:t>
      </w:r>
      <w:r>
        <w:rPr>
          <w:rFonts w:hint="eastAsia" w:ascii="Calibri" w:hAnsi="Calibri" w:cs="Calibri"/>
          <w:kern w:val="0"/>
          <w:sz w:val="20"/>
          <w:szCs w:val="20"/>
          <w:lang w:bidi="ar"/>
        </w:rPr>
        <w:t>3</w:t>
      </w:r>
      <w:r>
        <w:rPr>
          <w:rFonts w:ascii="Calibri" w:hAnsi="Calibri" w:cs="Calibri"/>
          <w:kern w:val="0"/>
          <w:sz w:val="20"/>
          <w:szCs w:val="20"/>
          <w:lang w:bidi="ar"/>
        </w:rPr>
        <w:t>-1</w:t>
      </w:r>
      <w:r>
        <w:rPr>
          <w:rFonts w:hint="eastAsia" w:ascii="Calibri" w:hAnsi="Calibri" w:cs="Calibri"/>
          <w:kern w:val="0"/>
          <w:sz w:val="20"/>
          <w:szCs w:val="20"/>
          <w:lang w:bidi="ar"/>
        </w:rPr>
        <w:t>）</w:t>
      </w:r>
    </w:p>
    <w:p w14:paraId="15EA2421">
      <w:pPr>
        <w:snapToGrid w:val="0"/>
        <w:spacing w:line="288" w:lineRule="auto"/>
        <w:ind w:firstLine="350" w:firstLineChars="175"/>
        <w:rPr>
          <w:rFonts w:hAnsi="宋体"/>
          <w:sz w:val="20"/>
          <w:szCs w:val="20"/>
        </w:rPr>
      </w:pPr>
      <w:r>
        <w:rPr>
          <w:rFonts w:hint="eastAsia" w:hAnsi="宋体"/>
          <w:sz w:val="20"/>
          <w:szCs w:val="20"/>
        </w:rPr>
        <w:t>式中：</w:t>
      </w:r>
    </w:p>
    <w:p w14:paraId="604BD44A">
      <w:pPr>
        <w:snapToGrid w:val="0"/>
        <w:spacing w:line="288" w:lineRule="auto"/>
        <w:ind w:firstLine="950" w:firstLineChars="475"/>
        <w:rPr>
          <w:rFonts w:hAnsi="宋体"/>
          <w:sz w:val="20"/>
          <w:szCs w:val="20"/>
        </w:rPr>
      </w:pPr>
      <m:oMath>
        <m:sSub>
          <m:sSubPr>
            <m:ctrlPr>
              <w:rPr>
                <w:rFonts w:ascii="Cambria Math" w:hAnsi="Cambria Math"/>
                <w:sz w:val="20"/>
                <w:szCs w:val="20"/>
              </w:rPr>
            </m:ctrlPr>
          </m:sSubPr>
          <m:e>
            <m:r>
              <m:rPr/>
              <w:rPr>
                <w:rFonts w:ascii="Cambria Math" w:hAnsi="Cambria Math"/>
                <w:sz w:val="20"/>
                <w:szCs w:val="20"/>
              </w:rPr>
              <m:t>L</m:t>
            </m:r>
            <m:ctrlPr>
              <w:rPr>
                <w:rFonts w:ascii="Cambria Math" w:hAnsi="Cambria Math"/>
                <w:sz w:val="20"/>
                <w:szCs w:val="20"/>
              </w:rPr>
            </m:ctrlPr>
          </m:e>
          <m:sub>
            <m:r>
              <m:rPr/>
              <w:rPr>
                <w:rFonts w:ascii="Cambria Math" w:hAnsi="Cambria Math"/>
                <w:sz w:val="20"/>
                <w:szCs w:val="20"/>
              </w:rPr>
              <m:t>j</m:t>
            </m:r>
            <m:ctrlPr>
              <w:rPr>
                <w:rFonts w:ascii="Cambria Math" w:hAnsi="Cambria Math"/>
                <w:sz w:val="20"/>
                <w:szCs w:val="20"/>
              </w:rPr>
            </m:ctrlPr>
          </m:sub>
        </m:sSub>
      </m:oMath>
      <w:r>
        <w:rPr>
          <w:rFonts w:hint="eastAsia" w:hAnsi="宋体"/>
          <w:sz w:val="20"/>
          <w:szCs w:val="20"/>
        </w:rPr>
        <w:t>—始发井的最小长度（m）；</w:t>
      </w:r>
    </w:p>
    <w:p w14:paraId="78C25898">
      <w:pPr>
        <w:snapToGrid w:val="0"/>
        <w:spacing w:line="288" w:lineRule="auto"/>
        <w:ind w:firstLine="950" w:firstLineChars="475"/>
        <w:rPr>
          <w:rFonts w:hAnsi="宋体"/>
          <w:sz w:val="20"/>
          <w:szCs w:val="20"/>
        </w:rPr>
      </w:pPr>
      <m:oMath>
        <m:sSub>
          <m:sSubPr>
            <m:ctrlPr>
              <w:rPr>
                <w:rFonts w:ascii="Cambria Math" w:hAnsi="Cambria Math"/>
                <w:sz w:val="20"/>
                <w:szCs w:val="20"/>
              </w:rPr>
            </m:ctrlPr>
          </m:sSubPr>
          <m:e>
            <m:r>
              <m:rPr/>
              <w:rPr>
                <w:rFonts w:ascii="Cambria Math" w:hAnsi="Cambria Math"/>
                <w:sz w:val="20"/>
                <w:szCs w:val="20"/>
              </w:rPr>
              <m:t>L</m:t>
            </m:r>
            <m:ctrlPr>
              <w:rPr>
                <w:rFonts w:ascii="Cambria Math" w:hAnsi="Cambria Math"/>
                <w:sz w:val="20"/>
                <w:szCs w:val="20"/>
              </w:rPr>
            </m:ctrlPr>
          </m:e>
          <m:sub>
            <m:r>
              <m:rPr/>
              <w:rPr>
                <w:rFonts w:ascii="Cambria Math" w:hAnsi="Cambria Math"/>
                <w:sz w:val="20"/>
                <w:szCs w:val="20"/>
              </w:rPr>
              <m:t>1</m:t>
            </m:r>
            <m:ctrlPr>
              <w:rPr>
                <w:rFonts w:ascii="Cambria Math" w:hAnsi="Cambria Math"/>
                <w:sz w:val="20"/>
                <w:szCs w:val="20"/>
              </w:rPr>
            </m:ctrlPr>
          </m:sub>
        </m:sSub>
      </m:oMath>
      <w:r>
        <w:rPr>
          <w:rFonts w:hint="eastAsia" w:hAnsi="宋体"/>
          <w:sz w:val="20"/>
          <w:szCs w:val="20"/>
        </w:rPr>
        <w:t>—顶管机长度（m）；</w:t>
      </w:r>
    </w:p>
    <w:p w14:paraId="4C0135B3">
      <w:pPr>
        <w:snapToGrid w:val="0"/>
        <w:spacing w:line="288" w:lineRule="auto"/>
        <w:ind w:firstLine="950" w:firstLineChars="475"/>
        <w:rPr>
          <w:rFonts w:hAnsi="宋体"/>
          <w:sz w:val="20"/>
          <w:szCs w:val="20"/>
        </w:rPr>
      </w:pPr>
      <m:oMath>
        <m:sSub>
          <m:sSubPr>
            <m:ctrlPr>
              <w:rPr>
                <w:rFonts w:ascii="Cambria Math" w:hAnsi="Cambria Math"/>
                <w:sz w:val="20"/>
                <w:szCs w:val="20"/>
              </w:rPr>
            </m:ctrlPr>
          </m:sSubPr>
          <m:e>
            <m:r>
              <m:rPr/>
              <w:rPr>
                <w:rFonts w:ascii="Cambria Math" w:hAnsi="Cambria Math"/>
                <w:sz w:val="20"/>
                <w:szCs w:val="20"/>
              </w:rPr>
              <m:t>L</m:t>
            </m:r>
            <m:ctrlPr>
              <w:rPr>
                <w:rFonts w:ascii="Cambria Math" w:hAnsi="Cambria Math"/>
                <w:sz w:val="20"/>
                <w:szCs w:val="20"/>
              </w:rPr>
            </m:ctrlPr>
          </m:e>
          <m:sub>
            <m:r>
              <m:rPr/>
              <w:rPr>
                <w:rFonts w:ascii="Cambria Math" w:hAnsi="Cambria Math"/>
                <w:sz w:val="20"/>
                <w:szCs w:val="20"/>
              </w:rPr>
              <m:t>2</m:t>
            </m:r>
            <m:ctrlPr>
              <w:rPr>
                <w:rFonts w:ascii="Cambria Math" w:hAnsi="Cambria Math"/>
                <w:sz w:val="20"/>
                <w:szCs w:val="20"/>
              </w:rPr>
            </m:ctrlPr>
          </m:sub>
        </m:sSub>
      </m:oMath>
      <w:r>
        <w:rPr>
          <w:rFonts w:hint="eastAsia" w:hAnsi="宋体"/>
          <w:sz w:val="20"/>
          <w:szCs w:val="20"/>
        </w:rPr>
        <w:t>—油缸长度（含油缸架）（m）；</w:t>
      </w:r>
    </w:p>
    <w:p w14:paraId="7C923F54">
      <w:pPr>
        <w:snapToGrid w:val="0"/>
        <w:spacing w:line="288" w:lineRule="auto"/>
        <w:ind w:firstLine="950" w:firstLineChars="475"/>
        <w:rPr>
          <w:rFonts w:hAnsi="宋体"/>
          <w:sz w:val="20"/>
          <w:szCs w:val="20"/>
        </w:rPr>
      </w:pPr>
      <m:oMath>
        <m:sSub>
          <m:sSubPr>
            <m:ctrlPr>
              <w:rPr>
                <w:rFonts w:ascii="Cambria Math" w:hAnsi="Cambria Math"/>
                <w:sz w:val="20"/>
                <w:szCs w:val="20"/>
              </w:rPr>
            </m:ctrlPr>
          </m:sSubPr>
          <m:e>
            <m:r>
              <m:rPr/>
              <w:rPr>
                <w:rFonts w:ascii="Cambria Math" w:hAnsi="Cambria Math"/>
                <w:sz w:val="20"/>
                <w:szCs w:val="20"/>
              </w:rPr>
              <m:t>L</m:t>
            </m:r>
            <m:ctrlPr>
              <w:rPr>
                <w:rFonts w:ascii="Cambria Math" w:hAnsi="Cambria Math"/>
                <w:sz w:val="20"/>
                <w:szCs w:val="20"/>
              </w:rPr>
            </m:ctrlPr>
          </m:e>
          <m:sub>
            <m:r>
              <m:rPr/>
              <w:rPr>
                <w:rFonts w:ascii="Cambria Math" w:hAnsi="Cambria Math"/>
                <w:sz w:val="20"/>
                <w:szCs w:val="20"/>
              </w:rPr>
              <m:t>3</m:t>
            </m:r>
            <m:ctrlPr>
              <w:rPr>
                <w:rFonts w:ascii="Cambria Math" w:hAnsi="Cambria Math"/>
                <w:sz w:val="20"/>
                <w:szCs w:val="20"/>
              </w:rPr>
            </m:ctrlPr>
          </m:sub>
        </m:sSub>
      </m:oMath>
      <w:r>
        <w:rPr>
          <w:rFonts w:hint="eastAsia" w:hAnsi="宋体"/>
          <w:sz w:val="20"/>
          <w:szCs w:val="20"/>
        </w:rPr>
        <w:t>—后背墙厚度（m）；</w:t>
      </w:r>
    </w:p>
    <w:p w14:paraId="557471AF">
      <w:pPr>
        <w:snapToGrid w:val="0"/>
        <w:spacing w:line="288" w:lineRule="auto"/>
        <w:ind w:firstLine="950" w:firstLineChars="475"/>
        <w:rPr>
          <w:rFonts w:hAnsi="宋体"/>
          <w:sz w:val="20"/>
          <w:szCs w:val="20"/>
        </w:rPr>
      </w:pPr>
      <m:oMath>
        <m:sSub>
          <m:sSubPr>
            <m:ctrlPr>
              <w:rPr>
                <w:rFonts w:ascii="Cambria Math" w:hAnsi="Cambria Math"/>
                <w:sz w:val="20"/>
                <w:szCs w:val="20"/>
              </w:rPr>
            </m:ctrlPr>
          </m:sSubPr>
          <m:e>
            <m:r>
              <m:rPr/>
              <w:rPr>
                <w:rFonts w:ascii="Cambria Math" w:hAnsi="Cambria Math"/>
                <w:sz w:val="20"/>
                <w:szCs w:val="20"/>
              </w:rPr>
              <m:t>L</m:t>
            </m:r>
            <m:ctrlPr>
              <w:rPr>
                <w:rFonts w:ascii="Cambria Math" w:hAnsi="Cambria Math"/>
                <w:sz w:val="20"/>
                <w:szCs w:val="20"/>
              </w:rPr>
            </m:ctrlPr>
          </m:e>
          <m:sub>
            <m:r>
              <m:rPr/>
              <w:rPr>
                <w:rFonts w:ascii="Cambria Math" w:hAnsi="Cambria Math"/>
                <w:sz w:val="20"/>
                <w:szCs w:val="20"/>
              </w:rPr>
              <m:t>4</m:t>
            </m:r>
            <m:ctrlPr>
              <w:rPr>
                <w:rFonts w:ascii="Cambria Math" w:hAnsi="Cambria Math"/>
                <w:sz w:val="20"/>
                <w:szCs w:val="20"/>
              </w:rPr>
            </m:ctrlPr>
          </m:sub>
        </m:sSub>
      </m:oMath>
      <w:r>
        <w:rPr>
          <w:rFonts w:hint="eastAsia" w:hAnsi="宋体"/>
          <w:sz w:val="20"/>
          <w:szCs w:val="20"/>
        </w:rPr>
        <w:t>—后背厚度（m）；</w:t>
      </w:r>
    </w:p>
    <w:p w14:paraId="6C3B5635">
      <w:pPr>
        <w:snapToGrid w:val="0"/>
        <w:spacing w:line="288" w:lineRule="auto"/>
        <w:ind w:firstLine="950" w:firstLineChars="475"/>
        <w:rPr>
          <w:rFonts w:hAnsi="宋体"/>
          <w:sz w:val="20"/>
          <w:szCs w:val="20"/>
        </w:rPr>
      </w:pPr>
      <m:oMath>
        <m:sSub>
          <m:sSubPr>
            <m:ctrlPr>
              <w:rPr>
                <w:rFonts w:ascii="Cambria Math" w:hAnsi="Cambria Math"/>
                <w:sz w:val="20"/>
                <w:szCs w:val="20"/>
              </w:rPr>
            </m:ctrlPr>
          </m:sSubPr>
          <m:e>
            <m:r>
              <m:rPr/>
              <w:rPr>
                <w:rFonts w:ascii="Cambria Math" w:hAnsi="Cambria Math"/>
                <w:sz w:val="20"/>
                <w:szCs w:val="20"/>
              </w:rPr>
              <m:t>L</m:t>
            </m:r>
            <m:ctrlPr>
              <w:rPr>
                <w:rFonts w:ascii="Cambria Math" w:hAnsi="Cambria Math"/>
                <w:sz w:val="20"/>
                <w:szCs w:val="20"/>
              </w:rPr>
            </m:ctrlPr>
          </m:e>
          <m:sub>
            <m:r>
              <m:rPr/>
              <w:rPr>
                <w:rFonts w:ascii="Cambria Math" w:hAnsi="Cambria Math"/>
                <w:sz w:val="20"/>
                <w:szCs w:val="20"/>
              </w:rPr>
              <m:t>5</m:t>
            </m:r>
            <m:ctrlPr>
              <w:rPr>
                <w:rFonts w:ascii="Cambria Math" w:hAnsi="Cambria Math"/>
                <w:sz w:val="20"/>
                <w:szCs w:val="20"/>
              </w:rPr>
            </m:ctrlPr>
          </m:sub>
        </m:sSub>
      </m:oMath>
      <w:r>
        <w:rPr>
          <w:rFonts w:hint="eastAsia" w:hAnsi="宋体"/>
          <w:sz w:val="20"/>
          <w:szCs w:val="20"/>
        </w:rPr>
        <w:t>—环形顶铁厚度（m）；</w:t>
      </w:r>
    </w:p>
    <w:p w14:paraId="5CAAC338">
      <w:pPr>
        <w:snapToGrid w:val="0"/>
        <w:spacing w:line="288" w:lineRule="auto"/>
        <w:ind w:firstLine="950" w:firstLineChars="475"/>
        <w:rPr>
          <w:rFonts w:hAnsi="宋体"/>
          <w:sz w:val="20"/>
          <w:szCs w:val="20"/>
        </w:rPr>
      </w:pPr>
      <m:oMath>
        <m:sSub>
          <m:sSubPr>
            <m:ctrlPr>
              <w:rPr>
                <w:rFonts w:ascii="Cambria Math" w:hAnsi="Cambria Math"/>
                <w:sz w:val="20"/>
                <w:szCs w:val="20"/>
              </w:rPr>
            </m:ctrlPr>
          </m:sSubPr>
          <m:e>
            <m:r>
              <m:rPr/>
              <w:rPr>
                <w:rFonts w:ascii="Cambria Math" w:hAnsi="Cambria Math"/>
                <w:sz w:val="20"/>
                <w:szCs w:val="20"/>
              </w:rPr>
              <m:t>S</m:t>
            </m:r>
            <m:ctrlPr>
              <w:rPr>
                <w:rFonts w:ascii="Cambria Math" w:hAnsi="Cambria Math"/>
                <w:sz w:val="20"/>
                <w:szCs w:val="20"/>
              </w:rPr>
            </m:ctrlPr>
          </m:e>
          <m:sub>
            <m:r>
              <m:rPr/>
              <w:rPr>
                <w:rFonts w:ascii="Cambria Math" w:hAnsi="Cambria Math"/>
                <w:sz w:val="20"/>
                <w:szCs w:val="20"/>
              </w:rPr>
              <m:t>1</m:t>
            </m:r>
            <m:ctrlPr>
              <w:rPr>
                <w:rFonts w:ascii="Cambria Math" w:hAnsi="Cambria Math"/>
                <w:sz w:val="20"/>
                <w:szCs w:val="20"/>
              </w:rPr>
            </m:ctrlPr>
          </m:sub>
        </m:sSub>
      </m:oMath>
      <w:r>
        <w:rPr>
          <w:rFonts w:hint="eastAsia" w:hAnsi="宋体"/>
          <w:sz w:val="20"/>
          <w:szCs w:val="20"/>
        </w:rPr>
        <w:t>—刀盘与洞口端墙间作业空间（m），一般取0.5m~0.8m；</w:t>
      </w:r>
    </w:p>
    <w:p w14:paraId="55447EE4">
      <w:pPr>
        <w:snapToGrid w:val="0"/>
        <w:spacing w:line="288" w:lineRule="auto"/>
        <w:ind w:firstLine="950" w:firstLineChars="475"/>
        <w:rPr>
          <w:rFonts w:hAnsi="宋体"/>
          <w:sz w:val="20"/>
          <w:szCs w:val="20"/>
        </w:rPr>
      </w:pPr>
      <m:oMath>
        <m:sSub>
          <m:sSubPr>
            <m:ctrlPr>
              <w:rPr>
                <w:rFonts w:ascii="Cambria Math" w:hAnsi="Cambria Math"/>
                <w:sz w:val="20"/>
                <w:szCs w:val="20"/>
              </w:rPr>
            </m:ctrlPr>
          </m:sSubPr>
          <m:e>
            <m:r>
              <m:rPr/>
              <w:rPr>
                <w:rFonts w:ascii="Cambria Math" w:hAnsi="Cambria Math"/>
                <w:sz w:val="20"/>
                <w:szCs w:val="20"/>
              </w:rPr>
              <m:t>S</m:t>
            </m:r>
            <m:ctrlPr>
              <w:rPr>
                <w:rFonts w:ascii="Cambria Math" w:hAnsi="Cambria Math"/>
                <w:sz w:val="20"/>
                <w:szCs w:val="20"/>
              </w:rPr>
            </m:ctrlPr>
          </m:e>
          <m:sub>
            <m:r>
              <m:rPr/>
              <w:rPr>
                <w:rFonts w:ascii="Cambria Math" w:hAnsi="Cambria Math"/>
                <w:sz w:val="20"/>
                <w:szCs w:val="20"/>
              </w:rPr>
              <m:t>2</m:t>
            </m:r>
            <m:ctrlPr>
              <w:rPr>
                <w:rFonts w:ascii="Cambria Math" w:hAnsi="Cambria Math"/>
                <w:sz w:val="20"/>
                <w:szCs w:val="20"/>
              </w:rPr>
            </m:ctrlPr>
          </m:sub>
        </m:sSub>
      </m:oMath>
      <w:r>
        <w:rPr>
          <w:rFonts w:hint="eastAsia" w:hAnsi="宋体"/>
          <w:sz w:val="20"/>
          <w:szCs w:val="20"/>
        </w:rPr>
        <w:t>—结构坡度及设备安装所留操作间隙（m），一般取0.2m</w:t>
      </w:r>
      <w:r>
        <w:rPr>
          <w:rFonts w:hint="eastAsia"/>
          <w:sz w:val="20"/>
          <w:szCs w:val="20"/>
        </w:rPr>
        <w:t>～</w:t>
      </w:r>
      <w:r>
        <w:rPr>
          <w:rFonts w:hint="eastAsia" w:hAnsi="宋体"/>
          <w:sz w:val="20"/>
          <w:szCs w:val="20"/>
        </w:rPr>
        <w:t>0.5m。</w:t>
      </w:r>
    </w:p>
    <w:p w14:paraId="09043FE9">
      <w:pPr>
        <w:snapToGrid w:val="0"/>
        <w:spacing w:line="288" w:lineRule="auto"/>
        <w:ind w:firstLine="350" w:firstLineChars="175"/>
        <w:rPr>
          <w:rFonts w:hAnsi="宋体"/>
          <w:b/>
          <w:bCs/>
          <w:sz w:val="20"/>
          <w:szCs w:val="20"/>
        </w:rPr>
      </w:pPr>
      <w:r>
        <w:rPr>
          <w:rFonts w:hint="eastAsia" w:hAnsi="宋体"/>
          <w:sz w:val="20"/>
          <w:szCs w:val="20"/>
        </w:rPr>
        <w:t>2 始发井的最小净长度按管节长度确定时，宜满足下式要求：</w:t>
      </w:r>
    </w:p>
    <w:p w14:paraId="09663412">
      <w:pPr>
        <w:wordWrap w:val="0"/>
        <w:adjustRightInd w:val="0"/>
        <w:snapToGrid w:val="0"/>
        <w:ind w:firstLine="300" w:firstLineChars="150"/>
        <w:jc w:val="right"/>
        <w:rPr>
          <w:sz w:val="20"/>
          <w:szCs w:val="20"/>
        </w:rPr>
      </w:pPr>
      <m:oMath>
        <m:sSub>
          <m:sSubPr>
            <m:ctrlPr>
              <w:rPr>
                <w:rFonts w:ascii="Cambria Math" w:hAnsi="Cambria Math"/>
                <w:bCs/>
                <w:sz w:val="20"/>
                <w:szCs w:val="20"/>
              </w:rPr>
            </m:ctrlPr>
          </m:sSubPr>
          <m:e>
            <m:r>
              <m:rPr/>
              <w:rPr>
                <w:rFonts w:ascii="Cambria Math" w:hAnsi="Cambria Math"/>
                <w:sz w:val="20"/>
                <w:szCs w:val="20"/>
              </w:rPr>
              <m:t>L</m:t>
            </m:r>
            <m:ctrlPr>
              <w:rPr>
                <w:rFonts w:ascii="Cambria Math" w:hAnsi="Cambria Math"/>
                <w:bCs/>
                <w:sz w:val="20"/>
                <w:szCs w:val="20"/>
              </w:rPr>
            </m:ctrlPr>
          </m:e>
          <m:sub>
            <m:r>
              <m:rPr/>
              <w:rPr>
                <w:rFonts w:ascii="Cambria Math" w:hAnsi="Cambria Math"/>
                <w:sz w:val="20"/>
                <w:szCs w:val="20"/>
              </w:rPr>
              <m:t>j</m:t>
            </m:r>
            <m:ctrlPr>
              <w:rPr>
                <w:rFonts w:ascii="Cambria Math" w:hAnsi="Cambria Math"/>
                <w:bCs/>
                <w:sz w:val="20"/>
                <w:szCs w:val="20"/>
              </w:rPr>
            </m:ctrlPr>
          </m:sub>
        </m:sSub>
        <m:r>
          <m:rPr>
            <m:sty m:val="p"/>
          </m:rPr>
          <w:rPr>
            <w:rFonts w:ascii="Cambria Math" w:hAnsi="Cambria Math"/>
            <w:sz w:val="20"/>
            <w:szCs w:val="20"/>
          </w:rPr>
          <m:t>=</m:t>
        </m:r>
        <m:sSub>
          <m:sSubPr>
            <m:ctrlPr>
              <w:rPr>
                <w:rFonts w:ascii="Cambria Math" w:hAnsi="Cambria Math"/>
                <w:bCs/>
                <w:i/>
                <w:sz w:val="20"/>
                <w:szCs w:val="20"/>
              </w:rPr>
            </m:ctrlPr>
          </m:sSubPr>
          <m:e>
            <m:r>
              <m:rPr/>
              <w:rPr>
                <w:rFonts w:ascii="Cambria Math" w:hAnsi="Cambria Math"/>
                <w:sz w:val="20"/>
                <w:szCs w:val="20"/>
              </w:rPr>
              <m:t>L</m:t>
            </m:r>
            <m:ctrlPr>
              <w:rPr>
                <w:rFonts w:ascii="Cambria Math" w:hAnsi="Cambria Math"/>
                <w:bCs/>
                <w:i/>
                <w:sz w:val="20"/>
                <w:szCs w:val="20"/>
              </w:rPr>
            </m:ctrlPr>
          </m:e>
          <m:sub>
            <m:r>
              <m:rPr/>
              <w:rPr>
                <w:rFonts w:ascii="Cambria Math" w:hAnsi="Cambria Math"/>
                <w:sz w:val="20"/>
                <w:szCs w:val="20"/>
              </w:rPr>
              <m:t>2</m:t>
            </m:r>
            <m:ctrlPr>
              <w:rPr>
                <w:rFonts w:ascii="Cambria Math" w:hAnsi="Cambria Math"/>
                <w:bCs/>
                <w:i/>
                <w:sz w:val="20"/>
                <w:szCs w:val="20"/>
              </w:rPr>
            </m:ctrlPr>
          </m:sub>
        </m:sSub>
        <m:r>
          <m:rPr>
            <m:sty m:val="p"/>
          </m:rPr>
          <w:rPr>
            <w:rFonts w:ascii="Cambria Math" w:hAnsi="Cambria Math"/>
            <w:sz w:val="20"/>
            <w:szCs w:val="20"/>
          </w:rPr>
          <m:t>+</m:t>
        </m:r>
        <m:sSub>
          <m:sSubPr>
            <m:ctrlPr>
              <w:rPr>
                <w:rFonts w:ascii="Cambria Math" w:hAnsi="Cambria Math"/>
                <w:bCs/>
                <w:i/>
                <w:sz w:val="20"/>
                <w:szCs w:val="20"/>
              </w:rPr>
            </m:ctrlPr>
          </m:sSubPr>
          <m:e>
            <m:r>
              <m:rPr/>
              <w:rPr>
                <w:rFonts w:ascii="Cambria Math" w:hAnsi="Cambria Math"/>
                <w:sz w:val="20"/>
                <w:szCs w:val="20"/>
              </w:rPr>
              <m:t>L</m:t>
            </m:r>
            <m:ctrlPr>
              <w:rPr>
                <w:rFonts w:ascii="Cambria Math" w:hAnsi="Cambria Math"/>
                <w:bCs/>
                <w:i/>
                <w:sz w:val="20"/>
                <w:szCs w:val="20"/>
              </w:rPr>
            </m:ctrlPr>
          </m:e>
          <m:sub>
            <m:r>
              <m:rPr/>
              <w:rPr>
                <w:rFonts w:ascii="Cambria Math" w:hAnsi="Cambria Math"/>
                <w:sz w:val="20"/>
                <w:szCs w:val="20"/>
              </w:rPr>
              <m:t>3</m:t>
            </m:r>
            <m:ctrlPr>
              <w:rPr>
                <w:rFonts w:ascii="Cambria Math" w:hAnsi="Cambria Math"/>
                <w:bCs/>
                <w:i/>
                <w:sz w:val="20"/>
                <w:szCs w:val="20"/>
              </w:rPr>
            </m:ctrlPr>
          </m:sub>
        </m:sSub>
        <m:r>
          <m:rPr>
            <m:sty m:val="p"/>
          </m:rPr>
          <w:rPr>
            <w:rFonts w:ascii="Cambria Math" w:hAnsi="Cambria Math"/>
            <w:sz w:val="20"/>
            <w:szCs w:val="20"/>
          </w:rPr>
          <m:t>+</m:t>
        </m:r>
        <m:sSub>
          <m:sSubPr>
            <m:ctrlPr>
              <w:rPr>
                <w:rFonts w:ascii="Cambria Math" w:hAnsi="Cambria Math"/>
                <w:bCs/>
                <w:i/>
                <w:sz w:val="20"/>
                <w:szCs w:val="20"/>
              </w:rPr>
            </m:ctrlPr>
          </m:sSubPr>
          <m:e>
            <m:r>
              <m:rPr/>
              <w:rPr>
                <w:rFonts w:ascii="Cambria Math" w:hAnsi="Cambria Math"/>
                <w:sz w:val="20"/>
                <w:szCs w:val="20"/>
              </w:rPr>
              <m:t>L</m:t>
            </m:r>
            <m:ctrlPr>
              <w:rPr>
                <w:rFonts w:ascii="Cambria Math" w:hAnsi="Cambria Math"/>
                <w:bCs/>
                <w:i/>
                <w:sz w:val="20"/>
                <w:szCs w:val="20"/>
              </w:rPr>
            </m:ctrlPr>
          </m:e>
          <m:sub>
            <m:r>
              <m:rPr/>
              <w:rPr>
                <w:rFonts w:ascii="Cambria Math" w:hAnsi="Cambria Math"/>
                <w:sz w:val="20"/>
                <w:szCs w:val="20"/>
              </w:rPr>
              <m:t>4</m:t>
            </m:r>
            <m:ctrlPr>
              <w:rPr>
                <w:rFonts w:ascii="Cambria Math" w:hAnsi="Cambria Math"/>
                <w:bCs/>
                <w:i/>
                <w:sz w:val="20"/>
                <w:szCs w:val="20"/>
              </w:rPr>
            </m:ctrlPr>
          </m:sub>
        </m:sSub>
        <m:r>
          <m:rPr>
            <m:sty m:val="p"/>
          </m:rPr>
          <w:rPr>
            <w:rFonts w:ascii="Cambria Math" w:hAnsi="Cambria Math"/>
            <w:sz w:val="20"/>
            <w:szCs w:val="20"/>
          </w:rPr>
          <m:t>+</m:t>
        </m:r>
        <m:sSub>
          <m:sSubPr>
            <m:ctrlPr>
              <w:rPr>
                <w:rFonts w:ascii="Cambria Math" w:hAnsi="Cambria Math"/>
                <w:bCs/>
                <w:i/>
                <w:sz w:val="20"/>
                <w:szCs w:val="20"/>
              </w:rPr>
            </m:ctrlPr>
          </m:sSubPr>
          <m:e>
            <m:r>
              <m:rPr/>
              <w:rPr>
                <w:rFonts w:ascii="Cambria Math" w:hAnsi="Cambria Math"/>
                <w:sz w:val="20"/>
                <w:szCs w:val="20"/>
              </w:rPr>
              <m:t>L</m:t>
            </m:r>
            <m:ctrlPr>
              <w:rPr>
                <w:rFonts w:ascii="Cambria Math" w:hAnsi="Cambria Math"/>
                <w:bCs/>
                <w:i/>
                <w:sz w:val="20"/>
                <w:szCs w:val="20"/>
              </w:rPr>
            </m:ctrlPr>
          </m:e>
          <m:sub>
            <m:r>
              <m:rPr/>
              <w:rPr>
                <w:rFonts w:ascii="Cambria Math" w:hAnsi="Cambria Math"/>
                <w:sz w:val="20"/>
                <w:szCs w:val="20"/>
              </w:rPr>
              <m:t>6</m:t>
            </m:r>
            <m:ctrlPr>
              <w:rPr>
                <w:rFonts w:ascii="Cambria Math" w:hAnsi="Cambria Math"/>
                <w:bCs/>
                <w:i/>
                <w:sz w:val="20"/>
                <w:szCs w:val="20"/>
              </w:rPr>
            </m:ctrlPr>
          </m:sub>
        </m:sSub>
        <m:r>
          <m:rPr>
            <m:sty m:val="p"/>
          </m:rPr>
          <w:rPr>
            <w:rFonts w:ascii="Cambria Math" w:hAnsi="Cambria Math"/>
            <w:sz w:val="20"/>
            <w:szCs w:val="20"/>
          </w:rPr>
          <m:t>+</m:t>
        </m:r>
        <m:sSub>
          <m:sSubPr>
            <m:ctrlPr>
              <w:rPr>
                <w:rFonts w:ascii="Cambria Math" w:hAnsi="Cambria Math"/>
                <w:bCs/>
                <w:i/>
                <w:sz w:val="20"/>
                <w:szCs w:val="20"/>
              </w:rPr>
            </m:ctrlPr>
          </m:sSubPr>
          <m:e>
            <m:r>
              <m:rPr/>
              <w:rPr>
                <w:rFonts w:ascii="Cambria Math" w:hAnsi="Cambria Math"/>
                <w:sz w:val="20"/>
                <w:szCs w:val="20"/>
              </w:rPr>
              <m:t>S</m:t>
            </m:r>
            <m:ctrlPr>
              <w:rPr>
                <w:rFonts w:ascii="Cambria Math" w:hAnsi="Cambria Math"/>
                <w:bCs/>
                <w:i/>
                <w:sz w:val="20"/>
                <w:szCs w:val="20"/>
              </w:rPr>
            </m:ctrlPr>
          </m:e>
          <m:sub>
            <m:r>
              <m:rPr/>
              <w:rPr>
                <w:rFonts w:ascii="Cambria Math" w:hAnsi="Cambria Math"/>
                <w:sz w:val="20"/>
                <w:szCs w:val="20"/>
              </w:rPr>
              <m:t>3</m:t>
            </m:r>
            <m:ctrlPr>
              <w:rPr>
                <w:rFonts w:ascii="Cambria Math" w:hAnsi="Cambria Math"/>
                <w:bCs/>
                <w:i/>
                <w:sz w:val="20"/>
                <w:szCs w:val="20"/>
              </w:rPr>
            </m:ctrlPr>
          </m:sub>
        </m:sSub>
        <m:r>
          <m:rPr>
            <m:sty m:val="p"/>
          </m:rPr>
          <w:rPr>
            <w:rFonts w:ascii="Cambria Math" w:hAnsi="Cambria Math"/>
            <w:sz w:val="20"/>
            <w:szCs w:val="20"/>
          </w:rPr>
          <m:t>+</m:t>
        </m:r>
        <m:sSub>
          <m:sSubPr>
            <m:ctrlPr>
              <w:rPr>
                <w:rFonts w:ascii="Cambria Math" w:hAnsi="Cambria Math"/>
                <w:bCs/>
                <w:i/>
                <w:sz w:val="20"/>
                <w:szCs w:val="20"/>
              </w:rPr>
            </m:ctrlPr>
          </m:sSubPr>
          <m:e>
            <m:r>
              <m:rPr/>
              <w:rPr>
                <w:rFonts w:ascii="Cambria Math" w:hAnsi="Cambria Math"/>
                <w:sz w:val="20"/>
                <w:szCs w:val="20"/>
              </w:rPr>
              <m:t>S</m:t>
            </m:r>
            <m:ctrlPr>
              <w:rPr>
                <w:rFonts w:ascii="Cambria Math" w:hAnsi="Cambria Math"/>
                <w:bCs/>
                <w:i/>
                <w:sz w:val="20"/>
                <w:szCs w:val="20"/>
              </w:rPr>
            </m:ctrlPr>
          </m:e>
          <m:sub>
            <m:r>
              <m:rPr/>
              <w:rPr>
                <w:rFonts w:ascii="Cambria Math" w:hAnsi="Cambria Math"/>
                <w:sz w:val="20"/>
                <w:szCs w:val="20"/>
              </w:rPr>
              <m:t>4</m:t>
            </m:r>
            <m:ctrlPr>
              <w:rPr>
                <w:rFonts w:ascii="Cambria Math" w:hAnsi="Cambria Math"/>
                <w:bCs/>
                <w:i/>
                <w:sz w:val="20"/>
                <w:szCs w:val="20"/>
              </w:rPr>
            </m:ctrlPr>
          </m:sub>
        </m:sSub>
      </m:oMath>
      <w:r>
        <w:rPr>
          <w:rFonts w:hint="eastAsia"/>
          <w:i/>
          <w:iCs/>
          <w:kern w:val="0"/>
          <w:sz w:val="20"/>
          <w:szCs w:val="20"/>
          <w:lang w:bidi="ar"/>
        </w:rPr>
        <w:t xml:space="preserve">                    </w:t>
      </w:r>
      <w:r>
        <w:rPr>
          <w:i/>
          <w:iCs/>
          <w:kern w:val="0"/>
          <w:sz w:val="20"/>
          <w:szCs w:val="20"/>
          <w:lang w:bidi="ar"/>
        </w:rPr>
        <w:t xml:space="preserve"> </w:t>
      </w:r>
      <w:r>
        <w:rPr>
          <w:rFonts w:hint="eastAsia" w:ascii="Calibri" w:hAnsi="Calibri" w:cs="Calibri"/>
          <w:kern w:val="0"/>
          <w:sz w:val="20"/>
          <w:szCs w:val="20"/>
          <w:lang w:bidi="ar"/>
        </w:rPr>
        <w:t>（</w:t>
      </w:r>
      <w:r>
        <w:rPr>
          <w:rFonts w:ascii="Calibri" w:hAnsi="Calibri" w:cs="Calibri"/>
          <w:kern w:val="0"/>
          <w:sz w:val="20"/>
          <w:szCs w:val="20"/>
          <w:lang w:bidi="ar"/>
        </w:rPr>
        <w:t>4.</w:t>
      </w:r>
      <w:r>
        <w:rPr>
          <w:rFonts w:hint="eastAsia" w:ascii="Calibri" w:hAnsi="Calibri" w:cs="Calibri"/>
          <w:kern w:val="0"/>
          <w:sz w:val="20"/>
          <w:szCs w:val="20"/>
          <w:lang w:bidi="ar"/>
        </w:rPr>
        <w:t>5</w:t>
      </w:r>
      <w:r>
        <w:rPr>
          <w:rFonts w:ascii="Calibri" w:hAnsi="Calibri" w:cs="Calibri"/>
          <w:kern w:val="0"/>
          <w:sz w:val="20"/>
          <w:szCs w:val="20"/>
          <w:lang w:bidi="ar"/>
        </w:rPr>
        <w:t>.</w:t>
      </w:r>
      <w:r>
        <w:rPr>
          <w:rFonts w:hint="eastAsia" w:ascii="Calibri" w:hAnsi="Calibri" w:cs="Calibri"/>
          <w:kern w:val="0"/>
          <w:sz w:val="20"/>
          <w:szCs w:val="20"/>
          <w:lang w:bidi="ar"/>
        </w:rPr>
        <w:t>3</w:t>
      </w:r>
      <w:r>
        <w:rPr>
          <w:rFonts w:ascii="Calibri" w:hAnsi="Calibri" w:cs="Calibri"/>
          <w:kern w:val="0"/>
          <w:sz w:val="20"/>
          <w:szCs w:val="20"/>
          <w:lang w:bidi="ar"/>
        </w:rPr>
        <w:t>-</w:t>
      </w:r>
      <w:r>
        <w:rPr>
          <w:rFonts w:hint="eastAsia" w:ascii="Calibri" w:hAnsi="Calibri" w:cs="Calibri"/>
          <w:kern w:val="0"/>
          <w:sz w:val="20"/>
          <w:szCs w:val="20"/>
          <w:lang w:bidi="ar"/>
        </w:rPr>
        <w:t>2）</w:t>
      </w:r>
    </w:p>
    <w:p w14:paraId="116882CB">
      <w:pPr>
        <w:snapToGrid w:val="0"/>
        <w:spacing w:line="288" w:lineRule="auto"/>
        <w:ind w:firstLine="350" w:firstLineChars="175"/>
        <w:rPr>
          <w:rFonts w:hAnsi="宋体"/>
          <w:sz w:val="20"/>
          <w:szCs w:val="20"/>
        </w:rPr>
      </w:pPr>
      <w:r>
        <w:rPr>
          <w:rFonts w:hint="eastAsia" w:hAnsi="宋体"/>
          <w:sz w:val="20"/>
          <w:szCs w:val="20"/>
        </w:rPr>
        <w:t>式中：</w:t>
      </w:r>
    </w:p>
    <w:p w14:paraId="0E9099C6">
      <w:pPr>
        <w:snapToGrid w:val="0"/>
        <w:spacing w:line="288" w:lineRule="auto"/>
        <w:ind w:firstLine="950" w:firstLineChars="475"/>
        <w:rPr>
          <w:rFonts w:hAnsi="宋体"/>
          <w:sz w:val="20"/>
          <w:szCs w:val="20"/>
        </w:rPr>
      </w:pPr>
      <m:oMath>
        <m:sSub>
          <m:sSubPr>
            <m:ctrlPr>
              <w:rPr>
                <w:rFonts w:ascii="Cambria Math" w:hAnsi="Cambria Math"/>
                <w:sz w:val="20"/>
                <w:szCs w:val="20"/>
              </w:rPr>
            </m:ctrlPr>
          </m:sSubPr>
          <m:e>
            <m:r>
              <m:rPr/>
              <w:rPr>
                <w:rFonts w:ascii="Cambria Math" w:hAnsi="Cambria Math"/>
                <w:sz w:val="20"/>
                <w:szCs w:val="20"/>
              </w:rPr>
              <m:t>L</m:t>
            </m:r>
            <m:ctrlPr>
              <w:rPr>
                <w:rFonts w:ascii="Cambria Math" w:hAnsi="Cambria Math"/>
                <w:sz w:val="20"/>
                <w:szCs w:val="20"/>
              </w:rPr>
            </m:ctrlPr>
          </m:e>
          <m:sub>
            <m:r>
              <m:rPr/>
              <w:rPr>
                <w:rFonts w:ascii="Cambria Math" w:hAnsi="Cambria Math"/>
                <w:sz w:val="20"/>
                <w:szCs w:val="20"/>
              </w:rPr>
              <m:t>j</m:t>
            </m:r>
            <m:ctrlPr>
              <w:rPr>
                <w:rFonts w:ascii="Cambria Math" w:hAnsi="Cambria Math"/>
                <w:sz w:val="20"/>
                <w:szCs w:val="20"/>
              </w:rPr>
            </m:ctrlPr>
          </m:sub>
        </m:sSub>
      </m:oMath>
      <w:r>
        <w:rPr>
          <w:rFonts w:hint="eastAsia" w:hAnsi="宋体"/>
          <w:sz w:val="20"/>
          <w:szCs w:val="20"/>
        </w:rPr>
        <w:t>—始发井的最小长度（m）；</w:t>
      </w:r>
    </w:p>
    <w:p w14:paraId="13531D8E">
      <w:pPr>
        <w:snapToGrid w:val="0"/>
        <w:spacing w:line="288" w:lineRule="auto"/>
        <w:ind w:firstLine="950" w:firstLineChars="475"/>
        <w:rPr>
          <w:rFonts w:hAnsi="宋体"/>
          <w:sz w:val="20"/>
          <w:szCs w:val="20"/>
        </w:rPr>
      </w:pPr>
      <m:oMath>
        <m:sSub>
          <m:sSubPr>
            <m:ctrlPr>
              <w:rPr>
                <w:rFonts w:ascii="Cambria Math" w:hAnsi="Cambria Math"/>
                <w:sz w:val="20"/>
                <w:szCs w:val="20"/>
              </w:rPr>
            </m:ctrlPr>
          </m:sSubPr>
          <m:e>
            <m:r>
              <m:rPr/>
              <w:rPr>
                <w:rFonts w:ascii="Cambria Math" w:hAnsi="Cambria Math"/>
                <w:sz w:val="20"/>
                <w:szCs w:val="20"/>
              </w:rPr>
              <m:t>L</m:t>
            </m:r>
            <m:ctrlPr>
              <w:rPr>
                <w:rFonts w:ascii="Cambria Math" w:hAnsi="Cambria Math"/>
                <w:sz w:val="20"/>
                <w:szCs w:val="20"/>
              </w:rPr>
            </m:ctrlPr>
          </m:e>
          <m:sub>
            <m:r>
              <m:rPr/>
              <w:rPr>
                <w:rFonts w:ascii="Cambria Math" w:hAnsi="Cambria Math"/>
                <w:sz w:val="20"/>
                <w:szCs w:val="20"/>
              </w:rPr>
              <m:t>6</m:t>
            </m:r>
            <m:ctrlPr>
              <w:rPr>
                <w:rFonts w:ascii="Cambria Math" w:hAnsi="Cambria Math"/>
                <w:sz w:val="20"/>
                <w:szCs w:val="20"/>
              </w:rPr>
            </m:ctrlPr>
          </m:sub>
        </m:sSub>
      </m:oMath>
      <w:r>
        <w:rPr>
          <w:rFonts w:hint="eastAsia" w:hAnsi="宋体"/>
          <w:sz w:val="20"/>
          <w:szCs w:val="20"/>
        </w:rPr>
        <w:t>—2.5倍管节长度（m）；</w:t>
      </w:r>
    </w:p>
    <w:p w14:paraId="3C5998B5">
      <w:pPr>
        <w:snapToGrid w:val="0"/>
        <w:spacing w:line="288" w:lineRule="auto"/>
        <w:ind w:firstLine="950" w:firstLineChars="475"/>
        <w:rPr>
          <w:rFonts w:hAnsi="宋体"/>
          <w:sz w:val="20"/>
          <w:szCs w:val="20"/>
        </w:rPr>
      </w:pPr>
      <m:oMath>
        <m:sSub>
          <m:sSubPr>
            <m:ctrlPr>
              <w:rPr>
                <w:rFonts w:ascii="Cambria Math" w:hAnsi="Cambria Math"/>
                <w:sz w:val="20"/>
                <w:szCs w:val="20"/>
              </w:rPr>
            </m:ctrlPr>
          </m:sSubPr>
          <m:e>
            <m:r>
              <m:rPr/>
              <w:rPr>
                <w:rFonts w:ascii="Cambria Math" w:hAnsi="Cambria Math"/>
                <w:sz w:val="20"/>
                <w:szCs w:val="20"/>
              </w:rPr>
              <m:t>S</m:t>
            </m:r>
            <m:ctrlPr>
              <w:rPr>
                <w:rFonts w:ascii="Cambria Math" w:hAnsi="Cambria Math"/>
                <w:sz w:val="20"/>
                <w:szCs w:val="20"/>
              </w:rPr>
            </m:ctrlPr>
          </m:e>
          <m:sub>
            <m:r>
              <m:rPr/>
              <w:rPr>
                <w:rFonts w:ascii="Cambria Math" w:hAnsi="Cambria Math"/>
                <w:sz w:val="20"/>
                <w:szCs w:val="20"/>
              </w:rPr>
              <m:t>3</m:t>
            </m:r>
            <m:ctrlPr>
              <w:rPr>
                <w:rFonts w:ascii="Cambria Math" w:hAnsi="Cambria Math"/>
                <w:sz w:val="20"/>
                <w:szCs w:val="20"/>
              </w:rPr>
            </m:ctrlPr>
          </m:sub>
        </m:sSub>
      </m:oMath>
      <w:r>
        <w:rPr>
          <w:rFonts w:hint="eastAsia" w:hAnsi="宋体"/>
          <w:sz w:val="20"/>
          <w:szCs w:val="20"/>
        </w:rPr>
        <w:t>—顶入管节留在导轨上的最小长度（m），根据防止退孔位置确定；</w:t>
      </w:r>
    </w:p>
    <w:p w14:paraId="58E84424">
      <w:pPr>
        <w:snapToGrid w:val="0"/>
        <w:spacing w:line="288" w:lineRule="auto"/>
        <w:ind w:firstLine="950" w:firstLineChars="475"/>
        <w:rPr>
          <w:rFonts w:hAnsi="宋体"/>
          <w:sz w:val="20"/>
          <w:szCs w:val="20"/>
        </w:rPr>
      </w:pPr>
      <m:oMath>
        <m:sSub>
          <m:sSubPr>
            <m:ctrlPr>
              <w:rPr>
                <w:rFonts w:ascii="Cambria Math" w:hAnsi="Cambria Math"/>
                <w:sz w:val="20"/>
                <w:szCs w:val="20"/>
              </w:rPr>
            </m:ctrlPr>
          </m:sSubPr>
          <m:e>
            <m:r>
              <m:rPr/>
              <w:rPr>
                <w:rFonts w:ascii="Cambria Math" w:hAnsi="Cambria Math"/>
                <w:sz w:val="20"/>
                <w:szCs w:val="20"/>
              </w:rPr>
              <m:t>S</m:t>
            </m:r>
            <m:ctrlPr>
              <w:rPr>
                <w:rFonts w:ascii="Cambria Math" w:hAnsi="Cambria Math"/>
                <w:sz w:val="20"/>
                <w:szCs w:val="20"/>
              </w:rPr>
            </m:ctrlPr>
          </m:e>
          <m:sub>
            <m:r>
              <m:rPr/>
              <w:rPr>
                <w:rFonts w:ascii="Cambria Math" w:hAnsi="Cambria Math"/>
                <w:sz w:val="20"/>
                <w:szCs w:val="20"/>
              </w:rPr>
              <m:t>4</m:t>
            </m:r>
            <m:ctrlPr>
              <w:rPr>
                <w:rFonts w:ascii="Cambria Math" w:hAnsi="Cambria Math"/>
                <w:sz w:val="20"/>
                <w:szCs w:val="20"/>
              </w:rPr>
            </m:ctrlPr>
          </m:sub>
        </m:sSub>
      </m:oMath>
      <w:r>
        <w:rPr>
          <w:rFonts w:hint="eastAsia" w:hAnsi="宋体"/>
          <w:sz w:val="20"/>
          <w:szCs w:val="20"/>
        </w:rPr>
        <w:t>—管节重心不对称、结构坡度及便于安装管节所留附加间隙（m），一般取0.2m</w:t>
      </w:r>
      <w:r>
        <w:rPr>
          <w:rFonts w:hint="eastAsia"/>
          <w:sz w:val="20"/>
          <w:szCs w:val="20"/>
        </w:rPr>
        <w:t>～</w:t>
      </w:r>
      <w:r>
        <w:rPr>
          <w:rFonts w:hint="eastAsia" w:hAnsi="宋体"/>
          <w:sz w:val="20"/>
          <w:szCs w:val="20"/>
        </w:rPr>
        <w:t>0.5m。</w:t>
      </w:r>
    </w:p>
    <w:p w14:paraId="08D620AF">
      <w:pPr>
        <w:snapToGrid w:val="0"/>
        <w:spacing w:line="288" w:lineRule="auto"/>
        <w:ind w:firstLine="350" w:firstLineChars="175"/>
        <w:rPr>
          <w:rFonts w:hAnsi="宋体"/>
          <w:sz w:val="20"/>
          <w:szCs w:val="20"/>
        </w:rPr>
      </w:pPr>
      <w:r>
        <w:rPr>
          <w:rFonts w:hint="eastAsia" w:ascii="Calibri" w:hAnsi="Calibri" w:cs="Calibri"/>
          <w:b/>
          <w:bCs/>
          <w:kern w:val="0"/>
          <w:sz w:val="20"/>
          <w:szCs w:val="20"/>
          <w:lang w:bidi="ar"/>
        </w:rPr>
        <w:t xml:space="preserve">3 </w:t>
      </w:r>
      <w:r>
        <w:rPr>
          <w:rFonts w:hint="eastAsia" w:hAnsi="宋体"/>
          <w:sz w:val="20"/>
          <w:szCs w:val="20"/>
        </w:rPr>
        <w:t>始发井的最小净长度应按本条第1款和第2款两种方法计算结果取大值。</w:t>
      </w:r>
    </w:p>
    <w:p w14:paraId="1B56F06E">
      <w:pPr>
        <w:snapToGrid w:val="0"/>
        <w:spacing w:line="288" w:lineRule="auto"/>
        <w:ind w:firstLine="350" w:firstLineChars="175"/>
        <w:rPr>
          <w:sz w:val="20"/>
          <w:szCs w:val="20"/>
        </w:rPr>
      </w:pPr>
      <w:r>
        <w:rPr>
          <w:rFonts w:hint="eastAsia" w:ascii="Calibri" w:hAnsi="Calibri" w:cs="Calibri"/>
          <w:b/>
          <w:bCs/>
          <w:kern w:val="0"/>
          <w:sz w:val="20"/>
          <w:szCs w:val="20"/>
          <w:lang w:bidi="ar"/>
        </w:rPr>
        <w:t xml:space="preserve">4 </w:t>
      </w:r>
      <w:r>
        <w:rPr>
          <w:rFonts w:hint="eastAsia" w:hAnsi="宋体"/>
          <w:sz w:val="20"/>
          <w:szCs w:val="20"/>
        </w:rPr>
        <w:t>工作</w:t>
      </w:r>
      <w:r>
        <w:rPr>
          <w:rFonts w:hint="eastAsia" w:ascii="宋体" w:hAnsi="宋体" w:cs="宋体"/>
          <w:kern w:val="0"/>
          <w:sz w:val="20"/>
          <w:szCs w:val="20"/>
          <w:lang w:bidi="ar"/>
        </w:rPr>
        <w:t>井的最小净宽度可按下式计算：</w:t>
      </w:r>
    </w:p>
    <w:p w14:paraId="40B9985C">
      <w:pPr>
        <w:wordWrap w:val="0"/>
        <w:snapToGrid w:val="0"/>
        <w:ind w:firstLine="300" w:firstLineChars="150"/>
        <w:jc w:val="right"/>
        <w:rPr>
          <w:iCs/>
          <w:kern w:val="0"/>
          <w:sz w:val="20"/>
          <w:szCs w:val="20"/>
          <w:lang w:bidi="ar"/>
        </w:rPr>
      </w:pPr>
      <m:oMath>
        <m:r>
          <m:rPr/>
          <w:rPr>
            <w:rFonts w:ascii="Cambria Math" w:hAnsi="Cambria Math"/>
            <w:kern w:val="0"/>
            <w:sz w:val="20"/>
            <w:szCs w:val="20"/>
          </w:rPr>
          <m:t>b</m:t>
        </m:r>
        <m:r>
          <m:rPr>
            <m:sty m:val="p"/>
          </m:rPr>
          <w:rPr>
            <w:rFonts w:ascii="Cambria Math" w:hAnsi="Cambria Math"/>
            <w:kern w:val="0"/>
            <w:sz w:val="20"/>
            <w:szCs w:val="20"/>
          </w:rPr>
          <m:t>=</m:t>
        </m:r>
        <m:r>
          <m:rPr/>
          <w:rPr>
            <w:rFonts w:ascii="Cambria Math" w:hAnsi="Cambria Math"/>
            <w:kern w:val="0"/>
            <w:sz w:val="20"/>
            <w:szCs w:val="20"/>
          </w:rPr>
          <m:t>B</m:t>
        </m:r>
        <m:r>
          <m:rPr>
            <m:sty m:val="p"/>
          </m:rPr>
          <w:rPr>
            <w:rFonts w:ascii="Cambria Math" w:hAnsi="Cambria Math"/>
            <w:kern w:val="0"/>
            <w:sz w:val="20"/>
            <w:szCs w:val="20"/>
          </w:rPr>
          <m:t>+2</m:t>
        </m:r>
        <m:r>
          <m:rPr/>
          <w:rPr>
            <w:rFonts w:ascii="Cambria Math" w:hAnsi="Cambria Math"/>
            <w:kern w:val="0"/>
            <w:sz w:val="20"/>
            <w:szCs w:val="20"/>
          </w:rPr>
          <m:t>S</m:t>
        </m:r>
      </m:oMath>
      <w:r>
        <w:rPr>
          <w:rFonts w:hint="eastAsia" w:ascii="Calibri" w:hAnsi="Calibri" w:cs="Calibri"/>
          <w:iCs/>
          <w:kern w:val="0"/>
          <w:sz w:val="20"/>
          <w:szCs w:val="20"/>
          <w:lang w:bidi="ar"/>
        </w:rPr>
        <w:t xml:space="preserve">                              （</w:t>
      </w:r>
      <w:r>
        <w:rPr>
          <w:rFonts w:ascii="Calibri" w:hAnsi="Calibri" w:cs="Calibri"/>
          <w:kern w:val="0"/>
          <w:sz w:val="20"/>
          <w:szCs w:val="20"/>
          <w:lang w:bidi="ar"/>
        </w:rPr>
        <w:t>4.</w:t>
      </w:r>
      <w:r>
        <w:rPr>
          <w:rFonts w:hint="eastAsia" w:ascii="Calibri" w:hAnsi="Calibri" w:cs="Calibri"/>
          <w:kern w:val="0"/>
          <w:sz w:val="20"/>
          <w:szCs w:val="20"/>
          <w:lang w:bidi="ar"/>
        </w:rPr>
        <w:t>5</w:t>
      </w:r>
      <w:r>
        <w:rPr>
          <w:rFonts w:ascii="Calibri" w:hAnsi="Calibri" w:cs="Calibri"/>
          <w:kern w:val="0"/>
          <w:sz w:val="20"/>
          <w:szCs w:val="20"/>
          <w:lang w:bidi="ar"/>
        </w:rPr>
        <w:t>.2-</w:t>
      </w:r>
      <w:r>
        <w:rPr>
          <w:rFonts w:hint="eastAsia" w:ascii="Calibri" w:hAnsi="Calibri" w:cs="Calibri"/>
          <w:kern w:val="0"/>
          <w:sz w:val="20"/>
          <w:szCs w:val="20"/>
          <w:lang w:bidi="ar"/>
        </w:rPr>
        <w:t>3）</w:t>
      </w:r>
    </w:p>
    <w:p w14:paraId="73E3A0D3">
      <w:pPr>
        <w:adjustRightInd w:val="0"/>
        <w:snapToGrid w:val="0"/>
        <w:spacing w:line="360" w:lineRule="auto"/>
        <w:ind w:firstLine="300" w:firstLineChars="150"/>
        <w:rPr>
          <w:rFonts w:ascii="宋体" w:hAnsi="宋体" w:cs="宋体"/>
          <w:kern w:val="0"/>
          <w:sz w:val="20"/>
          <w:szCs w:val="20"/>
          <w:lang w:bidi="ar"/>
        </w:rPr>
      </w:pPr>
      <w:r>
        <w:rPr>
          <w:rFonts w:hint="eastAsia" w:ascii="宋体" w:hAnsi="宋体" w:cs="宋体"/>
          <w:kern w:val="0"/>
          <w:sz w:val="20"/>
          <w:szCs w:val="20"/>
          <w:lang w:bidi="ar"/>
        </w:rPr>
        <w:t xml:space="preserve">式中： </w:t>
      </w:r>
    </w:p>
    <w:p w14:paraId="2232B832">
      <w:pPr>
        <w:adjustRightInd w:val="0"/>
        <w:snapToGrid w:val="0"/>
        <w:spacing w:line="360" w:lineRule="auto"/>
        <w:ind w:left="630" w:leftChars="300" w:firstLine="900" w:firstLineChars="450"/>
        <w:rPr>
          <w:rFonts w:ascii="宋体" w:hAnsi="宋体" w:cs="宋体"/>
          <w:kern w:val="0"/>
          <w:sz w:val="20"/>
          <w:szCs w:val="20"/>
          <w:lang w:bidi="ar"/>
        </w:rPr>
      </w:pPr>
      <m:oMath>
        <m:r>
          <m:rPr/>
          <w:rPr>
            <w:rFonts w:ascii="Cambria Math" w:hAnsi="Cambria Math"/>
            <w:kern w:val="0"/>
            <w:sz w:val="20"/>
            <w:szCs w:val="20"/>
          </w:rPr>
          <m:t>b</m:t>
        </m:r>
      </m:oMath>
      <w:r>
        <w:rPr>
          <w:rFonts w:hint="eastAsia" w:ascii="宋体" w:hAnsi="宋体" w:cs="宋体"/>
          <w:kern w:val="0"/>
          <w:sz w:val="20"/>
          <w:szCs w:val="20"/>
          <w:lang w:bidi="ar"/>
        </w:rPr>
        <w:t>—工作井的最小宽度（</w:t>
      </w:r>
      <w:r>
        <w:rPr>
          <w:rFonts w:ascii="Calibri" w:hAnsi="Calibri" w:cs="Calibri"/>
          <w:kern w:val="0"/>
          <w:sz w:val="20"/>
          <w:szCs w:val="20"/>
          <w:lang w:bidi="ar"/>
        </w:rPr>
        <w:t>m</w:t>
      </w:r>
      <w:r>
        <w:rPr>
          <w:rFonts w:hint="eastAsia" w:ascii="宋体" w:hAnsi="宋体" w:cs="宋体"/>
          <w:kern w:val="0"/>
          <w:sz w:val="20"/>
          <w:szCs w:val="20"/>
          <w:lang w:bidi="ar"/>
        </w:rPr>
        <w:t>）；</w:t>
      </w:r>
    </w:p>
    <w:p w14:paraId="7015E881">
      <w:pPr>
        <w:adjustRightInd w:val="0"/>
        <w:snapToGrid w:val="0"/>
        <w:spacing w:line="360" w:lineRule="auto"/>
        <w:ind w:left="630" w:leftChars="300" w:firstLine="900" w:firstLineChars="450"/>
        <w:rPr>
          <w:sz w:val="20"/>
          <w:szCs w:val="20"/>
        </w:rPr>
      </w:pPr>
      <m:oMath>
        <m:r>
          <m:rPr/>
          <w:rPr>
            <w:rFonts w:ascii="Cambria Math" w:hAnsi="Cambria Math"/>
            <w:kern w:val="0"/>
            <w:sz w:val="20"/>
            <w:szCs w:val="20"/>
          </w:rPr>
          <m:t>B</m:t>
        </m:r>
      </m:oMath>
      <w:r>
        <w:rPr>
          <w:rFonts w:hint="eastAsia" w:ascii="宋体" w:hAnsi="宋体" w:cs="宋体"/>
          <w:kern w:val="0"/>
          <w:sz w:val="20"/>
          <w:szCs w:val="20"/>
          <w:lang w:bidi="ar"/>
        </w:rPr>
        <w:t>—管节宽度（m）；</w:t>
      </w:r>
    </w:p>
    <w:p w14:paraId="742E1AF1">
      <w:pPr>
        <w:adjustRightInd w:val="0"/>
        <w:snapToGrid w:val="0"/>
        <w:spacing w:line="360" w:lineRule="auto"/>
        <w:ind w:left="630" w:leftChars="300" w:firstLine="900" w:firstLineChars="450"/>
        <w:rPr>
          <w:sz w:val="20"/>
          <w:szCs w:val="20"/>
        </w:rPr>
      </w:pPr>
      <m:oMath>
        <m:r>
          <m:rPr/>
          <w:rPr>
            <w:rFonts w:ascii="Cambria Math" w:hAnsi="Cambria Math"/>
            <w:kern w:val="0"/>
            <w:sz w:val="20"/>
            <w:szCs w:val="20"/>
          </w:rPr>
          <m:t>S</m:t>
        </m:r>
      </m:oMath>
      <w:r>
        <w:rPr>
          <w:rFonts w:hint="eastAsia" w:ascii="宋体" w:hAnsi="宋体" w:cs="宋体"/>
          <w:kern w:val="0"/>
          <w:sz w:val="20"/>
          <w:szCs w:val="20"/>
          <w:lang w:bidi="ar"/>
        </w:rPr>
        <w:t>—施工操作空间，可取</w:t>
      </w:r>
      <w:r>
        <w:rPr>
          <w:kern w:val="0"/>
          <w:sz w:val="20"/>
          <w:szCs w:val="20"/>
          <w:lang w:bidi="ar"/>
        </w:rPr>
        <w:t>1.0m</w:t>
      </w:r>
      <w:r>
        <w:rPr>
          <w:rFonts w:hint="eastAsia" w:ascii="宋体" w:hAnsi="宋体" w:cs="宋体"/>
          <w:kern w:val="0"/>
          <w:sz w:val="20"/>
          <w:szCs w:val="20"/>
          <w:lang w:bidi="ar"/>
        </w:rPr>
        <w:t>～</w:t>
      </w:r>
      <w:r>
        <w:rPr>
          <w:kern w:val="0"/>
          <w:sz w:val="20"/>
          <w:szCs w:val="20"/>
          <w:lang w:bidi="ar"/>
        </w:rPr>
        <w:t>1.5m</w:t>
      </w:r>
      <w:r>
        <w:rPr>
          <w:rFonts w:hint="eastAsia" w:ascii="宋体" w:hAnsi="宋体" w:cs="宋体"/>
          <w:kern w:val="0"/>
          <w:sz w:val="20"/>
          <w:szCs w:val="20"/>
          <w:lang w:bidi="ar"/>
        </w:rPr>
        <w:t xml:space="preserve">，浅工作井取小值，深工作井取大值。 </w:t>
      </w:r>
    </w:p>
    <w:p w14:paraId="3722A7F6">
      <w:pPr>
        <w:snapToGrid w:val="0"/>
        <w:spacing w:line="288" w:lineRule="auto"/>
        <w:ind w:firstLine="350" w:firstLineChars="175"/>
        <w:rPr>
          <w:i/>
          <w:iCs/>
          <w:kern w:val="0"/>
          <w:sz w:val="20"/>
          <w:szCs w:val="20"/>
          <w:lang w:bidi="ar"/>
        </w:rPr>
      </w:pPr>
      <w:r>
        <w:rPr>
          <w:rFonts w:hint="eastAsia" w:ascii="Calibri" w:hAnsi="Calibri" w:cs="Calibri"/>
          <w:b/>
          <w:bCs/>
          <w:kern w:val="0"/>
          <w:sz w:val="20"/>
          <w:szCs w:val="20"/>
          <w:lang w:bidi="ar"/>
        </w:rPr>
        <w:t xml:space="preserve">5 </w:t>
      </w:r>
      <w:r>
        <w:rPr>
          <w:rFonts w:hint="eastAsia" w:hAnsi="宋体"/>
          <w:sz w:val="20"/>
          <w:szCs w:val="20"/>
        </w:rPr>
        <w:t>工作</w:t>
      </w:r>
      <w:r>
        <w:rPr>
          <w:rFonts w:hint="eastAsia" w:ascii="宋体" w:hAnsi="宋体" w:cs="宋体"/>
          <w:kern w:val="0"/>
          <w:sz w:val="20"/>
          <w:szCs w:val="20"/>
          <w:lang w:bidi="ar"/>
        </w:rPr>
        <w:t>井底板面与洞口钢环内底高差不宜小于</w:t>
      </w:r>
      <w:r>
        <w:rPr>
          <w:kern w:val="0"/>
          <w:sz w:val="20"/>
          <w:szCs w:val="20"/>
          <w:lang w:bidi="ar"/>
        </w:rPr>
        <w:t>0.</w:t>
      </w:r>
      <w:r>
        <w:rPr>
          <w:rFonts w:hint="eastAsia"/>
          <w:kern w:val="0"/>
          <w:sz w:val="20"/>
          <w:szCs w:val="20"/>
          <w:lang w:bidi="ar"/>
        </w:rPr>
        <w:t>8</w:t>
      </w:r>
      <w:r>
        <w:rPr>
          <w:i/>
          <w:iCs/>
          <w:kern w:val="0"/>
          <w:sz w:val="20"/>
          <w:szCs w:val="20"/>
          <w:lang w:bidi="ar"/>
        </w:rPr>
        <w:t>m</w:t>
      </w:r>
      <w:r>
        <w:rPr>
          <w:rFonts w:hint="eastAsia"/>
          <w:i/>
          <w:iCs/>
          <w:kern w:val="0"/>
          <w:sz w:val="20"/>
          <w:szCs w:val="20"/>
          <w:lang w:bidi="ar"/>
        </w:rPr>
        <w:t>，</w:t>
      </w:r>
      <w:r>
        <w:rPr>
          <w:rFonts w:hint="eastAsia" w:ascii="宋体" w:hAnsi="宋体" w:cs="宋体"/>
          <w:kern w:val="0"/>
          <w:sz w:val="20"/>
          <w:szCs w:val="20"/>
          <w:lang w:bidi="ar"/>
        </w:rPr>
        <w:t>或在洞口前预留检查槽</w:t>
      </w:r>
      <w:r>
        <w:rPr>
          <w:rFonts w:hint="eastAsia"/>
          <w:i/>
          <w:iCs/>
          <w:kern w:val="0"/>
          <w:sz w:val="20"/>
          <w:szCs w:val="20"/>
          <w:lang w:bidi="ar"/>
        </w:rPr>
        <w:t>。</w:t>
      </w:r>
    </w:p>
    <w:p w14:paraId="24DCD247">
      <w:pPr>
        <w:snapToGrid w:val="0"/>
        <w:spacing w:line="288" w:lineRule="auto"/>
        <w:ind w:firstLine="350" w:firstLineChars="175"/>
        <w:rPr>
          <w:sz w:val="20"/>
          <w:szCs w:val="20"/>
        </w:rPr>
      </w:pPr>
      <w:r>
        <w:rPr>
          <w:rFonts w:hint="eastAsia"/>
          <w:b/>
          <w:bCs/>
          <w:sz w:val="20"/>
          <w:szCs w:val="20"/>
        </w:rPr>
        <w:t>6</w:t>
      </w:r>
      <w:r>
        <w:rPr>
          <w:rFonts w:hint="eastAsia"/>
          <w:sz w:val="20"/>
          <w:szCs w:val="20"/>
        </w:rPr>
        <w:t xml:space="preserve"> 接收井的</w:t>
      </w:r>
      <w:r>
        <w:rPr>
          <w:rFonts w:hint="eastAsia" w:hAnsi="宋体"/>
          <w:sz w:val="20"/>
          <w:szCs w:val="20"/>
        </w:rPr>
        <w:t>最小</w:t>
      </w:r>
      <w:r>
        <w:rPr>
          <w:rFonts w:hint="eastAsia"/>
          <w:sz w:val="20"/>
          <w:szCs w:val="20"/>
        </w:rPr>
        <w:t xml:space="preserve">净长度应满足矩形顶管机在井内拆除和吊出要求，不宜小于顶管机长度。 </w:t>
      </w:r>
    </w:p>
    <w:p w14:paraId="1BD89AF1">
      <w:pPr>
        <w:snapToGrid w:val="0"/>
        <w:spacing w:line="288" w:lineRule="auto"/>
        <w:ind w:firstLine="350" w:firstLineChars="175"/>
        <w:rPr>
          <w:sz w:val="20"/>
          <w:szCs w:val="20"/>
        </w:rPr>
      </w:pPr>
      <w:r>
        <w:rPr>
          <w:rFonts w:hint="eastAsia"/>
          <w:b/>
          <w:bCs/>
          <w:sz w:val="20"/>
          <w:szCs w:val="20"/>
        </w:rPr>
        <w:t>7</w:t>
      </w:r>
      <w:r>
        <w:rPr>
          <w:rFonts w:hint="eastAsia"/>
          <w:sz w:val="20"/>
          <w:szCs w:val="20"/>
        </w:rPr>
        <w:t xml:space="preserve"> 接收井的</w:t>
      </w:r>
      <w:r>
        <w:rPr>
          <w:rFonts w:hint="eastAsia" w:hAnsi="宋体"/>
          <w:sz w:val="20"/>
          <w:szCs w:val="20"/>
        </w:rPr>
        <w:t>最小</w:t>
      </w:r>
      <w:r>
        <w:rPr>
          <w:rFonts w:hint="eastAsia"/>
          <w:sz w:val="20"/>
          <w:szCs w:val="20"/>
        </w:rPr>
        <w:t>宽度应满足矩形顶管机宽度及两侧的施工作业空间要求，每侧不宜小于1.0</w:t>
      </w:r>
      <w:r>
        <w:rPr>
          <w:sz w:val="20"/>
          <w:szCs w:val="20"/>
        </w:rPr>
        <w:t>m</w:t>
      </w:r>
      <w:r>
        <w:rPr>
          <w:rFonts w:hint="eastAsia"/>
          <w:sz w:val="20"/>
          <w:szCs w:val="20"/>
        </w:rPr>
        <w:t xml:space="preserve">。 </w:t>
      </w:r>
    </w:p>
    <w:p w14:paraId="718C192A">
      <w:pPr>
        <w:snapToGrid w:val="0"/>
        <w:spacing w:line="288" w:lineRule="auto"/>
        <w:ind w:firstLine="350" w:firstLineChars="175"/>
        <w:rPr>
          <w:sz w:val="20"/>
          <w:szCs w:val="20"/>
        </w:rPr>
      </w:pPr>
      <w:r>
        <w:rPr>
          <w:rFonts w:hint="eastAsia" w:hAnsi="宋体"/>
          <w:b/>
          <w:bCs/>
          <w:sz w:val="20"/>
          <w:szCs w:val="20"/>
        </w:rPr>
        <w:t>8</w:t>
      </w:r>
      <w:r>
        <w:rPr>
          <w:rFonts w:hAnsi="宋体"/>
          <w:b/>
          <w:bCs/>
          <w:sz w:val="20"/>
          <w:szCs w:val="20"/>
        </w:rPr>
        <w:t xml:space="preserve"> </w:t>
      </w:r>
      <w:r>
        <w:rPr>
          <w:rFonts w:hint="eastAsia"/>
          <w:sz w:val="20"/>
          <w:szCs w:val="20"/>
        </w:rPr>
        <w:t>净尺寸应</w:t>
      </w:r>
      <w:r>
        <w:rPr>
          <w:rFonts w:hint="eastAsia" w:hAnsi="宋体"/>
          <w:sz w:val="20"/>
          <w:szCs w:val="20"/>
        </w:rPr>
        <w:t>考虑</w:t>
      </w:r>
      <w:r>
        <w:rPr>
          <w:rFonts w:hint="eastAsia"/>
          <w:sz w:val="20"/>
          <w:szCs w:val="20"/>
        </w:rPr>
        <w:t>腰梁内支撑对设备安装及拆解的影响。</w:t>
      </w:r>
    </w:p>
    <w:p w14:paraId="0ACBDC7D">
      <w:pPr>
        <w:snapToGrid w:val="0"/>
        <w:spacing w:line="288" w:lineRule="auto"/>
        <w:outlineLvl w:val="2"/>
        <w:rPr>
          <w:rFonts w:hAnsi="宋体"/>
          <w:sz w:val="20"/>
          <w:szCs w:val="20"/>
        </w:rPr>
      </w:pPr>
      <w:r>
        <w:rPr>
          <w:b/>
          <w:bCs/>
          <w:sz w:val="20"/>
          <w:szCs w:val="20"/>
        </w:rPr>
        <w:t>4.5.4</w:t>
      </w:r>
      <w:r>
        <w:rPr>
          <w:rFonts w:hint="eastAsia"/>
          <w:b/>
          <w:bCs/>
          <w:sz w:val="20"/>
          <w:szCs w:val="20"/>
        </w:rPr>
        <w:t xml:space="preserve">  </w:t>
      </w:r>
      <w:r>
        <w:rPr>
          <w:rFonts w:hint="eastAsia"/>
          <w:sz w:val="20"/>
          <w:szCs w:val="20"/>
        </w:rPr>
        <w:t>矩形顶管预留洞口应符合设计要求</w:t>
      </w:r>
      <w:r>
        <w:rPr>
          <w:rFonts w:hint="eastAsia" w:hAnsi="宋体"/>
          <w:sz w:val="20"/>
          <w:szCs w:val="20"/>
        </w:rPr>
        <w:t>。</w:t>
      </w:r>
    </w:p>
    <w:p w14:paraId="0BD0A8CE">
      <w:pPr>
        <w:snapToGrid w:val="0"/>
        <w:spacing w:line="288" w:lineRule="auto"/>
        <w:outlineLvl w:val="2"/>
        <w:rPr>
          <w:rFonts w:hAnsi="宋体"/>
          <w:sz w:val="20"/>
          <w:szCs w:val="20"/>
        </w:rPr>
      </w:pPr>
      <w:r>
        <w:rPr>
          <w:rFonts w:hAnsi="宋体"/>
          <w:b/>
          <w:sz w:val="20"/>
          <w:szCs w:val="20"/>
        </w:rPr>
        <w:t xml:space="preserve">4.5.5  </w:t>
      </w:r>
      <w:r>
        <w:rPr>
          <w:rFonts w:hint="eastAsia"/>
          <w:sz w:val="20"/>
          <w:szCs w:val="20"/>
        </w:rPr>
        <w:t>洞口土体加固应符合下列规定</w:t>
      </w:r>
      <w:r>
        <w:rPr>
          <w:rFonts w:hint="eastAsia" w:hAnsi="宋体"/>
          <w:sz w:val="20"/>
          <w:szCs w:val="20"/>
        </w:rPr>
        <w:t>：</w:t>
      </w:r>
    </w:p>
    <w:p w14:paraId="717BB643">
      <w:pPr>
        <w:snapToGrid w:val="0"/>
        <w:spacing w:line="288" w:lineRule="auto"/>
        <w:ind w:firstLine="350" w:firstLineChars="175"/>
        <w:rPr>
          <w:rFonts w:hAnsi="宋体"/>
          <w:sz w:val="20"/>
          <w:szCs w:val="20"/>
        </w:rPr>
      </w:pPr>
      <w:r>
        <w:rPr>
          <w:rFonts w:hAnsi="宋体"/>
          <w:b/>
          <w:sz w:val="20"/>
          <w:szCs w:val="20"/>
        </w:rPr>
        <w:t>1</w:t>
      </w:r>
      <w:r>
        <w:rPr>
          <w:rFonts w:hAnsi="宋体"/>
          <w:sz w:val="20"/>
          <w:szCs w:val="20"/>
        </w:rPr>
        <w:t xml:space="preserve"> </w:t>
      </w:r>
      <w:r>
        <w:rPr>
          <w:rFonts w:hint="eastAsia" w:hAnsi="宋体"/>
          <w:sz w:val="20"/>
          <w:szCs w:val="20"/>
        </w:rPr>
        <w:t>洞口土体加固应根据地质资料、顶管机尺寸、埋深和周围环境等情况决定，土体加固可采用注浆加固、水泥土搅拌桩、高压旋喷桩等形式；</w:t>
      </w:r>
    </w:p>
    <w:p w14:paraId="0C360FB0">
      <w:pPr>
        <w:snapToGrid w:val="0"/>
        <w:spacing w:line="288" w:lineRule="auto"/>
        <w:ind w:firstLine="350" w:firstLineChars="175"/>
        <w:rPr>
          <w:rFonts w:hAnsi="宋体"/>
          <w:strike/>
          <w:sz w:val="20"/>
          <w:szCs w:val="20"/>
        </w:rPr>
      </w:pPr>
      <w:r>
        <w:rPr>
          <w:rFonts w:hAnsi="宋体"/>
          <w:b/>
          <w:sz w:val="20"/>
          <w:szCs w:val="20"/>
        </w:rPr>
        <w:t>2</w:t>
      </w:r>
      <w:r>
        <w:rPr>
          <w:rFonts w:hint="eastAsia" w:hAnsi="宋体"/>
          <w:sz w:val="20"/>
          <w:szCs w:val="20"/>
        </w:rPr>
        <w:t xml:space="preserve"> 洞口加固范围应符合设计要求；</w:t>
      </w:r>
    </w:p>
    <w:p w14:paraId="06732F49">
      <w:pPr>
        <w:snapToGrid w:val="0"/>
        <w:spacing w:line="288" w:lineRule="auto"/>
        <w:ind w:firstLine="350" w:firstLineChars="175"/>
        <w:rPr>
          <w:rFonts w:hAnsi="宋体"/>
          <w:sz w:val="20"/>
          <w:szCs w:val="20"/>
        </w:rPr>
      </w:pPr>
      <w:r>
        <w:rPr>
          <w:rFonts w:hAnsi="宋体"/>
          <w:b/>
          <w:sz w:val="20"/>
          <w:szCs w:val="20"/>
        </w:rPr>
        <w:t>3</w:t>
      </w:r>
      <w:r>
        <w:rPr>
          <w:rFonts w:hAnsi="宋体"/>
          <w:sz w:val="20"/>
          <w:szCs w:val="20"/>
        </w:rPr>
        <w:t xml:space="preserve"> </w:t>
      </w:r>
      <w:r>
        <w:rPr>
          <w:rFonts w:hint="eastAsia" w:hAnsi="宋体"/>
          <w:sz w:val="20"/>
          <w:szCs w:val="20"/>
        </w:rPr>
        <w:t>应对加固体的强度、均匀性和防渗漏性能进行检测，可采用钻芯取样方式检验；</w:t>
      </w:r>
    </w:p>
    <w:p w14:paraId="2EDDB679">
      <w:pPr>
        <w:snapToGrid w:val="0"/>
        <w:spacing w:line="288" w:lineRule="auto"/>
        <w:ind w:firstLine="350" w:firstLineChars="175"/>
        <w:rPr>
          <w:rFonts w:hAnsi="宋体"/>
          <w:sz w:val="20"/>
          <w:szCs w:val="20"/>
        </w:rPr>
      </w:pPr>
      <w:r>
        <w:rPr>
          <w:rFonts w:hAnsi="宋体"/>
          <w:b/>
          <w:sz w:val="20"/>
          <w:szCs w:val="20"/>
        </w:rPr>
        <w:t>4</w:t>
      </w:r>
      <w:r>
        <w:rPr>
          <w:rFonts w:hAnsi="宋体"/>
          <w:sz w:val="20"/>
          <w:szCs w:val="20"/>
        </w:rPr>
        <w:t xml:space="preserve"> </w:t>
      </w:r>
      <w:r>
        <w:rPr>
          <w:rFonts w:hint="eastAsia" w:hAnsi="宋体"/>
          <w:sz w:val="20"/>
          <w:szCs w:val="20"/>
        </w:rPr>
        <w:t>始发、接收前应在洞门上打设观察孔，检查加固体的防渗漏性能。</w:t>
      </w:r>
    </w:p>
    <w:p w14:paraId="53344643">
      <w:pPr>
        <w:snapToGrid w:val="0"/>
        <w:spacing w:line="288" w:lineRule="auto"/>
        <w:outlineLvl w:val="2"/>
        <w:rPr>
          <w:sz w:val="20"/>
          <w:szCs w:val="20"/>
        </w:rPr>
      </w:pPr>
      <w:r>
        <w:rPr>
          <w:rFonts w:hAnsi="宋体"/>
          <w:b/>
          <w:sz w:val="20"/>
          <w:szCs w:val="20"/>
        </w:rPr>
        <w:t>4.</w:t>
      </w:r>
      <w:r>
        <w:rPr>
          <w:rFonts w:hint="eastAsia" w:hAnsi="宋体"/>
          <w:b/>
          <w:sz w:val="20"/>
          <w:szCs w:val="20"/>
        </w:rPr>
        <w:t>5.6</w:t>
      </w:r>
      <w:r>
        <w:rPr>
          <w:rFonts w:hAnsi="宋体"/>
          <w:sz w:val="20"/>
          <w:szCs w:val="20"/>
        </w:rPr>
        <w:t xml:space="preserve">  </w:t>
      </w:r>
      <w:r>
        <w:rPr>
          <w:rFonts w:hint="eastAsia"/>
          <w:sz w:val="20"/>
          <w:szCs w:val="20"/>
        </w:rPr>
        <w:t>后背墙应符合下列规定：</w:t>
      </w:r>
    </w:p>
    <w:p w14:paraId="790FEE2C">
      <w:pPr>
        <w:snapToGrid w:val="0"/>
        <w:spacing w:line="288" w:lineRule="auto"/>
        <w:ind w:firstLine="300" w:firstLineChars="150"/>
        <w:rPr>
          <w:sz w:val="20"/>
          <w:szCs w:val="20"/>
        </w:rPr>
      </w:pPr>
      <w:r>
        <w:rPr>
          <w:rFonts w:hAnsi="宋体"/>
          <w:b/>
          <w:sz w:val="20"/>
          <w:szCs w:val="20"/>
        </w:rPr>
        <w:t>1</w:t>
      </w:r>
      <w:r>
        <w:rPr>
          <w:rFonts w:hAnsi="宋体"/>
          <w:sz w:val="20"/>
          <w:szCs w:val="20"/>
        </w:rPr>
        <w:t xml:space="preserve"> </w:t>
      </w:r>
      <w:r>
        <w:rPr>
          <w:rFonts w:hint="eastAsia"/>
          <w:sz w:val="20"/>
          <w:szCs w:val="20"/>
        </w:rPr>
        <w:t>后背墙结构宜</w:t>
      </w:r>
      <w:r>
        <w:rPr>
          <w:sz w:val="20"/>
          <w:szCs w:val="20"/>
        </w:rPr>
        <w:t>选用钢筋混凝土</w:t>
      </w:r>
      <w:r>
        <w:rPr>
          <w:rFonts w:hint="eastAsia"/>
          <w:sz w:val="20"/>
          <w:szCs w:val="20"/>
        </w:rPr>
        <w:t>结构，后背墙平面与顶进轴线应保持垂直；</w:t>
      </w:r>
    </w:p>
    <w:p w14:paraId="45637E6D">
      <w:pPr>
        <w:snapToGrid w:val="0"/>
        <w:spacing w:line="288" w:lineRule="auto"/>
        <w:ind w:firstLine="300" w:firstLineChars="150"/>
        <w:rPr>
          <w:sz w:val="20"/>
          <w:szCs w:val="20"/>
        </w:rPr>
      </w:pPr>
      <w:r>
        <w:rPr>
          <w:rFonts w:hAnsi="宋体"/>
          <w:b/>
          <w:sz w:val="20"/>
          <w:szCs w:val="20"/>
        </w:rPr>
        <w:t>2</w:t>
      </w:r>
      <w:r>
        <w:rPr>
          <w:sz w:val="20"/>
          <w:szCs w:val="20"/>
        </w:rPr>
        <w:t xml:space="preserve"> </w:t>
      </w:r>
      <w:r>
        <w:rPr>
          <w:rFonts w:hint="eastAsia"/>
          <w:sz w:val="20"/>
          <w:szCs w:val="20"/>
        </w:rPr>
        <w:t>后背墙的立面</w:t>
      </w:r>
      <w:r>
        <w:rPr>
          <w:sz w:val="20"/>
          <w:szCs w:val="20"/>
        </w:rPr>
        <w:t>面积、厚度及</w:t>
      </w:r>
      <w:r>
        <w:rPr>
          <w:rFonts w:hint="eastAsia"/>
          <w:sz w:val="20"/>
          <w:szCs w:val="20"/>
        </w:rPr>
        <w:t>结构应根据顶力、井壁厚度及强度、土层的承载力综合确定；</w:t>
      </w:r>
    </w:p>
    <w:p w14:paraId="120585D1">
      <w:pPr>
        <w:snapToGrid w:val="0"/>
        <w:spacing w:line="288" w:lineRule="auto"/>
        <w:ind w:firstLine="300" w:firstLineChars="150"/>
        <w:rPr>
          <w:rFonts w:hAnsi="宋体"/>
          <w:sz w:val="20"/>
          <w:szCs w:val="20"/>
        </w:rPr>
      </w:pPr>
      <w:r>
        <w:rPr>
          <w:rFonts w:hAnsi="宋体"/>
          <w:b/>
          <w:sz w:val="20"/>
          <w:szCs w:val="20"/>
        </w:rPr>
        <w:t xml:space="preserve">3 </w:t>
      </w:r>
      <w:r>
        <w:rPr>
          <w:rFonts w:hint="eastAsia" w:hAnsi="宋体"/>
          <w:sz w:val="20"/>
          <w:szCs w:val="20"/>
        </w:rPr>
        <w:t>当后背墙与工作井侧壁间距较大时，可采用反力架形式替代后背墙。</w:t>
      </w:r>
    </w:p>
    <w:p w14:paraId="05562854">
      <w:pPr>
        <w:snapToGrid w:val="0"/>
        <w:spacing w:line="288" w:lineRule="auto"/>
        <w:outlineLvl w:val="2"/>
        <w:rPr>
          <w:rFonts w:hAnsi="宋体"/>
          <w:b/>
          <w:sz w:val="20"/>
          <w:szCs w:val="20"/>
        </w:rPr>
      </w:pPr>
      <w:r>
        <w:rPr>
          <w:rFonts w:hAnsi="宋体"/>
          <w:b/>
          <w:sz w:val="20"/>
          <w:szCs w:val="20"/>
        </w:rPr>
        <w:t>4.</w:t>
      </w:r>
      <w:r>
        <w:rPr>
          <w:rFonts w:hint="eastAsia" w:hAnsi="宋体"/>
          <w:b/>
          <w:sz w:val="20"/>
          <w:szCs w:val="20"/>
        </w:rPr>
        <w:t>5.7</w:t>
      </w:r>
      <w:r>
        <w:rPr>
          <w:rFonts w:hAnsi="宋体"/>
          <w:b/>
          <w:sz w:val="20"/>
          <w:szCs w:val="20"/>
        </w:rPr>
        <w:t xml:space="preserve">  </w:t>
      </w:r>
      <w:r>
        <w:rPr>
          <w:rFonts w:hint="eastAsia"/>
          <w:sz w:val="20"/>
          <w:szCs w:val="20"/>
        </w:rPr>
        <w:t>后背应符合下列规定</w:t>
      </w:r>
      <w:r>
        <w:rPr>
          <w:rFonts w:hint="eastAsia" w:hAnsi="宋体"/>
          <w:sz w:val="20"/>
          <w:szCs w:val="20"/>
        </w:rPr>
        <w:t>：</w:t>
      </w:r>
    </w:p>
    <w:p w14:paraId="610C03D2">
      <w:pPr>
        <w:snapToGrid w:val="0"/>
        <w:spacing w:line="288" w:lineRule="auto"/>
        <w:ind w:firstLine="350" w:firstLineChars="175"/>
        <w:rPr>
          <w:sz w:val="20"/>
          <w:szCs w:val="20"/>
        </w:rPr>
      </w:pPr>
      <w:r>
        <w:rPr>
          <w:rFonts w:hAnsi="宋体"/>
          <w:b/>
          <w:sz w:val="20"/>
          <w:szCs w:val="20"/>
        </w:rPr>
        <w:t>1</w:t>
      </w:r>
      <w:r>
        <w:rPr>
          <w:rFonts w:hint="eastAsia"/>
          <w:sz w:val="20"/>
          <w:szCs w:val="20"/>
        </w:rPr>
        <w:t xml:space="preserve"> 后</w:t>
      </w:r>
      <w:r>
        <w:rPr>
          <w:rFonts w:hint="eastAsia" w:hAnsi="宋体"/>
          <w:sz w:val="20"/>
          <w:szCs w:val="20"/>
        </w:rPr>
        <w:t>背</w:t>
      </w:r>
      <w:r>
        <w:rPr>
          <w:rFonts w:hint="eastAsia"/>
          <w:sz w:val="20"/>
          <w:szCs w:val="20"/>
        </w:rPr>
        <w:t>宜采用焊接钢构，后</w:t>
      </w:r>
      <w:r>
        <w:rPr>
          <w:rFonts w:hint="eastAsia" w:hAnsi="宋体"/>
          <w:sz w:val="20"/>
          <w:szCs w:val="20"/>
        </w:rPr>
        <w:t>背</w:t>
      </w:r>
      <w:r>
        <w:rPr>
          <w:rFonts w:hint="eastAsia"/>
          <w:sz w:val="20"/>
          <w:szCs w:val="20"/>
        </w:rPr>
        <w:t>的立面面积、</w:t>
      </w:r>
      <w:r>
        <w:rPr>
          <w:sz w:val="20"/>
          <w:szCs w:val="20"/>
        </w:rPr>
        <w:t>结构形式</w:t>
      </w:r>
      <w:r>
        <w:rPr>
          <w:rFonts w:hint="eastAsia"/>
          <w:sz w:val="20"/>
          <w:szCs w:val="20"/>
        </w:rPr>
        <w:t>应根据顶力确定；</w:t>
      </w:r>
    </w:p>
    <w:p w14:paraId="508C7D74">
      <w:pPr>
        <w:snapToGrid w:val="0"/>
        <w:spacing w:line="288" w:lineRule="auto"/>
        <w:ind w:firstLine="350" w:firstLineChars="175"/>
        <w:rPr>
          <w:sz w:val="20"/>
          <w:szCs w:val="20"/>
        </w:rPr>
      </w:pPr>
      <w:r>
        <w:rPr>
          <w:rFonts w:hAnsi="宋体"/>
          <w:b/>
          <w:sz w:val="20"/>
          <w:szCs w:val="20"/>
        </w:rPr>
        <w:t>2</w:t>
      </w:r>
      <w:r>
        <w:rPr>
          <w:sz w:val="20"/>
          <w:szCs w:val="20"/>
        </w:rPr>
        <w:t xml:space="preserve"> </w:t>
      </w:r>
      <w:r>
        <w:rPr>
          <w:rFonts w:hint="eastAsia"/>
          <w:sz w:val="20"/>
          <w:szCs w:val="20"/>
        </w:rPr>
        <w:t>后背</w:t>
      </w:r>
      <w:r>
        <w:rPr>
          <w:sz w:val="20"/>
          <w:szCs w:val="20"/>
        </w:rPr>
        <w:t>强度、刚度</w:t>
      </w:r>
      <w:r>
        <w:rPr>
          <w:rFonts w:hint="eastAsia"/>
          <w:sz w:val="20"/>
          <w:szCs w:val="20"/>
        </w:rPr>
        <w:t>、</w:t>
      </w:r>
      <w:r>
        <w:rPr>
          <w:sz w:val="20"/>
          <w:szCs w:val="20"/>
        </w:rPr>
        <w:t>稳定性应满足施工要求</w:t>
      </w:r>
      <w:r>
        <w:rPr>
          <w:rFonts w:hint="eastAsia"/>
          <w:sz w:val="20"/>
          <w:szCs w:val="20"/>
        </w:rPr>
        <w:t>；</w:t>
      </w:r>
    </w:p>
    <w:p w14:paraId="3F3E85EC">
      <w:pPr>
        <w:snapToGrid w:val="0"/>
        <w:spacing w:line="288" w:lineRule="auto"/>
        <w:ind w:firstLine="350" w:firstLineChars="175"/>
        <w:rPr>
          <w:sz w:val="20"/>
          <w:szCs w:val="20"/>
        </w:rPr>
      </w:pPr>
      <w:r>
        <w:rPr>
          <w:rFonts w:hAnsi="宋体"/>
          <w:b/>
          <w:sz w:val="20"/>
          <w:szCs w:val="20"/>
        </w:rPr>
        <w:t>3</w:t>
      </w:r>
      <w:r>
        <w:rPr>
          <w:sz w:val="20"/>
          <w:szCs w:val="20"/>
        </w:rPr>
        <w:t xml:space="preserve"> </w:t>
      </w:r>
      <w:r>
        <w:rPr>
          <w:rFonts w:hint="eastAsia"/>
          <w:sz w:val="20"/>
          <w:szCs w:val="20"/>
        </w:rPr>
        <w:t>安装时应确保作用面与结构设计轴线垂直；</w:t>
      </w:r>
    </w:p>
    <w:p w14:paraId="08EC68BA">
      <w:pPr>
        <w:snapToGrid w:val="0"/>
        <w:spacing w:line="288" w:lineRule="auto"/>
        <w:ind w:firstLine="350" w:firstLineChars="175"/>
        <w:rPr>
          <w:sz w:val="20"/>
          <w:szCs w:val="20"/>
        </w:rPr>
      </w:pPr>
      <w:r>
        <w:rPr>
          <w:rFonts w:hAnsi="宋体"/>
          <w:b/>
          <w:sz w:val="20"/>
          <w:szCs w:val="20"/>
        </w:rPr>
        <w:t>4</w:t>
      </w:r>
      <w:r>
        <w:rPr>
          <w:rFonts w:hint="eastAsia"/>
          <w:sz w:val="20"/>
          <w:szCs w:val="20"/>
        </w:rPr>
        <w:t xml:space="preserve"> 后背与后背墙之间的空隙应浇筑不低于后背墙混凝土强度，并</w:t>
      </w:r>
      <w:r>
        <w:rPr>
          <w:sz w:val="20"/>
          <w:szCs w:val="20"/>
        </w:rPr>
        <w:t>填充密实</w:t>
      </w:r>
      <w:r>
        <w:rPr>
          <w:rFonts w:hint="eastAsia"/>
          <w:sz w:val="20"/>
          <w:szCs w:val="20"/>
        </w:rPr>
        <w:t>。</w:t>
      </w:r>
    </w:p>
    <w:p w14:paraId="155A0A58">
      <w:pPr>
        <w:pStyle w:val="3"/>
        <w:snapToGrid w:val="0"/>
        <w:spacing w:before="312" w:beforeLines="100" w:after="0" w:line="288" w:lineRule="auto"/>
        <w:jc w:val="center"/>
        <w:rPr>
          <w:rFonts w:ascii="Times New Roman" w:hAnsi="Times New Roman"/>
          <w:sz w:val="20"/>
          <w:szCs w:val="21"/>
        </w:rPr>
      </w:pPr>
      <w:bookmarkStart w:id="173" w:name="_Toc185235628"/>
      <w:bookmarkStart w:id="174" w:name="_Toc188798529"/>
      <w:bookmarkStart w:id="175" w:name="_Toc188612057"/>
      <w:bookmarkStart w:id="176" w:name="_Toc185236579"/>
      <w:r>
        <w:rPr>
          <w:rFonts w:ascii="Times New Roman" w:hAnsi="Times New Roman"/>
          <w:sz w:val="20"/>
          <w:szCs w:val="21"/>
        </w:rPr>
        <w:t xml:space="preserve">4.6  </w:t>
      </w:r>
      <w:r>
        <w:rPr>
          <w:rFonts w:hint="eastAsia" w:ascii="Times New Roman" w:hAnsi="Times New Roman"/>
          <w:sz w:val="20"/>
          <w:szCs w:val="21"/>
        </w:rPr>
        <w:t>顶力</w:t>
      </w:r>
      <w:bookmarkEnd w:id="163"/>
      <w:r>
        <w:rPr>
          <w:rFonts w:hint="eastAsia" w:ascii="Times New Roman" w:hAnsi="Times New Roman"/>
          <w:sz w:val="20"/>
          <w:szCs w:val="21"/>
        </w:rPr>
        <w:t>、后背计算</w:t>
      </w:r>
      <w:bookmarkEnd w:id="173"/>
      <w:bookmarkEnd w:id="174"/>
      <w:bookmarkEnd w:id="175"/>
      <w:bookmarkEnd w:id="176"/>
    </w:p>
    <w:p w14:paraId="4EE55ACC">
      <w:pPr>
        <w:snapToGrid w:val="0"/>
        <w:spacing w:line="288" w:lineRule="auto"/>
        <w:outlineLvl w:val="2"/>
        <w:rPr>
          <w:sz w:val="20"/>
          <w:szCs w:val="20"/>
        </w:rPr>
      </w:pPr>
      <w:bookmarkStart w:id="177" w:name="_Toc164082912"/>
      <w:r>
        <w:rPr>
          <w:rFonts w:hAnsi="宋体"/>
          <w:b/>
          <w:sz w:val="20"/>
          <w:szCs w:val="20"/>
        </w:rPr>
        <w:t>4.6.1</w:t>
      </w:r>
      <w:r>
        <w:rPr>
          <w:rFonts w:hint="eastAsia"/>
          <w:sz w:val="20"/>
          <w:szCs w:val="20"/>
        </w:rPr>
        <w:t xml:space="preserve"> </w:t>
      </w:r>
      <w:r>
        <w:rPr>
          <w:sz w:val="20"/>
          <w:szCs w:val="20"/>
        </w:rPr>
        <w:t xml:space="preserve"> </w:t>
      </w:r>
      <w:r>
        <w:rPr>
          <w:rFonts w:hint="eastAsia"/>
          <w:sz w:val="20"/>
          <w:szCs w:val="20"/>
        </w:rPr>
        <w:t>矩形顶管</w:t>
      </w:r>
      <w:r>
        <w:rPr>
          <w:sz w:val="20"/>
          <w:szCs w:val="20"/>
        </w:rPr>
        <w:t>顶力应根据</w:t>
      </w:r>
      <w:r>
        <w:rPr>
          <w:rFonts w:hint="eastAsia"/>
          <w:sz w:val="20"/>
          <w:szCs w:val="20"/>
        </w:rPr>
        <w:t>顶进长度、埋深、管节结构尺寸、地质条件、</w:t>
      </w:r>
      <w:r>
        <w:rPr>
          <w:sz w:val="20"/>
          <w:szCs w:val="20"/>
        </w:rPr>
        <w:t>施工技术措施等因素进行计算。</w:t>
      </w:r>
    </w:p>
    <w:p w14:paraId="2BEECF7A">
      <w:pPr>
        <w:snapToGrid w:val="0"/>
        <w:spacing w:line="288" w:lineRule="auto"/>
        <w:outlineLvl w:val="2"/>
        <w:rPr>
          <w:sz w:val="20"/>
          <w:szCs w:val="20"/>
        </w:rPr>
      </w:pPr>
      <w:r>
        <w:rPr>
          <w:rFonts w:hAnsi="宋体"/>
          <w:b/>
          <w:sz w:val="20"/>
          <w:szCs w:val="20"/>
        </w:rPr>
        <w:t xml:space="preserve">4.6.2  </w:t>
      </w:r>
      <w:r>
        <w:rPr>
          <w:rFonts w:hint="eastAsia"/>
          <w:sz w:val="20"/>
          <w:szCs w:val="20"/>
        </w:rPr>
        <w:t>矩形顶管顶力由顶管机</w:t>
      </w:r>
      <w:r>
        <w:rPr>
          <w:sz w:val="20"/>
          <w:szCs w:val="20"/>
        </w:rPr>
        <w:t>迎面阻力和总摩擦力组成，</w:t>
      </w:r>
      <w:r>
        <w:rPr>
          <w:rFonts w:hint="eastAsia"/>
          <w:sz w:val="20"/>
          <w:szCs w:val="20"/>
        </w:rPr>
        <w:t>顶管最大顶力应小于管节最大承受能力及后背墙承载能力；顶力可按</w:t>
      </w:r>
      <w:r>
        <w:rPr>
          <w:sz w:val="20"/>
          <w:szCs w:val="20"/>
        </w:rPr>
        <w:t>下式计算：</w:t>
      </w:r>
    </w:p>
    <w:p w14:paraId="0E5E2BCA">
      <w:pPr>
        <w:wordWrap w:val="0"/>
        <w:snapToGrid w:val="0"/>
        <w:ind w:firstLine="300" w:firstLineChars="150"/>
        <w:jc w:val="right"/>
        <w:rPr>
          <w:rFonts w:ascii="Cambria Math" w:hAnsi="Cambria Math"/>
          <w:i/>
          <w:iCs/>
          <w:kern w:val="0"/>
          <w:sz w:val="20"/>
          <w:szCs w:val="20"/>
          <w:lang w:bidi="ar"/>
        </w:rPr>
      </w:pPr>
      <w:r>
        <w:rPr>
          <w:rFonts w:hint="eastAsia" w:ascii="Cambria Math" w:hAnsi="Cambria Math"/>
          <w:i/>
          <w:iCs/>
          <w:kern w:val="0"/>
          <w:sz w:val="20"/>
          <w:szCs w:val="20"/>
          <w:lang w:bidi="ar"/>
        </w:rPr>
        <w:t>F</w:t>
      </w:r>
      <m:oMath>
        <m:r>
          <m:rPr/>
          <w:rPr>
            <w:rFonts w:ascii="Cambria Math" w:hAnsi="Cambria Math"/>
            <w:kern w:val="0"/>
            <w:sz w:val="20"/>
            <w:szCs w:val="20"/>
          </w:rPr>
          <m:t>=</m:t>
        </m:r>
        <m:sSub>
          <m:sSubPr>
            <m:ctrlPr>
              <w:rPr>
                <w:rFonts w:ascii="Cambria Math" w:hAnsi="Cambria Math"/>
                <w:i/>
                <w:iCs/>
                <w:kern w:val="0"/>
                <w:sz w:val="20"/>
                <w:szCs w:val="20"/>
              </w:rPr>
            </m:ctrlPr>
          </m:sSubPr>
          <m:e>
            <m:r>
              <m:rPr/>
              <w:rPr>
                <w:rFonts w:ascii="Cambria Math" w:hAnsi="Cambria Math"/>
                <w:kern w:val="0"/>
                <w:sz w:val="20"/>
                <w:szCs w:val="20"/>
              </w:rPr>
              <m:t>P</m:t>
            </m:r>
            <m:ctrlPr>
              <w:rPr>
                <w:rFonts w:ascii="Cambria Math" w:hAnsi="Cambria Math"/>
                <w:i/>
                <w:iCs/>
                <w:kern w:val="0"/>
                <w:sz w:val="20"/>
                <w:szCs w:val="20"/>
              </w:rPr>
            </m:ctrlPr>
          </m:e>
          <m:sub>
            <m:r>
              <m:rPr>
                <m:sty m:val="p"/>
              </m:rPr>
              <w:rPr>
                <w:rFonts w:ascii="Cambria Math" w:hAnsi="Cambria Math"/>
                <w:kern w:val="0"/>
                <w:sz w:val="20"/>
                <w:szCs w:val="20"/>
              </w:rPr>
              <m:t>y</m:t>
            </m:r>
            <m:ctrlPr>
              <w:rPr>
                <w:rFonts w:ascii="Cambria Math" w:hAnsi="Cambria Math"/>
                <w:i/>
                <w:iCs/>
                <w:kern w:val="0"/>
                <w:sz w:val="20"/>
                <w:szCs w:val="20"/>
              </w:rPr>
            </m:ctrlPr>
          </m:sub>
        </m:sSub>
        <m:r>
          <m:rPr/>
          <w:rPr>
            <w:rFonts w:ascii="Cambria Math" w:hAnsi="Cambria Math"/>
            <w:kern w:val="0"/>
            <w:sz w:val="20"/>
            <w:szCs w:val="20"/>
          </w:rPr>
          <m:t>+</m:t>
        </m:r>
        <m:sSub>
          <m:sSubPr>
            <m:ctrlPr>
              <w:rPr>
                <w:rFonts w:ascii="Cambria Math" w:hAnsi="Cambria Math"/>
                <w:i/>
                <w:iCs/>
                <w:kern w:val="0"/>
                <w:sz w:val="20"/>
                <w:szCs w:val="20"/>
              </w:rPr>
            </m:ctrlPr>
          </m:sSubPr>
          <m:e>
            <m:r>
              <m:rPr/>
              <w:rPr>
                <w:rFonts w:ascii="Cambria Math" w:hAnsi="Cambria Math"/>
                <w:kern w:val="0"/>
                <w:sz w:val="20"/>
                <w:szCs w:val="20"/>
              </w:rPr>
              <m:t>F</m:t>
            </m:r>
            <m:ctrlPr>
              <w:rPr>
                <w:rFonts w:ascii="Cambria Math" w:hAnsi="Cambria Math"/>
                <w:i/>
                <w:iCs/>
                <w:kern w:val="0"/>
                <w:sz w:val="20"/>
                <w:szCs w:val="20"/>
              </w:rPr>
            </m:ctrlPr>
          </m:e>
          <m:sub>
            <m:r>
              <m:rPr>
                <m:sty m:val="p"/>
              </m:rPr>
              <w:rPr>
                <w:rFonts w:ascii="Cambria Math" w:hAnsi="Cambria Math"/>
                <w:kern w:val="0"/>
                <w:sz w:val="20"/>
                <w:szCs w:val="20"/>
              </w:rPr>
              <m:t>f</m:t>
            </m:r>
            <m:ctrlPr>
              <w:rPr>
                <w:rFonts w:ascii="Cambria Math" w:hAnsi="Cambria Math"/>
                <w:i/>
                <w:iCs/>
                <w:kern w:val="0"/>
                <w:sz w:val="20"/>
                <w:szCs w:val="20"/>
              </w:rPr>
            </m:ctrlPr>
          </m:sub>
        </m:sSub>
      </m:oMath>
      <w:r>
        <w:rPr>
          <w:rFonts w:hint="eastAsia" w:ascii="Cambria Math" w:hAnsi="Cambria Math"/>
          <w:i/>
          <w:iCs/>
          <w:kern w:val="0"/>
          <w:sz w:val="20"/>
          <w:szCs w:val="20"/>
          <w:lang w:bidi="ar"/>
        </w:rPr>
        <w:t xml:space="preserve">           </w:t>
      </w:r>
      <w:r>
        <w:rPr>
          <w:rFonts w:ascii="Cambria Math" w:hAnsi="Cambria Math"/>
          <w:i/>
          <w:iCs/>
          <w:kern w:val="0"/>
          <w:sz w:val="20"/>
          <w:szCs w:val="20"/>
          <w:lang w:bidi="ar"/>
        </w:rPr>
        <w:t xml:space="preserve">   </w:t>
      </w:r>
      <w:r>
        <w:rPr>
          <w:rFonts w:hint="eastAsia" w:ascii="Cambria Math" w:hAnsi="Cambria Math"/>
          <w:i/>
          <w:iCs/>
          <w:kern w:val="0"/>
          <w:sz w:val="20"/>
          <w:szCs w:val="20"/>
          <w:lang w:bidi="ar"/>
        </w:rPr>
        <w:t xml:space="preserve">            </w:t>
      </w:r>
      <w:r>
        <w:rPr>
          <w:rFonts w:ascii="Cambria Math" w:hAnsi="Cambria Math"/>
          <w:i/>
          <w:iCs/>
          <w:kern w:val="0"/>
          <w:sz w:val="20"/>
          <w:szCs w:val="20"/>
          <w:lang w:bidi="ar"/>
        </w:rPr>
        <w:t xml:space="preserve"> </w:t>
      </w:r>
      <w:r>
        <w:rPr>
          <w:rFonts w:hint="eastAsia" w:ascii="Cambria Math" w:hAnsi="Cambria Math"/>
          <w:i/>
          <w:iCs/>
          <w:kern w:val="0"/>
          <w:sz w:val="20"/>
          <w:szCs w:val="20"/>
          <w:lang w:bidi="ar"/>
        </w:rPr>
        <w:t xml:space="preserve">            </w:t>
      </w:r>
      <w:r>
        <w:rPr>
          <w:rFonts w:hint="eastAsia" w:ascii="Cambria Math" w:hAnsi="Cambria Math"/>
          <w:iCs/>
          <w:kern w:val="0"/>
          <w:sz w:val="20"/>
          <w:szCs w:val="20"/>
          <w:lang w:bidi="ar"/>
        </w:rPr>
        <w:t>（</w:t>
      </w:r>
      <w:r>
        <w:rPr>
          <w:rFonts w:ascii="Cambria Math" w:hAnsi="Cambria Math"/>
          <w:iCs/>
          <w:kern w:val="0"/>
          <w:sz w:val="20"/>
          <w:szCs w:val="20"/>
          <w:lang w:bidi="ar"/>
        </w:rPr>
        <w:t>4.6.2</w:t>
      </w:r>
      <w:r>
        <w:rPr>
          <w:rFonts w:hint="eastAsia" w:ascii="Cambria Math" w:hAnsi="Cambria Math"/>
          <w:iCs/>
          <w:kern w:val="0"/>
          <w:sz w:val="20"/>
          <w:szCs w:val="20"/>
          <w:lang w:bidi="ar"/>
        </w:rPr>
        <w:t>）</w:t>
      </w:r>
    </w:p>
    <w:p w14:paraId="4DA2FCBE">
      <w:pPr>
        <w:snapToGrid w:val="0"/>
        <w:spacing w:line="288" w:lineRule="auto"/>
        <w:ind w:firstLine="350" w:firstLineChars="175"/>
        <w:rPr>
          <w:sz w:val="20"/>
          <w:szCs w:val="20"/>
        </w:rPr>
      </w:pPr>
      <w:r>
        <w:rPr>
          <w:rFonts w:hint="eastAsia"/>
          <w:sz w:val="20"/>
          <w:szCs w:val="20"/>
        </w:rPr>
        <w:t>式中</w:t>
      </w:r>
      <w:r>
        <w:rPr>
          <w:sz w:val="20"/>
          <w:szCs w:val="20"/>
        </w:rPr>
        <w:t>：</w:t>
      </w:r>
    </w:p>
    <w:p w14:paraId="06E5CA46">
      <w:pPr>
        <w:snapToGrid w:val="0"/>
        <w:spacing w:line="288" w:lineRule="auto"/>
        <w:ind w:firstLine="350" w:firstLineChars="175"/>
        <w:rPr>
          <w:sz w:val="20"/>
          <w:szCs w:val="20"/>
        </w:rPr>
      </w:pPr>
      <w:r>
        <w:rPr>
          <w:rFonts w:hint="eastAsia"/>
          <w:sz w:val="20"/>
          <w:szCs w:val="20"/>
        </w:rPr>
        <w:t xml:space="preserve"> </w:t>
      </w:r>
      <w:r>
        <w:rPr>
          <w:sz w:val="20"/>
          <w:szCs w:val="20"/>
        </w:rPr>
        <w:t xml:space="preserve">     </w:t>
      </w:r>
      <w:r>
        <w:rPr>
          <w:rFonts w:hint="eastAsia"/>
          <w:i/>
          <w:sz w:val="20"/>
          <w:szCs w:val="20"/>
        </w:rPr>
        <w:t>F</w:t>
      </w:r>
      <w:r>
        <w:rPr>
          <w:rFonts w:hint="eastAsia"/>
          <w:sz w:val="20"/>
          <w:szCs w:val="20"/>
        </w:rPr>
        <w:t>—顶力（kN</w:t>
      </w:r>
      <w:r>
        <w:rPr>
          <w:sz w:val="20"/>
          <w:szCs w:val="20"/>
        </w:rPr>
        <w:t>）</w:t>
      </w:r>
      <w:r>
        <w:rPr>
          <w:rFonts w:hint="eastAsia"/>
          <w:sz w:val="20"/>
          <w:szCs w:val="20"/>
        </w:rPr>
        <w:t>；</w:t>
      </w:r>
    </w:p>
    <w:p w14:paraId="318CC006">
      <w:pPr>
        <w:snapToGrid w:val="0"/>
        <w:spacing w:line="288" w:lineRule="auto"/>
        <w:ind w:firstLine="950" w:firstLineChars="475"/>
        <w:rPr>
          <w:sz w:val="20"/>
          <w:szCs w:val="20"/>
        </w:rPr>
      </w:pPr>
      <m:oMath>
        <m:sSub>
          <m:sSubPr>
            <m:ctrlPr>
              <w:rPr>
                <w:rFonts w:ascii="Cambria Math" w:hAnsi="Cambria Math"/>
                <w:bCs/>
                <w:i/>
                <w:sz w:val="20"/>
                <w:szCs w:val="20"/>
              </w:rPr>
            </m:ctrlPr>
          </m:sSubPr>
          <m:e>
            <m:r>
              <m:rPr/>
              <w:rPr>
                <w:rFonts w:ascii="Cambria Math" w:hAnsi="Cambria Math"/>
                <w:sz w:val="20"/>
                <w:szCs w:val="20"/>
              </w:rPr>
              <m:t>P</m:t>
            </m:r>
            <m:ctrlPr>
              <w:rPr>
                <w:rFonts w:ascii="Cambria Math" w:hAnsi="Cambria Math"/>
                <w:bCs/>
                <w:i/>
                <w:sz w:val="20"/>
                <w:szCs w:val="20"/>
              </w:rPr>
            </m:ctrlPr>
          </m:e>
          <m:sub>
            <m:r>
              <m:rPr>
                <m:sty m:val="p"/>
              </m:rPr>
              <w:rPr>
                <w:rFonts w:ascii="Cambria Math" w:hAnsi="Cambria Math"/>
                <w:sz w:val="20"/>
                <w:szCs w:val="20"/>
              </w:rPr>
              <m:t>y</m:t>
            </m:r>
            <m:ctrlPr>
              <w:rPr>
                <w:rFonts w:ascii="Cambria Math" w:hAnsi="Cambria Math"/>
                <w:bCs/>
                <w:i/>
                <w:sz w:val="20"/>
                <w:szCs w:val="20"/>
              </w:rPr>
            </m:ctrlPr>
          </m:sub>
        </m:sSub>
      </m:oMath>
      <w:r>
        <w:rPr>
          <w:rFonts w:hint="eastAsia"/>
          <w:sz w:val="20"/>
          <w:szCs w:val="20"/>
        </w:rPr>
        <w:t>—</w:t>
      </w:r>
      <w:r>
        <w:rPr>
          <w:rFonts w:hAnsi="宋体"/>
          <w:sz w:val="20"/>
          <w:szCs w:val="20"/>
        </w:rPr>
        <w:t>顶管</w:t>
      </w:r>
      <w:r>
        <w:rPr>
          <w:sz w:val="20"/>
          <w:szCs w:val="20"/>
        </w:rPr>
        <w:t>机迎面阻力（</w:t>
      </w:r>
      <w:r>
        <w:rPr>
          <w:rFonts w:hint="eastAsia"/>
          <w:sz w:val="20"/>
          <w:szCs w:val="20"/>
        </w:rPr>
        <w:t>kN</w:t>
      </w:r>
      <w:r>
        <w:rPr>
          <w:sz w:val="20"/>
          <w:szCs w:val="20"/>
        </w:rPr>
        <w:t>）</w:t>
      </w:r>
      <w:r>
        <w:rPr>
          <w:rFonts w:hint="eastAsia"/>
          <w:sz w:val="20"/>
          <w:szCs w:val="20"/>
        </w:rPr>
        <w:t>；</w:t>
      </w:r>
    </w:p>
    <w:p w14:paraId="406114CB">
      <w:pPr>
        <w:snapToGrid w:val="0"/>
        <w:spacing w:line="288" w:lineRule="auto"/>
        <w:ind w:firstLine="950" w:firstLineChars="475"/>
        <w:rPr>
          <w:sz w:val="20"/>
          <w:szCs w:val="20"/>
        </w:rPr>
      </w:pPr>
      <m:oMath>
        <m:sSub>
          <m:sSubPr>
            <m:ctrlPr>
              <w:rPr>
                <w:rFonts w:ascii="Cambria Math" w:hAnsi="Cambria Math"/>
                <w:bCs/>
                <w:i/>
                <w:sz w:val="20"/>
                <w:szCs w:val="20"/>
              </w:rPr>
            </m:ctrlPr>
          </m:sSubPr>
          <m:e>
            <m:r>
              <m:rPr/>
              <w:rPr>
                <w:rFonts w:ascii="Cambria Math" w:hAnsi="Cambria Math"/>
                <w:sz w:val="20"/>
                <w:szCs w:val="20"/>
              </w:rPr>
              <m:t>F</m:t>
            </m:r>
            <m:ctrlPr>
              <w:rPr>
                <w:rFonts w:ascii="Cambria Math" w:hAnsi="Cambria Math"/>
                <w:bCs/>
                <w:i/>
                <w:sz w:val="20"/>
                <w:szCs w:val="20"/>
              </w:rPr>
            </m:ctrlPr>
          </m:e>
          <m:sub>
            <m:r>
              <m:rPr>
                <m:sty m:val="p"/>
              </m:rPr>
              <w:rPr>
                <w:rFonts w:ascii="Cambria Math" w:hAnsi="Cambria Math"/>
                <w:sz w:val="20"/>
                <w:szCs w:val="20"/>
              </w:rPr>
              <m:t>f</m:t>
            </m:r>
            <m:ctrlPr>
              <w:rPr>
                <w:rFonts w:ascii="Cambria Math" w:hAnsi="Cambria Math"/>
                <w:bCs/>
                <w:i/>
                <w:sz w:val="20"/>
                <w:szCs w:val="20"/>
              </w:rPr>
            </m:ctrlPr>
          </m:sub>
        </m:sSub>
      </m:oMath>
      <w:r>
        <w:rPr>
          <w:sz w:val="20"/>
          <w:szCs w:val="20"/>
        </w:rPr>
        <w:t>—矩形顶管总摩擦阻力（</w:t>
      </w:r>
      <w:r>
        <w:rPr>
          <w:rFonts w:hint="eastAsia"/>
          <w:sz w:val="20"/>
          <w:szCs w:val="20"/>
        </w:rPr>
        <w:t>kN）。</w:t>
      </w:r>
    </w:p>
    <w:p w14:paraId="4A524D13">
      <w:pPr>
        <w:snapToGrid w:val="0"/>
        <w:spacing w:line="288" w:lineRule="auto"/>
        <w:outlineLvl w:val="2"/>
        <w:rPr>
          <w:sz w:val="20"/>
          <w:szCs w:val="20"/>
        </w:rPr>
      </w:pPr>
      <w:r>
        <w:rPr>
          <w:rFonts w:hint="eastAsia"/>
          <w:b/>
          <w:sz w:val="20"/>
          <w:szCs w:val="20"/>
        </w:rPr>
        <w:t>4.</w:t>
      </w:r>
      <w:r>
        <w:rPr>
          <w:b/>
          <w:sz w:val="20"/>
          <w:szCs w:val="20"/>
        </w:rPr>
        <w:t>6</w:t>
      </w:r>
      <w:r>
        <w:rPr>
          <w:rFonts w:hint="eastAsia"/>
          <w:b/>
          <w:sz w:val="20"/>
          <w:szCs w:val="20"/>
        </w:rPr>
        <w:t>.</w:t>
      </w:r>
      <w:r>
        <w:rPr>
          <w:b/>
          <w:sz w:val="20"/>
          <w:szCs w:val="20"/>
        </w:rPr>
        <w:t>3</w:t>
      </w:r>
      <w:r>
        <w:rPr>
          <w:sz w:val="20"/>
          <w:szCs w:val="20"/>
        </w:rPr>
        <w:t xml:space="preserve">  </w:t>
      </w:r>
      <w:r>
        <w:rPr>
          <w:rFonts w:hint="eastAsia"/>
          <w:sz w:val="20"/>
          <w:szCs w:val="20"/>
        </w:rPr>
        <w:t>矩形机的迎面阻力可按下式计算：</w:t>
      </w:r>
    </w:p>
    <w:p w14:paraId="5F961447">
      <w:pPr>
        <w:wordWrap w:val="0"/>
        <w:snapToGrid w:val="0"/>
        <w:ind w:firstLine="300" w:firstLineChars="150"/>
        <w:jc w:val="right"/>
        <w:rPr>
          <w:rFonts w:ascii="Cambria Math" w:hAnsi="Cambria Math"/>
          <w:i/>
          <w:iCs/>
          <w:kern w:val="0"/>
          <w:sz w:val="20"/>
          <w:szCs w:val="20"/>
          <w:lang w:bidi="ar"/>
        </w:rPr>
      </w:pPr>
      <m:oMath>
        <m:sSub>
          <m:sSubPr>
            <m:ctrlPr>
              <w:rPr>
                <w:rFonts w:ascii="Cambria Math" w:hAnsi="Cambria Math"/>
                <w:i/>
                <w:iCs/>
                <w:kern w:val="0"/>
                <w:sz w:val="20"/>
                <w:szCs w:val="20"/>
                <w:lang w:bidi="ar"/>
              </w:rPr>
            </m:ctrlPr>
          </m:sSubPr>
          <m:e>
            <m:r>
              <m:rPr/>
              <w:rPr>
                <w:rFonts w:ascii="Cambria Math" w:hAnsi="Cambria Math"/>
                <w:kern w:val="0"/>
                <w:sz w:val="20"/>
                <w:szCs w:val="20"/>
                <w:lang w:bidi="ar"/>
              </w:rPr>
              <m:t>P</m:t>
            </m:r>
            <m:ctrlPr>
              <w:rPr>
                <w:rFonts w:ascii="Cambria Math" w:hAnsi="Cambria Math"/>
                <w:i/>
                <w:iCs/>
                <w:kern w:val="0"/>
                <w:sz w:val="20"/>
                <w:szCs w:val="20"/>
                <w:lang w:bidi="ar"/>
              </w:rPr>
            </m:ctrlPr>
          </m:e>
          <m:sub>
            <m:r>
              <m:rPr/>
              <w:rPr>
                <w:rFonts w:ascii="Cambria Math" w:hAnsi="Cambria Math"/>
                <w:kern w:val="0"/>
                <w:sz w:val="20"/>
                <w:szCs w:val="20"/>
                <w:lang w:bidi="ar"/>
              </w:rPr>
              <m:t>y</m:t>
            </m:r>
            <m:ctrlPr>
              <w:rPr>
                <w:rFonts w:ascii="Cambria Math" w:hAnsi="Cambria Math"/>
                <w:i/>
                <w:iCs/>
                <w:kern w:val="0"/>
                <w:sz w:val="20"/>
                <w:szCs w:val="20"/>
                <w:lang w:bidi="ar"/>
              </w:rPr>
            </m:ctrlPr>
          </m:sub>
        </m:sSub>
        <m:r>
          <m:rPr/>
          <w:rPr>
            <w:rFonts w:hint="eastAsia" w:ascii="Cambria Math" w:hAnsi="Cambria Math"/>
            <w:kern w:val="0"/>
            <w:sz w:val="20"/>
            <w:szCs w:val="20"/>
            <w:lang w:bidi="ar"/>
          </w:rPr>
          <m:t>=</m:t>
        </m:r>
        <m:r>
          <m:rPr/>
          <w:rPr>
            <w:rFonts w:ascii="Cambria Math" w:hAnsi="Cambria Math"/>
            <w:kern w:val="0"/>
            <w:sz w:val="20"/>
            <w:szCs w:val="20"/>
            <w:lang w:bidi="ar"/>
          </w:rPr>
          <m:t>H'B'</m:t>
        </m:r>
        <m:sSub>
          <m:sSubPr>
            <m:ctrlPr>
              <w:rPr>
                <w:rFonts w:ascii="Cambria Math" w:hAnsi="Cambria Math"/>
                <w:i/>
                <w:iCs/>
                <w:kern w:val="0"/>
                <w:sz w:val="20"/>
                <w:szCs w:val="20"/>
                <w:lang w:bidi="ar"/>
              </w:rPr>
            </m:ctrlPr>
          </m:sSubPr>
          <m:e>
            <m:r>
              <m:rPr/>
              <w:rPr>
                <w:rFonts w:ascii="Cambria Math" w:hAnsi="Cambria Math"/>
                <w:kern w:val="0"/>
                <w:sz w:val="20"/>
                <w:szCs w:val="20"/>
                <w:lang w:bidi="ar"/>
              </w:rPr>
              <m:t>P</m:t>
            </m:r>
            <m:ctrlPr>
              <w:rPr>
                <w:rFonts w:ascii="Cambria Math" w:hAnsi="Cambria Math"/>
                <w:i/>
                <w:iCs/>
                <w:kern w:val="0"/>
                <w:sz w:val="20"/>
                <w:szCs w:val="20"/>
                <w:lang w:bidi="ar"/>
              </w:rPr>
            </m:ctrlPr>
          </m:e>
          <m:sub>
            <m:r>
              <m:rPr/>
              <w:rPr>
                <w:rFonts w:hint="eastAsia" w:ascii="Cambria Math" w:hAnsi="Cambria Math"/>
                <w:kern w:val="0"/>
                <w:sz w:val="20"/>
                <w:szCs w:val="20"/>
                <w:lang w:bidi="ar"/>
              </w:rPr>
              <m:t>c</m:t>
            </m:r>
            <m:ctrlPr>
              <w:rPr>
                <w:rFonts w:ascii="Cambria Math" w:hAnsi="Cambria Math"/>
                <w:i/>
                <w:iCs/>
                <w:kern w:val="0"/>
                <w:sz w:val="20"/>
                <w:szCs w:val="20"/>
                <w:lang w:bidi="ar"/>
              </w:rPr>
            </m:ctrlPr>
          </m:sub>
        </m:sSub>
      </m:oMath>
      <w:r>
        <w:rPr>
          <w:rFonts w:ascii="Cambria Math" w:hAnsi="Cambria Math"/>
          <w:i/>
          <w:iCs/>
          <w:kern w:val="0"/>
          <w:sz w:val="20"/>
          <w:szCs w:val="20"/>
          <w:lang w:bidi="ar"/>
        </w:rPr>
        <w:t xml:space="preserve">                                      </w:t>
      </w:r>
      <w:r>
        <w:rPr>
          <w:rFonts w:ascii="Cambria Math" w:hAnsi="Cambria Math"/>
          <w:iCs/>
          <w:kern w:val="0"/>
          <w:sz w:val="20"/>
          <w:szCs w:val="20"/>
          <w:lang w:bidi="ar"/>
        </w:rPr>
        <w:t>(4.6.</w:t>
      </w:r>
      <w:r>
        <w:rPr>
          <w:rFonts w:hint="eastAsia" w:ascii="Cambria Math" w:hAnsi="Cambria Math"/>
          <w:iCs/>
          <w:kern w:val="0"/>
          <w:sz w:val="20"/>
          <w:szCs w:val="20"/>
          <w:lang w:bidi="ar"/>
        </w:rPr>
        <w:t>3</w:t>
      </w:r>
      <w:r>
        <w:rPr>
          <w:rFonts w:ascii="Cambria Math" w:hAnsi="Cambria Math"/>
          <w:iCs/>
          <w:kern w:val="0"/>
          <w:sz w:val="20"/>
          <w:szCs w:val="20"/>
          <w:lang w:bidi="ar"/>
        </w:rPr>
        <w:t>-1)</w:t>
      </w:r>
    </w:p>
    <w:p w14:paraId="6C356448">
      <w:pPr>
        <w:snapToGrid w:val="0"/>
        <w:spacing w:line="288" w:lineRule="auto"/>
        <w:ind w:firstLine="350" w:firstLineChars="175"/>
        <w:rPr>
          <w:sz w:val="20"/>
          <w:szCs w:val="20"/>
        </w:rPr>
      </w:pPr>
      <w:r>
        <w:rPr>
          <w:rFonts w:hint="eastAsia"/>
          <w:sz w:val="20"/>
          <w:szCs w:val="20"/>
        </w:rPr>
        <w:t>当土体为黏性土或顶推轴线位于</w:t>
      </w:r>
      <w:r>
        <w:rPr>
          <w:rFonts w:hint="eastAsia" w:hAnsi="宋体"/>
          <w:sz w:val="20"/>
          <w:szCs w:val="20"/>
        </w:rPr>
        <w:t>水位</w:t>
      </w:r>
      <w:r>
        <w:rPr>
          <w:rFonts w:hint="eastAsia"/>
          <w:sz w:val="20"/>
          <w:szCs w:val="20"/>
        </w:rPr>
        <w:t>以上时，</w:t>
      </w:r>
    </w:p>
    <w:p w14:paraId="54C21757">
      <w:pPr>
        <w:snapToGrid w:val="0"/>
        <w:spacing w:line="288" w:lineRule="auto"/>
        <w:ind w:firstLine="2550" w:firstLineChars="1275"/>
        <w:jc w:val="right"/>
        <w:rPr>
          <w:rFonts w:ascii="Cambria Math" w:hAnsi="Cambria Math"/>
          <w:iCs/>
          <w:kern w:val="0"/>
          <w:sz w:val="20"/>
          <w:szCs w:val="20"/>
          <w:lang w:bidi="ar"/>
        </w:rPr>
      </w:pPr>
      <m:oMath>
        <m:sSub>
          <m:sSubPr>
            <m:ctrlPr>
              <w:rPr>
                <w:rFonts w:ascii="Cambria Math" w:hAnsi="Cambria Math"/>
                <w:sz w:val="20"/>
                <w:szCs w:val="20"/>
              </w:rPr>
            </m:ctrlPr>
          </m:sSubPr>
          <m:e>
            <m:r>
              <m:rPr/>
              <w:rPr>
                <w:rFonts w:ascii="Cambria Math" w:hAnsi="Cambria Math"/>
                <w:sz w:val="20"/>
                <w:szCs w:val="20"/>
              </w:rPr>
              <m:t>P</m:t>
            </m:r>
            <m:ctrlPr>
              <w:rPr>
                <w:rFonts w:ascii="Cambria Math" w:hAnsi="Cambria Math"/>
                <w:sz w:val="20"/>
                <w:szCs w:val="20"/>
              </w:rPr>
            </m:ctrlPr>
          </m:e>
          <m:sub>
            <m:r>
              <m:rPr>
                <m:sty m:val="p"/>
              </m:rPr>
              <w:rPr>
                <w:rFonts w:hint="eastAsia" w:ascii="Cambria Math" w:hAnsi="Cambria Math"/>
                <w:sz w:val="20"/>
                <w:szCs w:val="20"/>
              </w:rPr>
              <m:t>c</m:t>
            </m:r>
            <m:ctrlPr>
              <w:rPr>
                <w:rFonts w:ascii="Cambria Math" w:hAnsi="Cambria Math"/>
                <w:sz w:val="20"/>
                <w:szCs w:val="20"/>
              </w:rPr>
            </m:ctrlPr>
          </m:sub>
        </m:sSub>
        <m:r>
          <m:rPr/>
          <w:rPr>
            <w:rFonts w:hint="eastAsia" w:ascii="Cambria Math" w:hAnsi="Cambria Math"/>
            <w:sz w:val="20"/>
            <w:szCs w:val="20"/>
          </w:rPr>
          <m:t>=</m:t>
        </m:r>
        <m:sSub>
          <m:sSubPr>
            <m:ctrlPr>
              <w:rPr>
                <w:rFonts w:ascii="Cambria Math" w:hAnsi="Cambria Math"/>
                <w:i/>
                <w:sz w:val="20"/>
                <w:szCs w:val="20"/>
              </w:rPr>
            </m:ctrlPr>
          </m:sSubPr>
          <m:e>
            <m:r>
              <m:rPr/>
              <w:rPr>
                <w:rFonts w:ascii="Cambria Math" w:hAnsi="Cambria Math"/>
                <w:sz w:val="20"/>
                <w:szCs w:val="20"/>
              </w:rPr>
              <m:t>K</m:t>
            </m:r>
            <m:ctrlPr>
              <w:rPr>
                <w:rFonts w:ascii="Cambria Math" w:hAnsi="Cambria Math"/>
                <w:i/>
                <w:sz w:val="20"/>
                <w:szCs w:val="20"/>
              </w:rPr>
            </m:ctrlPr>
          </m:e>
          <m:sub>
            <m:r>
              <m:rPr/>
              <w:rPr>
                <w:rFonts w:ascii="Cambria Math" w:hAnsi="Cambria Math"/>
                <w:sz w:val="20"/>
                <w:szCs w:val="20"/>
              </w:rPr>
              <m:t>0</m:t>
            </m:r>
            <m:ctrlPr>
              <w:rPr>
                <w:rFonts w:ascii="Cambria Math" w:hAnsi="Cambria Math"/>
                <w:i/>
                <w:sz w:val="20"/>
                <w:szCs w:val="20"/>
              </w:rPr>
            </m:ctrlPr>
          </m:sub>
        </m:sSub>
        <m:r>
          <m:rPr/>
          <w:rPr>
            <w:rFonts w:ascii="Cambria Math" w:hAnsi="Cambria Math"/>
            <w:sz w:val="20"/>
            <w:szCs w:val="20"/>
          </w:rPr>
          <m:t>γ</m:t>
        </m:r>
        <m:r>
          <m:rPr>
            <m:sty m:val="p"/>
          </m:rPr>
          <w:rPr>
            <w:rFonts w:hint="eastAsia" w:ascii="Cambria Math" w:hAnsi="Cambria Math"/>
            <w:sz w:val="20"/>
            <w:szCs w:val="20"/>
          </w:rPr>
          <m:t>（</m:t>
        </m:r>
        <m:r>
          <m:rPr/>
          <w:rPr>
            <w:rFonts w:hint="eastAsia" w:ascii="MS Gothic" w:hAnsi="MS Gothic" w:eastAsia="MS Gothic" w:cs="MS Gothic"/>
            <w:sz w:val="20"/>
            <w:szCs w:val="20"/>
          </w:rPr>
          <m:t>ℎ</m:t>
        </m:r>
        <m:r>
          <m:rPr/>
          <w:rPr>
            <w:rFonts w:hint="eastAsia" w:ascii="Cambria Math" w:hAnsi="Cambria Math" w:cs="MS Gothic" w:eastAsiaTheme="minorEastAsia"/>
            <w:sz w:val="20"/>
            <w:szCs w:val="20"/>
          </w:rPr>
          <m:t>+</m:t>
        </m:r>
        <m:f>
          <m:fPr>
            <m:ctrlPr>
              <w:rPr>
                <w:rFonts w:ascii="Cambria Math" w:hAnsi="MS Gothic" w:eastAsia="MS Gothic" w:cs="MS Gothic"/>
                <w:i/>
                <w:sz w:val="20"/>
                <w:szCs w:val="20"/>
              </w:rPr>
            </m:ctrlPr>
          </m:fPr>
          <m:num>
            <m:r>
              <m:rPr/>
              <w:rPr>
                <w:rFonts w:ascii="Cambria Math" w:hAnsi="MS Gothic" w:eastAsia="MS Gothic" w:cs="MS Gothic"/>
                <w:sz w:val="20"/>
                <w:szCs w:val="20"/>
              </w:rPr>
              <m:t>2</m:t>
            </m:r>
            <m:ctrlPr>
              <w:rPr>
                <w:rFonts w:ascii="Cambria Math" w:hAnsi="MS Gothic" w:eastAsia="MS Gothic" w:cs="MS Gothic"/>
                <w:i/>
                <w:sz w:val="20"/>
                <w:szCs w:val="20"/>
              </w:rPr>
            </m:ctrlPr>
          </m:num>
          <m:den>
            <m:r>
              <m:rPr/>
              <w:rPr>
                <w:rFonts w:ascii="Cambria Math" w:hAnsi="MS Gothic" w:eastAsia="MS Gothic" w:cs="MS Gothic"/>
                <w:sz w:val="20"/>
                <w:szCs w:val="20"/>
              </w:rPr>
              <m:t>3</m:t>
            </m:r>
            <m:ctrlPr>
              <w:rPr>
                <w:rFonts w:ascii="Cambria Math" w:hAnsi="MS Gothic" w:eastAsia="MS Gothic" w:cs="MS Gothic"/>
                <w:i/>
                <w:sz w:val="20"/>
                <w:szCs w:val="20"/>
              </w:rPr>
            </m:ctrlPr>
          </m:den>
        </m:f>
        <m:r>
          <m:rPr/>
          <w:rPr>
            <w:rFonts w:ascii="Cambria Math" w:hAnsi="MS Gothic" w:eastAsia="MS Gothic" w:cs="MS Gothic"/>
            <w:sz w:val="20"/>
            <w:szCs w:val="20"/>
          </w:rPr>
          <m:t>H</m:t>
        </m:r>
        <m:r>
          <m:rPr>
            <m:sty m:val="p"/>
          </m:rPr>
          <w:rPr>
            <w:rFonts w:hint="eastAsia" w:ascii="Cambria Math" w:hAnsi="Cambria Math" w:cs="MS Gothic" w:eastAsiaTheme="minorEastAsia"/>
            <w:sz w:val="20"/>
            <w:szCs w:val="20"/>
          </w:rPr>
          <m:t>）</m:t>
        </m:r>
      </m:oMath>
      <w:r>
        <w:rPr>
          <w:rFonts w:hint="eastAsia" w:ascii="Cambria Math" w:hAnsi="Cambria Math"/>
          <w:i/>
          <w:iCs/>
          <w:kern w:val="0"/>
          <w:sz w:val="20"/>
          <w:szCs w:val="20"/>
          <w:lang w:bidi="ar"/>
        </w:rPr>
        <w:t xml:space="preserve">                                 </w:t>
      </w:r>
      <w:r>
        <w:rPr>
          <w:rFonts w:ascii="Cambria Math" w:hAnsi="Cambria Math"/>
          <w:iCs/>
          <w:kern w:val="0"/>
          <w:sz w:val="20"/>
          <w:szCs w:val="20"/>
          <w:lang w:bidi="ar"/>
        </w:rPr>
        <w:t xml:space="preserve"> (4.6.</w:t>
      </w:r>
      <w:r>
        <w:rPr>
          <w:rFonts w:hint="eastAsia" w:ascii="Cambria Math" w:hAnsi="Cambria Math"/>
          <w:iCs/>
          <w:kern w:val="0"/>
          <w:sz w:val="20"/>
          <w:szCs w:val="20"/>
          <w:lang w:bidi="ar"/>
        </w:rPr>
        <w:t>3</w:t>
      </w:r>
      <w:r>
        <w:rPr>
          <w:rFonts w:ascii="Cambria Math" w:hAnsi="Cambria Math"/>
          <w:iCs/>
          <w:kern w:val="0"/>
          <w:sz w:val="20"/>
          <w:szCs w:val="20"/>
          <w:lang w:bidi="ar"/>
        </w:rPr>
        <w:t>-2)</w:t>
      </w:r>
    </w:p>
    <w:p w14:paraId="13DDBAC0">
      <w:pPr>
        <w:snapToGrid w:val="0"/>
        <w:spacing w:line="288" w:lineRule="auto"/>
        <w:ind w:firstLine="350" w:firstLineChars="175"/>
        <w:rPr>
          <w:sz w:val="20"/>
          <w:szCs w:val="20"/>
        </w:rPr>
      </w:pPr>
      <w:r>
        <w:rPr>
          <w:rFonts w:hint="eastAsia"/>
          <w:sz w:val="20"/>
          <w:szCs w:val="20"/>
        </w:rPr>
        <w:t>当顶推轴线位于水位以下且土体为砂性土时，</w:t>
      </w:r>
    </w:p>
    <w:p w14:paraId="5EA7E389">
      <w:pPr>
        <w:snapToGrid w:val="0"/>
        <w:spacing w:line="288" w:lineRule="auto"/>
        <w:ind w:firstLine="2550" w:firstLineChars="1275"/>
        <w:rPr>
          <w:rFonts w:ascii="Cambria Math" w:hAnsi="Cambria Math"/>
          <w:iCs/>
          <w:kern w:val="0"/>
          <w:sz w:val="20"/>
          <w:szCs w:val="20"/>
          <w:lang w:bidi="ar"/>
        </w:rPr>
      </w:pPr>
      <m:oMath>
        <m:sSub>
          <m:sSubPr>
            <m:ctrlPr>
              <w:rPr>
                <w:rFonts w:ascii="Cambria Math" w:hAnsi="Cambria Math"/>
                <w:sz w:val="20"/>
                <w:szCs w:val="20"/>
              </w:rPr>
            </m:ctrlPr>
          </m:sSubPr>
          <m:e>
            <m:r>
              <m:rPr/>
              <w:rPr>
                <w:rFonts w:ascii="Cambria Math" w:hAnsi="Cambria Math"/>
                <w:sz w:val="20"/>
                <w:szCs w:val="20"/>
              </w:rPr>
              <m:t>P</m:t>
            </m:r>
            <m:ctrlPr>
              <w:rPr>
                <w:rFonts w:ascii="Cambria Math" w:hAnsi="Cambria Math"/>
                <w:sz w:val="20"/>
                <w:szCs w:val="20"/>
              </w:rPr>
            </m:ctrlPr>
          </m:e>
          <m:sub>
            <m:r>
              <m:rPr>
                <m:sty m:val="p"/>
              </m:rPr>
              <w:rPr>
                <w:rFonts w:hint="eastAsia" w:ascii="Cambria Math" w:hAnsi="Cambria Math"/>
                <w:sz w:val="20"/>
                <w:szCs w:val="20"/>
              </w:rPr>
              <m:t>c</m:t>
            </m:r>
            <m:ctrlPr>
              <w:rPr>
                <w:rFonts w:ascii="Cambria Math" w:hAnsi="Cambria Math"/>
                <w:sz w:val="20"/>
                <w:szCs w:val="20"/>
              </w:rPr>
            </m:ctrlPr>
          </m:sub>
        </m:sSub>
        <m:r>
          <m:rPr/>
          <w:rPr>
            <w:rFonts w:hint="eastAsia" w:ascii="Cambria Math" w:hAnsi="Cambria Math"/>
            <w:sz w:val="20"/>
            <w:szCs w:val="20"/>
          </w:rPr>
          <m:t>=</m:t>
        </m:r>
        <m:sSub>
          <m:sSubPr>
            <m:ctrlPr>
              <w:rPr>
                <w:rFonts w:ascii="Cambria Math" w:hAnsi="Cambria Math"/>
                <w:i/>
                <w:sz w:val="20"/>
                <w:szCs w:val="20"/>
              </w:rPr>
            </m:ctrlPr>
          </m:sSubPr>
          <m:e>
            <m:r>
              <m:rPr/>
              <w:rPr>
                <w:rFonts w:ascii="Cambria Math" w:hAnsi="Cambria Math"/>
                <w:sz w:val="20"/>
                <w:szCs w:val="20"/>
              </w:rPr>
              <m:t>K</m:t>
            </m:r>
            <m:ctrlPr>
              <w:rPr>
                <w:rFonts w:ascii="Cambria Math" w:hAnsi="Cambria Math"/>
                <w:i/>
                <w:sz w:val="20"/>
                <w:szCs w:val="20"/>
              </w:rPr>
            </m:ctrlPr>
          </m:e>
          <m:sub>
            <m:r>
              <m:rPr/>
              <w:rPr>
                <w:rFonts w:ascii="Cambria Math" w:hAnsi="Cambria Math"/>
                <w:sz w:val="20"/>
                <w:szCs w:val="20"/>
              </w:rPr>
              <m:t>0</m:t>
            </m:r>
            <m:ctrlPr>
              <w:rPr>
                <w:rFonts w:ascii="Cambria Math" w:hAnsi="Cambria Math"/>
                <w:i/>
                <w:sz w:val="20"/>
                <w:szCs w:val="20"/>
              </w:rPr>
            </m:ctrlPr>
          </m:sub>
        </m:sSub>
        <m:r>
          <m:rPr/>
          <w:rPr>
            <w:rFonts w:ascii="Cambria Math" w:hAnsi="Cambria Math"/>
            <w:sz w:val="20"/>
            <w:szCs w:val="20"/>
          </w:rPr>
          <m:t>γ</m:t>
        </m:r>
        <m:d>
          <m:dPr>
            <m:begChr m:val="（"/>
            <m:endChr m:val="）"/>
            <m:ctrlPr>
              <w:rPr>
                <w:rFonts w:ascii="Cambria Math" w:hAnsi="Cambria Math"/>
                <w:sz w:val="20"/>
                <w:szCs w:val="20"/>
              </w:rPr>
            </m:ctrlPr>
          </m:dPr>
          <m:e>
            <m:r>
              <m:rPr/>
              <w:rPr>
                <w:rFonts w:hint="eastAsia" w:ascii="MS Gothic" w:hAnsi="MS Gothic" w:eastAsia="MS Gothic" w:cs="MS Gothic"/>
                <w:sz w:val="20"/>
                <w:szCs w:val="20"/>
              </w:rPr>
              <m:t>ℎ</m:t>
            </m:r>
            <m:r>
              <m:rPr/>
              <w:rPr>
                <w:rFonts w:hint="eastAsia" w:ascii="Cambria Math" w:hAnsi="Cambria Math" w:cs="MS Gothic" w:eastAsiaTheme="minorEastAsia"/>
                <w:sz w:val="20"/>
                <w:szCs w:val="20"/>
              </w:rPr>
              <m:t>+</m:t>
            </m:r>
            <m:f>
              <m:fPr>
                <m:ctrlPr>
                  <w:rPr>
                    <w:rFonts w:ascii="Cambria Math" w:hAnsi="MS Gothic" w:eastAsia="MS Gothic" w:cs="MS Gothic"/>
                    <w:i/>
                    <w:sz w:val="20"/>
                    <w:szCs w:val="20"/>
                  </w:rPr>
                </m:ctrlPr>
              </m:fPr>
              <m:num>
                <m:r>
                  <m:rPr/>
                  <w:rPr>
                    <w:rFonts w:ascii="Cambria Math" w:hAnsi="MS Gothic" w:eastAsia="MS Gothic" w:cs="MS Gothic"/>
                    <w:sz w:val="20"/>
                    <w:szCs w:val="20"/>
                  </w:rPr>
                  <m:t>2</m:t>
                </m:r>
                <m:ctrlPr>
                  <w:rPr>
                    <w:rFonts w:ascii="Cambria Math" w:hAnsi="MS Gothic" w:eastAsia="MS Gothic" w:cs="MS Gothic"/>
                    <w:i/>
                    <w:sz w:val="20"/>
                    <w:szCs w:val="20"/>
                  </w:rPr>
                </m:ctrlPr>
              </m:num>
              <m:den>
                <m:r>
                  <m:rPr/>
                  <w:rPr>
                    <w:rFonts w:ascii="Cambria Math" w:hAnsi="MS Gothic" w:eastAsia="MS Gothic" w:cs="MS Gothic"/>
                    <w:sz w:val="20"/>
                    <w:szCs w:val="20"/>
                  </w:rPr>
                  <m:t>3</m:t>
                </m:r>
                <m:ctrlPr>
                  <w:rPr>
                    <w:rFonts w:ascii="Cambria Math" w:hAnsi="MS Gothic" w:eastAsia="MS Gothic" w:cs="MS Gothic"/>
                    <w:i/>
                    <w:sz w:val="20"/>
                    <w:szCs w:val="20"/>
                  </w:rPr>
                </m:ctrlPr>
              </m:den>
            </m:f>
            <m:r>
              <m:rPr/>
              <w:rPr>
                <w:rFonts w:ascii="Cambria Math" w:hAnsi="MS Gothic" w:eastAsia="MS Gothic" w:cs="MS Gothic"/>
                <w:sz w:val="20"/>
                <w:szCs w:val="20"/>
              </w:rPr>
              <m:t>H</m:t>
            </m:r>
            <m:ctrlPr>
              <w:rPr>
                <w:rFonts w:ascii="Cambria Math" w:hAnsi="Cambria Math" w:cs="MS Gothic" w:eastAsiaTheme="minorEastAsia"/>
                <w:sz w:val="20"/>
                <w:szCs w:val="20"/>
              </w:rPr>
            </m:ctrlPr>
          </m:e>
        </m:d>
        <m:r>
          <m:rPr>
            <m:sty m:val="p"/>
          </m:rPr>
          <w:rPr>
            <w:rFonts w:ascii="Cambria Math" w:hAnsi="Cambria Math" w:cs="MS Gothic" w:eastAsiaTheme="minorEastAsia"/>
            <w:sz w:val="20"/>
            <w:szCs w:val="20"/>
          </w:rPr>
          <m:t>+</m:t>
        </m:r>
        <m:sSub>
          <m:sSubPr>
            <m:ctrlPr>
              <w:rPr>
                <w:rFonts w:ascii="Cambria Math" w:hAnsi="Cambria Math" w:cs="MS Gothic" w:eastAsiaTheme="minorEastAsia"/>
                <w:sz w:val="20"/>
                <w:szCs w:val="20"/>
              </w:rPr>
            </m:ctrlPr>
          </m:sSubPr>
          <m:e>
            <m:r>
              <m:rPr/>
              <w:rPr>
                <w:rFonts w:ascii="Cambria Math" w:hAnsi="Cambria Math" w:cs="MS Gothic" w:eastAsiaTheme="minorEastAsia"/>
                <w:sz w:val="20"/>
                <w:szCs w:val="20"/>
              </w:rPr>
              <m:t>γ</m:t>
            </m:r>
            <m:ctrlPr>
              <w:rPr>
                <w:rFonts w:ascii="Cambria Math" w:hAnsi="Cambria Math" w:cs="MS Gothic" w:eastAsiaTheme="minorEastAsia"/>
                <w:sz w:val="20"/>
                <w:szCs w:val="20"/>
              </w:rPr>
            </m:ctrlPr>
          </m:e>
          <m:sub>
            <m:r>
              <m:rPr>
                <m:sty m:val="p"/>
              </m:rPr>
              <w:rPr>
                <w:rFonts w:hint="eastAsia" w:ascii="Cambria Math" w:hAnsi="Cambria Math" w:cs="MS Gothic" w:eastAsiaTheme="minorEastAsia"/>
                <w:sz w:val="20"/>
                <w:szCs w:val="20"/>
              </w:rPr>
              <m:t>w</m:t>
            </m:r>
            <m:ctrlPr>
              <w:rPr>
                <w:rFonts w:ascii="Cambria Math" w:hAnsi="Cambria Math" w:cs="MS Gothic" w:eastAsiaTheme="minorEastAsia"/>
                <w:sz w:val="20"/>
                <w:szCs w:val="20"/>
              </w:rPr>
            </m:ctrlPr>
          </m:sub>
        </m:sSub>
        <m:sSub>
          <m:sSubPr>
            <m:ctrlPr>
              <w:rPr>
                <w:rFonts w:ascii="Cambria Math" w:hAnsi="Cambria Math" w:cs="MS Gothic" w:eastAsiaTheme="minorEastAsia"/>
                <w:i/>
                <w:sz w:val="20"/>
                <w:szCs w:val="20"/>
              </w:rPr>
            </m:ctrlPr>
          </m:sSubPr>
          <m:e>
            <m:r>
              <m:rPr/>
              <w:rPr>
                <w:rFonts w:hint="eastAsia" w:ascii="MS Gothic" w:hAnsi="MS Gothic" w:eastAsia="MS Gothic" w:cs="MS Gothic"/>
                <w:sz w:val="20"/>
                <w:szCs w:val="20"/>
              </w:rPr>
              <m:t>ℎ</m:t>
            </m:r>
            <m:ctrlPr>
              <w:rPr>
                <w:rFonts w:ascii="Cambria Math" w:hAnsi="Cambria Math" w:cs="MS Gothic" w:eastAsiaTheme="minorEastAsia"/>
                <w:i/>
                <w:sz w:val="20"/>
                <w:szCs w:val="20"/>
              </w:rPr>
            </m:ctrlPr>
          </m:e>
          <m:sub>
            <m:r>
              <m:rPr>
                <m:sty m:val="p"/>
              </m:rPr>
              <w:rPr>
                <w:rFonts w:hint="eastAsia" w:ascii="Cambria Math" w:hAnsi="Cambria Math" w:cs="MS Gothic" w:eastAsiaTheme="minorEastAsia"/>
                <w:sz w:val="20"/>
                <w:szCs w:val="20"/>
              </w:rPr>
              <m:t>w</m:t>
            </m:r>
            <m:ctrlPr>
              <w:rPr>
                <w:rFonts w:ascii="Cambria Math" w:hAnsi="Cambria Math" w:cs="MS Gothic" w:eastAsiaTheme="minorEastAsia"/>
                <w:i/>
                <w:sz w:val="20"/>
                <w:szCs w:val="20"/>
              </w:rPr>
            </m:ctrlPr>
          </m:sub>
        </m:sSub>
      </m:oMath>
      <w:r>
        <w:rPr>
          <w:rFonts w:hint="eastAsia" w:ascii="Cambria Math" w:hAnsi="Cambria Math"/>
          <w:i/>
          <w:iCs/>
          <w:kern w:val="0"/>
          <w:sz w:val="20"/>
          <w:szCs w:val="20"/>
          <w:lang w:bidi="ar"/>
        </w:rPr>
        <w:t xml:space="preserve">                </w:t>
      </w:r>
      <w:r>
        <w:rPr>
          <w:rFonts w:ascii="Cambria Math" w:hAnsi="Cambria Math"/>
          <w:i/>
          <w:iCs/>
          <w:kern w:val="0"/>
          <w:sz w:val="20"/>
          <w:szCs w:val="20"/>
          <w:lang w:bidi="ar"/>
        </w:rPr>
        <w:t xml:space="preserve"> </w:t>
      </w:r>
      <w:r>
        <w:rPr>
          <w:rFonts w:hint="eastAsia" w:ascii="Cambria Math" w:hAnsi="Cambria Math"/>
          <w:i/>
          <w:iCs/>
          <w:kern w:val="0"/>
          <w:sz w:val="20"/>
          <w:szCs w:val="20"/>
          <w:lang w:bidi="ar"/>
        </w:rPr>
        <w:t xml:space="preserve">                 </w:t>
      </w:r>
      <w:r>
        <w:rPr>
          <w:rFonts w:ascii="Cambria Math" w:hAnsi="Cambria Math"/>
          <w:iCs/>
          <w:kern w:val="0"/>
          <w:sz w:val="20"/>
          <w:szCs w:val="20"/>
          <w:lang w:bidi="ar"/>
        </w:rPr>
        <w:t xml:space="preserve"> (4.6.</w:t>
      </w:r>
      <w:r>
        <w:rPr>
          <w:rFonts w:hint="eastAsia" w:ascii="Cambria Math" w:hAnsi="Cambria Math"/>
          <w:iCs/>
          <w:kern w:val="0"/>
          <w:sz w:val="20"/>
          <w:szCs w:val="20"/>
          <w:lang w:bidi="ar"/>
        </w:rPr>
        <w:t>3</w:t>
      </w:r>
      <w:r>
        <w:rPr>
          <w:rFonts w:ascii="Cambria Math" w:hAnsi="Cambria Math"/>
          <w:iCs/>
          <w:kern w:val="0"/>
          <w:sz w:val="20"/>
          <w:szCs w:val="20"/>
          <w:lang w:bidi="ar"/>
        </w:rPr>
        <w:t>-3)</w:t>
      </w:r>
    </w:p>
    <w:p w14:paraId="00233140">
      <w:pPr>
        <w:wordWrap w:val="0"/>
        <w:snapToGrid w:val="0"/>
        <w:spacing w:line="288" w:lineRule="auto"/>
        <w:ind w:firstLine="2550" w:firstLineChars="1275"/>
        <w:jc w:val="right"/>
        <w:rPr>
          <w:rFonts w:ascii="Cambria Math" w:hAnsi="Cambria Math"/>
          <w:iCs/>
          <w:kern w:val="0"/>
          <w:sz w:val="20"/>
          <w:szCs w:val="20"/>
          <w:lang w:bidi="ar"/>
        </w:rPr>
      </w:pPr>
      <m:oMath>
        <m:sSub>
          <m:sSubPr>
            <m:ctrlPr>
              <w:rPr>
                <w:rFonts w:ascii="Cambria Math" w:hAnsi="Cambria Math"/>
                <w:i/>
                <w:sz w:val="20"/>
                <w:szCs w:val="20"/>
              </w:rPr>
            </m:ctrlPr>
          </m:sSubPr>
          <m:e>
            <m:r>
              <m:rPr/>
              <w:rPr>
                <w:rFonts w:ascii="Cambria Math" w:hAnsi="Cambria Math"/>
                <w:sz w:val="20"/>
                <w:szCs w:val="20"/>
              </w:rPr>
              <m:t>K</m:t>
            </m:r>
            <m:ctrlPr>
              <w:rPr>
                <w:rFonts w:ascii="Cambria Math" w:hAnsi="Cambria Math"/>
                <w:i/>
                <w:sz w:val="20"/>
                <w:szCs w:val="20"/>
              </w:rPr>
            </m:ctrlPr>
          </m:e>
          <m:sub>
            <m:r>
              <m:rPr/>
              <w:rPr>
                <w:rFonts w:ascii="Cambria Math" w:hAnsi="Cambria Math"/>
                <w:sz w:val="20"/>
                <w:szCs w:val="20"/>
              </w:rPr>
              <m:t>0</m:t>
            </m:r>
            <m:ctrlPr>
              <w:rPr>
                <w:rFonts w:ascii="Cambria Math" w:hAnsi="Cambria Math"/>
                <w:i/>
                <w:sz w:val="20"/>
                <w:szCs w:val="20"/>
              </w:rPr>
            </m:ctrlPr>
          </m:sub>
        </m:sSub>
        <m:r>
          <m:rPr/>
          <w:rPr>
            <w:rFonts w:hint="eastAsia" w:ascii="Cambria Math" w:hAnsi="Cambria Math"/>
            <w:sz w:val="20"/>
            <w:szCs w:val="20"/>
          </w:rPr>
          <m:t>=</m:t>
        </m:r>
        <m:r>
          <m:rPr/>
          <w:rPr>
            <w:rFonts w:ascii="Cambria Math" w:hAnsi="Cambria Math"/>
            <w:sz w:val="20"/>
            <w:szCs w:val="20"/>
          </w:rPr>
          <m:t>1−</m:t>
        </m:r>
        <m:func>
          <m:funcPr>
            <m:ctrlPr>
              <w:rPr>
                <w:rFonts w:ascii="Cambria Math" w:hAnsi="Cambria Math"/>
                <w:i/>
                <w:sz w:val="20"/>
                <w:szCs w:val="20"/>
              </w:rPr>
            </m:ctrlPr>
          </m:funcPr>
          <m:fName>
            <m:r>
              <m:rPr>
                <m:sty m:val="p"/>
              </m:rPr>
              <w:rPr>
                <w:rFonts w:ascii="Cambria Math" w:hAnsi="Cambria Math"/>
                <w:sz w:val="20"/>
                <w:szCs w:val="20"/>
              </w:rPr>
              <m:t>sin</m:t>
            </m:r>
            <m:ctrlPr>
              <w:rPr>
                <w:rFonts w:ascii="Cambria Math" w:hAnsi="Cambria Math"/>
                <w:i/>
                <w:sz w:val="20"/>
                <w:szCs w:val="20"/>
              </w:rPr>
            </m:ctrlPr>
          </m:fName>
          <m:e>
            <m:r>
              <m:rPr/>
              <w:rPr>
                <w:rFonts w:ascii="Cambria Math" w:hAnsi="Cambria Math"/>
                <w:sz w:val="20"/>
                <w:szCs w:val="20"/>
              </w:rPr>
              <m:t>φ</m:t>
            </m:r>
            <m:ctrlPr>
              <w:rPr>
                <w:rFonts w:ascii="Cambria Math" w:hAnsi="Cambria Math"/>
                <w:i/>
                <w:sz w:val="20"/>
                <w:szCs w:val="20"/>
              </w:rPr>
            </m:ctrlPr>
          </m:e>
        </m:func>
      </m:oMath>
      <w:r>
        <w:rPr>
          <w:rFonts w:hint="eastAsia" w:ascii="Cambria Math" w:hAnsi="Cambria Math"/>
          <w:i/>
          <w:iCs/>
          <w:kern w:val="0"/>
          <w:sz w:val="20"/>
          <w:szCs w:val="20"/>
          <w:lang w:bidi="ar"/>
        </w:rPr>
        <w:t xml:space="preserve">                       </w:t>
      </w:r>
      <w:r>
        <w:rPr>
          <w:rFonts w:ascii="Cambria Math" w:hAnsi="Cambria Math"/>
          <w:i/>
          <w:iCs/>
          <w:kern w:val="0"/>
          <w:sz w:val="20"/>
          <w:szCs w:val="20"/>
          <w:lang w:bidi="ar"/>
        </w:rPr>
        <w:t xml:space="preserve"> </w:t>
      </w:r>
      <w:r>
        <w:rPr>
          <w:rFonts w:hint="eastAsia" w:ascii="Cambria Math" w:hAnsi="Cambria Math"/>
          <w:i/>
          <w:iCs/>
          <w:kern w:val="0"/>
          <w:sz w:val="20"/>
          <w:szCs w:val="20"/>
          <w:lang w:bidi="ar"/>
        </w:rPr>
        <w:t xml:space="preserve">              </w:t>
      </w:r>
      <w:r>
        <w:rPr>
          <w:rFonts w:ascii="Cambria Math" w:hAnsi="Cambria Math"/>
          <w:iCs/>
          <w:kern w:val="0"/>
          <w:sz w:val="20"/>
          <w:szCs w:val="20"/>
          <w:lang w:bidi="ar"/>
        </w:rPr>
        <w:t xml:space="preserve"> (4.6.</w:t>
      </w:r>
      <w:r>
        <w:rPr>
          <w:rFonts w:hint="eastAsia" w:ascii="Cambria Math" w:hAnsi="Cambria Math"/>
          <w:iCs/>
          <w:kern w:val="0"/>
          <w:sz w:val="20"/>
          <w:szCs w:val="20"/>
          <w:lang w:bidi="ar"/>
        </w:rPr>
        <w:t>3</w:t>
      </w:r>
      <w:r>
        <w:rPr>
          <w:rFonts w:ascii="Cambria Math" w:hAnsi="Cambria Math"/>
          <w:iCs/>
          <w:kern w:val="0"/>
          <w:sz w:val="20"/>
          <w:szCs w:val="20"/>
          <w:lang w:bidi="ar"/>
        </w:rPr>
        <w:t>-4)</w:t>
      </w:r>
    </w:p>
    <w:p w14:paraId="1F927A7B">
      <w:pPr>
        <w:snapToGrid w:val="0"/>
        <w:spacing w:line="288" w:lineRule="auto"/>
        <w:ind w:firstLine="350" w:firstLineChars="175"/>
        <w:rPr>
          <w:sz w:val="20"/>
          <w:szCs w:val="20"/>
        </w:rPr>
      </w:pPr>
      <w:r>
        <w:rPr>
          <w:rFonts w:hint="eastAsia"/>
          <w:sz w:val="20"/>
          <w:szCs w:val="20"/>
        </w:rPr>
        <w:t>式中：</w:t>
      </w:r>
      <w:r>
        <w:rPr>
          <w:sz w:val="20"/>
          <w:szCs w:val="20"/>
        </w:rPr>
        <w:t xml:space="preserve"> </w:t>
      </w:r>
    </w:p>
    <w:p w14:paraId="2D2FE289">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P</m:t>
            </m:r>
            <m:ctrlPr>
              <w:rPr>
                <w:rFonts w:ascii="Cambria Math" w:hAnsi="Cambria Math"/>
                <w:i/>
                <w:sz w:val="20"/>
                <w:szCs w:val="20"/>
              </w:rPr>
            </m:ctrlPr>
          </m:e>
          <m:sub>
            <m:r>
              <m:rPr/>
              <w:rPr>
                <w:rFonts w:hint="eastAsia" w:ascii="Cambria Math" w:hAnsi="Cambria Math"/>
                <w:sz w:val="20"/>
                <w:szCs w:val="20"/>
              </w:rPr>
              <m:t>c</m:t>
            </m:r>
            <m:ctrlPr>
              <w:rPr>
                <w:rFonts w:ascii="Cambria Math" w:hAnsi="Cambria Math"/>
                <w:i/>
                <w:sz w:val="20"/>
                <w:szCs w:val="20"/>
              </w:rPr>
            </m:ctrlPr>
          </m:sub>
        </m:sSub>
      </m:oMath>
      <w:r>
        <w:rPr>
          <w:sz w:val="20"/>
          <w:szCs w:val="20"/>
        </w:rPr>
        <w:t>—</w:t>
      </w:r>
      <w:r>
        <w:rPr>
          <w:rFonts w:hint="eastAsia"/>
          <w:sz w:val="20"/>
          <w:szCs w:val="20"/>
        </w:rPr>
        <w:t>刀盘迎面水、土压（kN/mm</w:t>
      </w:r>
      <w:r>
        <w:rPr>
          <w:sz w:val="20"/>
          <w:szCs w:val="20"/>
          <w:vertAlign w:val="superscript"/>
        </w:rPr>
        <w:t>2</w:t>
      </w:r>
      <w:r>
        <w:rPr>
          <w:rFonts w:hint="eastAsia"/>
          <w:sz w:val="20"/>
          <w:szCs w:val="20"/>
        </w:rPr>
        <w:t>）；</w:t>
      </w:r>
    </w:p>
    <w:p w14:paraId="70AB7629">
      <w:pPr>
        <w:snapToGrid w:val="0"/>
        <w:spacing w:line="288" w:lineRule="auto"/>
        <w:ind w:firstLine="950" w:firstLineChars="475"/>
        <w:rPr>
          <w:sz w:val="20"/>
          <w:szCs w:val="20"/>
        </w:rPr>
      </w:pPr>
      <m:oMath>
        <m:r>
          <m:rPr/>
          <w:rPr>
            <w:rFonts w:ascii="Cambria Math" w:hAnsi="MS Gothic" w:eastAsia="MS Gothic" w:cs="MS Gothic"/>
            <w:sz w:val="20"/>
            <w:szCs w:val="20"/>
          </w:rPr>
          <m:t>H'</m:t>
        </m:r>
      </m:oMath>
      <w:r>
        <w:rPr>
          <w:sz w:val="20"/>
          <w:szCs w:val="20"/>
        </w:rPr>
        <w:t>—</w:t>
      </w:r>
      <w:r>
        <w:rPr>
          <w:rFonts w:hint="eastAsia"/>
          <w:sz w:val="20"/>
          <w:szCs w:val="20"/>
        </w:rPr>
        <w:t>顶管机高度（m）；</w:t>
      </w:r>
    </w:p>
    <w:p w14:paraId="00AB298F">
      <w:pPr>
        <w:snapToGrid w:val="0"/>
        <w:spacing w:line="288" w:lineRule="auto"/>
        <w:ind w:firstLine="950" w:firstLineChars="475"/>
        <w:rPr>
          <w:sz w:val="20"/>
          <w:szCs w:val="20"/>
        </w:rPr>
      </w:pPr>
      <m:oMath>
        <m:r>
          <m:rPr/>
          <w:rPr>
            <w:rFonts w:ascii="Cambria Math" w:hAnsi="MS Gothic" w:eastAsia="MS Gothic" w:cs="MS Gothic"/>
            <w:sz w:val="20"/>
            <w:szCs w:val="20"/>
          </w:rPr>
          <m:t>B'</m:t>
        </m:r>
      </m:oMath>
      <w:r>
        <w:rPr>
          <w:sz w:val="20"/>
          <w:szCs w:val="20"/>
        </w:rPr>
        <w:t>—</w:t>
      </w:r>
      <w:r>
        <w:rPr>
          <w:rFonts w:hint="eastAsia"/>
          <w:sz w:val="20"/>
          <w:szCs w:val="20"/>
        </w:rPr>
        <w:t>顶管机宽度（m）；</w:t>
      </w:r>
    </w:p>
    <w:p w14:paraId="14BDDEF2">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K</m:t>
            </m:r>
            <m:ctrlPr>
              <w:rPr>
                <w:rFonts w:ascii="Cambria Math" w:hAnsi="Cambria Math"/>
                <w:i/>
                <w:sz w:val="20"/>
                <w:szCs w:val="20"/>
              </w:rPr>
            </m:ctrlPr>
          </m:e>
          <m:sub>
            <m:r>
              <m:rPr/>
              <w:rPr>
                <w:rFonts w:ascii="Cambria Math" w:hAnsi="Cambria Math"/>
                <w:sz w:val="20"/>
                <w:szCs w:val="20"/>
              </w:rPr>
              <m:t>0</m:t>
            </m:r>
            <m:ctrlPr>
              <w:rPr>
                <w:rFonts w:ascii="Cambria Math" w:hAnsi="Cambria Math"/>
                <w:i/>
                <w:sz w:val="20"/>
                <w:szCs w:val="20"/>
              </w:rPr>
            </m:ctrlPr>
          </m:sub>
        </m:sSub>
      </m:oMath>
      <w:r>
        <w:rPr>
          <w:sz w:val="20"/>
          <w:szCs w:val="20"/>
        </w:rPr>
        <w:t>—</w:t>
      </w:r>
      <w:r>
        <w:rPr>
          <w:rFonts w:hint="eastAsia"/>
          <w:sz w:val="20"/>
          <w:szCs w:val="20"/>
        </w:rPr>
        <w:t>静止土压力系数，勘察报告中未提及时，可按式（4</w:t>
      </w:r>
      <w:r>
        <w:rPr>
          <w:sz w:val="20"/>
          <w:szCs w:val="20"/>
        </w:rPr>
        <w:t>.6.3-3</w:t>
      </w:r>
      <w:r>
        <w:rPr>
          <w:rFonts w:hint="eastAsia"/>
          <w:sz w:val="20"/>
          <w:szCs w:val="20"/>
        </w:rPr>
        <w:t>）估算；</w:t>
      </w:r>
    </w:p>
    <w:p w14:paraId="480718C4">
      <w:pPr>
        <w:snapToGrid w:val="0"/>
        <w:spacing w:line="288" w:lineRule="auto"/>
        <w:ind w:firstLine="950" w:firstLineChars="475"/>
        <w:rPr>
          <w:sz w:val="20"/>
          <w:szCs w:val="20"/>
        </w:rPr>
      </w:pPr>
      <w:r>
        <w:rPr>
          <w:sz w:val="20"/>
          <w:szCs w:val="20"/>
        </w:rPr>
        <w:t>γ—</w:t>
      </w:r>
      <w:r>
        <w:rPr>
          <w:rFonts w:hint="eastAsia"/>
          <w:sz w:val="20"/>
          <w:szCs w:val="20"/>
        </w:rPr>
        <w:t>土的重度（kN/m</w:t>
      </w:r>
      <w:r>
        <w:rPr>
          <w:sz w:val="20"/>
          <w:szCs w:val="20"/>
          <w:vertAlign w:val="superscript"/>
        </w:rPr>
        <w:t>3</w:t>
      </w:r>
      <w:r>
        <w:rPr>
          <w:rFonts w:hint="eastAsia"/>
          <w:sz w:val="20"/>
          <w:szCs w:val="20"/>
        </w:rPr>
        <w:t>）；</w:t>
      </w:r>
    </w:p>
    <w:p w14:paraId="3285FB7D">
      <w:pPr>
        <w:snapToGrid w:val="0"/>
        <w:spacing w:line="288" w:lineRule="auto"/>
        <w:ind w:firstLine="950" w:firstLineChars="475"/>
        <w:rPr>
          <w:sz w:val="20"/>
          <w:szCs w:val="20"/>
        </w:rPr>
      </w:pPr>
      <m:oMath>
        <m:r>
          <m:rPr/>
          <w:rPr>
            <w:rFonts w:hint="eastAsia" w:ascii="Cambria Math" w:hAnsi="Cambria Math" w:eastAsia="MS Gothic" w:cs="MS Gothic"/>
            <w:sz w:val="20"/>
            <w:szCs w:val="20"/>
          </w:rPr>
          <m:t>ℎ</m:t>
        </m:r>
      </m:oMath>
      <w:r>
        <w:rPr>
          <w:sz w:val="20"/>
          <w:szCs w:val="20"/>
        </w:rPr>
        <w:t>—</w:t>
      </w:r>
      <w:r>
        <w:rPr>
          <w:rFonts w:hint="eastAsia"/>
          <w:sz w:val="20"/>
          <w:szCs w:val="20"/>
        </w:rPr>
        <w:t>管节埋深（m）；</w:t>
      </w:r>
    </w:p>
    <w:p w14:paraId="4C6414BD">
      <w:pPr>
        <w:snapToGrid w:val="0"/>
        <w:spacing w:line="288" w:lineRule="auto"/>
        <w:ind w:firstLine="950" w:firstLineChars="475"/>
        <w:rPr>
          <w:sz w:val="20"/>
          <w:szCs w:val="20"/>
        </w:rPr>
      </w:pPr>
      <m:oMath>
        <m:r>
          <m:rPr/>
          <w:rPr>
            <w:rFonts w:ascii="Cambria Math" w:hAnsi="MS Gothic" w:eastAsia="MS Gothic" w:cs="MS Gothic"/>
            <w:sz w:val="20"/>
            <w:szCs w:val="20"/>
          </w:rPr>
          <m:t>H</m:t>
        </m:r>
      </m:oMath>
      <w:r>
        <w:rPr>
          <w:sz w:val="20"/>
          <w:szCs w:val="20"/>
        </w:rPr>
        <w:t>—</w:t>
      </w:r>
      <w:r>
        <w:rPr>
          <w:rFonts w:hint="eastAsia"/>
          <w:sz w:val="20"/>
          <w:szCs w:val="20"/>
        </w:rPr>
        <w:t>管节高度（m）；</w:t>
      </w:r>
    </w:p>
    <w:p w14:paraId="201608F0">
      <w:pPr>
        <w:snapToGrid w:val="0"/>
        <w:spacing w:line="288" w:lineRule="auto"/>
        <w:ind w:firstLine="950" w:firstLineChars="475"/>
        <w:rPr>
          <w:sz w:val="20"/>
          <w:szCs w:val="20"/>
        </w:rPr>
      </w:pPr>
      <m:oMath>
        <m:sSub>
          <m:sSubPr>
            <m:ctrlPr>
              <w:rPr>
                <w:rFonts w:ascii="Cambria Math" w:hAnsi="Cambria Math" w:cs="MS Gothic" w:eastAsiaTheme="minorEastAsia"/>
                <w:sz w:val="20"/>
                <w:szCs w:val="20"/>
              </w:rPr>
            </m:ctrlPr>
          </m:sSubPr>
          <m:e>
            <m:r>
              <m:rPr/>
              <w:rPr>
                <w:rFonts w:ascii="Cambria Math" w:hAnsi="Cambria Math" w:cs="MS Gothic" w:eastAsiaTheme="minorEastAsia"/>
                <w:sz w:val="20"/>
                <w:szCs w:val="20"/>
              </w:rPr>
              <m:t>γ</m:t>
            </m:r>
            <m:ctrlPr>
              <w:rPr>
                <w:rFonts w:ascii="Cambria Math" w:hAnsi="Cambria Math" w:cs="MS Gothic" w:eastAsiaTheme="minorEastAsia"/>
                <w:sz w:val="20"/>
                <w:szCs w:val="20"/>
              </w:rPr>
            </m:ctrlPr>
          </m:e>
          <m:sub>
            <m:r>
              <m:rPr>
                <m:sty m:val="p"/>
              </m:rPr>
              <w:rPr>
                <w:rFonts w:hint="eastAsia" w:ascii="Cambria Math" w:hAnsi="Cambria Math" w:cs="MS Gothic" w:eastAsiaTheme="minorEastAsia"/>
                <w:sz w:val="20"/>
                <w:szCs w:val="20"/>
              </w:rPr>
              <m:t>w</m:t>
            </m:r>
            <m:ctrlPr>
              <w:rPr>
                <w:rFonts w:ascii="Cambria Math" w:hAnsi="Cambria Math" w:cs="MS Gothic" w:eastAsiaTheme="minorEastAsia"/>
                <w:sz w:val="20"/>
                <w:szCs w:val="20"/>
              </w:rPr>
            </m:ctrlPr>
          </m:sub>
        </m:sSub>
      </m:oMath>
      <w:r>
        <w:rPr>
          <w:sz w:val="20"/>
          <w:szCs w:val="20"/>
        </w:rPr>
        <w:t>—</w:t>
      </w:r>
      <w:r>
        <w:rPr>
          <w:rFonts w:hint="eastAsia"/>
          <w:sz w:val="20"/>
          <w:szCs w:val="20"/>
        </w:rPr>
        <w:t>水的重度（kN/m</w:t>
      </w:r>
      <w:r>
        <w:rPr>
          <w:sz w:val="20"/>
          <w:szCs w:val="20"/>
          <w:vertAlign w:val="superscript"/>
        </w:rPr>
        <w:t>3</w:t>
      </w:r>
      <w:r>
        <w:rPr>
          <w:rFonts w:hint="eastAsia"/>
          <w:sz w:val="20"/>
          <w:szCs w:val="20"/>
        </w:rPr>
        <w:t>）；</w:t>
      </w:r>
    </w:p>
    <w:p w14:paraId="00664720">
      <w:pPr>
        <w:snapToGrid w:val="0"/>
        <w:spacing w:line="288" w:lineRule="auto"/>
        <w:ind w:firstLine="950" w:firstLineChars="475"/>
        <w:rPr>
          <w:sz w:val="20"/>
          <w:szCs w:val="20"/>
        </w:rPr>
      </w:pPr>
      <m:oMath>
        <m:sSub>
          <m:sSubPr>
            <m:ctrlPr>
              <w:rPr>
                <w:rFonts w:ascii="Cambria Math" w:hAnsi="Cambria Math" w:cs="MS Gothic" w:eastAsiaTheme="minorEastAsia"/>
                <w:i/>
                <w:sz w:val="20"/>
                <w:szCs w:val="20"/>
              </w:rPr>
            </m:ctrlPr>
          </m:sSubPr>
          <m:e>
            <m:r>
              <m:rPr/>
              <w:rPr>
                <w:rFonts w:hint="eastAsia" w:ascii="Cambria Math" w:hAnsi="Cambria Math" w:eastAsia="MS Gothic" w:cs="MS Gothic"/>
                <w:sz w:val="20"/>
                <w:szCs w:val="20"/>
              </w:rPr>
              <m:t>ℎ</m:t>
            </m:r>
            <m:ctrlPr>
              <w:rPr>
                <w:rFonts w:ascii="Cambria Math" w:hAnsi="Cambria Math" w:cs="MS Gothic" w:eastAsiaTheme="minorEastAsia"/>
                <w:i/>
                <w:sz w:val="20"/>
                <w:szCs w:val="20"/>
              </w:rPr>
            </m:ctrlPr>
          </m:e>
          <m:sub>
            <m:r>
              <m:rPr>
                <m:sty m:val="p"/>
              </m:rPr>
              <w:rPr>
                <w:rFonts w:hint="eastAsia" w:ascii="Cambria Math" w:hAnsi="Cambria Math" w:cs="MS Gothic" w:eastAsiaTheme="minorEastAsia"/>
                <w:sz w:val="20"/>
                <w:szCs w:val="20"/>
              </w:rPr>
              <m:t>w</m:t>
            </m:r>
            <m:ctrlPr>
              <w:rPr>
                <w:rFonts w:ascii="Cambria Math" w:hAnsi="Cambria Math" w:cs="MS Gothic" w:eastAsiaTheme="minorEastAsia"/>
                <w:i/>
                <w:sz w:val="20"/>
                <w:szCs w:val="20"/>
              </w:rPr>
            </m:ctrlPr>
          </m:sub>
        </m:sSub>
      </m:oMath>
      <w:r>
        <w:rPr>
          <w:sz w:val="20"/>
          <w:szCs w:val="20"/>
        </w:rPr>
        <w:t>—</w:t>
      </w:r>
      <w:r>
        <w:rPr>
          <w:rFonts w:hint="eastAsia"/>
          <w:sz w:val="20"/>
          <w:szCs w:val="20"/>
        </w:rPr>
        <w:t>地下水位线到顶管机机头底部</w:t>
      </w:r>
      <m:oMath>
        <m:f>
          <m:fPr>
            <m:ctrlPr>
              <w:rPr>
                <w:rFonts w:ascii="Cambria Math" w:hAnsi="MS Gothic" w:eastAsia="MS Gothic" w:cs="MS Gothic"/>
                <w:i/>
                <w:sz w:val="20"/>
                <w:szCs w:val="20"/>
              </w:rPr>
            </m:ctrlPr>
          </m:fPr>
          <m:num>
            <m:r>
              <m:rPr/>
              <w:rPr>
                <w:rFonts w:ascii="Cambria Math" w:hAnsi="MS Gothic" w:eastAsia="MS Gothic" w:cs="MS Gothic"/>
                <w:sz w:val="20"/>
                <w:szCs w:val="20"/>
              </w:rPr>
              <m:t>1</m:t>
            </m:r>
            <m:ctrlPr>
              <w:rPr>
                <w:rFonts w:ascii="Cambria Math" w:hAnsi="MS Gothic" w:eastAsia="MS Gothic" w:cs="MS Gothic"/>
                <w:i/>
                <w:sz w:val="20"/>
                <w:szCs w:val="20"/>
              </w:rPr>
            </m:ctrlPr>
          </m:num>
          <m:den>
            <m:r>
              <m:rPr/>
              <w:rPr>
                <w:rFonts w:ascii="Cambria Math" w:hAnsi="MS Gothic" w:eastAsia="MS Gothic" w:cs="MS Gothic"/>
                <w:sz w:val="20"/>
                <w:szCs w:val="20"/>
              </w:rPr>
              <m:t>3</m:t>
            </m:r>
            <m:ctrlPr>
              <w:rPr>
                <w:rFonts w:ascii="Cambria Math" w:hAnsi="MS Gothic" w:eastAsia="MS Gothic" w:cs="MS Gothic"/>
                <w:i/>
                <w:sz w:val="20"/>
                <w:szCs w:val="20"/>
              </w:rPr>
            </m:ctrlPr>
          </m:den>
        </m:f>
        <m:r>
          <m:rPr/>
          <w:rPr>
            <w:rFonts w:ascii="Cambria Math" w:hAnsi="MS Gothic" w:eastAsia="MS Gothic" w:cs="MS Gothic"/>
            <w:sz w:val="20"/>
            <w:szCs w:val="20"/>
          </w:rPr>
          <m:t>H</m:t>
        </m:r>
      </m:oMath>
      <w:r>
        <w:rPr>
          <w:rFonts w:hint="eastAsia"/>
          <w:sz w:val="20"/>
          <w:szCs w:val="20"/>
        </w:rPr>
        <w:t>的高度（m）；</w:t>
      </w:r>
    </w:p>
    <w:p w14:paraId="137E6CCE">
      <w:pPr>
        <w:snapToGrid w:val="0"/>
        <w:spacing w:line="288" w:lineRule="auto"/>
        <w:ind w:firstLine="950" w:firstLineChars="475"/>
        <w:rPr>
          <w:sz w:val="20"/>
          <w:szCs w:val="20"/>
        </w:rPr>
      </w:pPr>
      <m:oMath>
        <m:r>
          <m:rPr/>
          <w:rPr>
            <w:rFonts w:ascii="Cambria Math" w:hAnsi="Cambria Math"/>
            <w:sz w:val="20"/>
            <w:szCs w:val="20"/>
          </w:rPr>
          <m:t>φ</m:t>
        </m:r>
      </m:oMath>
      <w:r>
        <w:rPr>
          <w:sz w:val="20"/>
          <w:szCs w:val="20"/>
        </w:rPr>
        <w:t>—</w:t>
      </w:r>
      <w:r>
        <w:rPr>
          <w:rFonts w:hint="eastAsia"/>
          <w:sz w:val="20"/>
          <w:szCs w:val="20"/>
        </w:rPr>
        <w:t>土的内摩擦角（°）；</w:t>
      </w:r>
    </w:p>
    <w:p w14:paraId="5079519C">
      <w:pPr>
        <w:snapToGrid w:val="0"/>
        <w:spacing w:line="288" w:lineRule="auto"/>
        <w:outlineLvl w:val="2"/>
        <w:rPr>
          <w:sz w:val="20"/>
          <w:szCs w:val="20"/>
        </w:rPr>
      </w:pPr>
      <w:r>
        <w:rPr>
          <w:b/>
          <w:sz w:val="20"/>
          <w:szCs w:val="20"/>
        </w:rPr>
        <w:t>4</w:t>
      </w:r>
      <w:r>
        <w:rPr>
          <w:rFonts w:hint="eastAsia"/>
          <w:b/>
          <w:sz w:val="20"/>
          <w:szCs w:val="20"/>
        </w:rPr>
        <w:t>.</w:t>
      </w:r>
      <w:r>
        <w:rPr>
          <w:b/>
          <w:sz w:val="20"/>
          <w:szCs w:val="20"/>
        </w:rPr>
        <w:t>6</w:t>
      </w:r>
      <w:r>
        <w:rPr>
          <w:rFonts w:hint="eastAsia"/>
          <w:b/>
          <w:sz w:val="20"/>
          <w:szCs w:val="20"/>
        </w:rPr>
        <w:t>.</w:t>
      </w:r>
      <w:r>
        <w:rPr>
          <w:b/>
          <w:sz w:val="20"/>
          <w:szCs w:val="20"/>
        </w:rPr>
        <w:t>4</w:t>
      </w:r>
      <w:r>
        <w:rPr>
          <w:sz w:val="20"/>
          <w:szCs w:val="20"/>
        </w:rPr>
        <w:t xml:space="preserve">  </w:t>
      </w:r>
      <w:r>
        <w:rPr>
          <w:rFonts w:hint="eastAsia"/>
          <w:sz w:val="20"/>
          <w:szCs w:val="20"/>
        </w:rPr>
        <w:t>矩形顶管总摩阻力可按下式计算：</w:t>
      </w:r>
    </w:p>
    <w:p w14:paraId="09DB4C29">
      <w:pPr>
        <w:wordWrap w:val="0"/>
        <w:snapToGrid w:val="0"/>
        <w:spacing w:line="288" w:lineRule="auto"/>
        <w:ind w:firstLine="1550" w:firstLineChars="775"/>
        <w:jc w:val="right"/>
        <w:rPr>
          <w:sz w:val="20"/>
          <w:szCs w:val="20"/>
        </w:rPr>
      </w:pPr>
      <m:oMath>
        <m:sSub>
          <m:sSubPr>
            <m:ctrlPr>
              <w:rPr>
                <w:rFonts w:ascii="Cambria Math" w:hAnsi="Cambria Math"/>
                <w:bCs/>
                <w:i/>
                <w:sz w:val="20"/>
                <w:szCs w:val="20"/>
              </w:rPr>
            </m:ctrlPr>
          </m:sSubPr>
          <m:e>
            <m:r>
              <m:rPr/>
              <w:rPr>
                <w:rFonts w:ascii="Cambria Math" w:hAnsi="Cambria Math"/>
                <w:sz w:val="20"/>
                <w:szCs w:val="20"/>
              </w:rPr>
              <m:t>F</m:t>
            </m:r>
            <m:ctrlPr>
              <w:rPr>
                <w:rFonts w:ascii="Cambria Math" w:hAnsi="Cambria Math"/>
                <w:bCs/>
                <w:i/>
                <w:sz w:val="20"/>
                <w:szCs w:val="20"/>
              </w:rPr>
            </m:ctrlPr>
          </m:e>
          <m:sub>
            <m:r>
              <m:rPr/>
              <w:rPr>
                <w:rFonts w:ascii="Cambria Math" w:hAnsi="Cambria Math"/>
                <w:sz w:val="20"/>
                <w:szCs w:val="20"/>
              </w:rPr>
              <m:t>f</m:t>
            </m:r>
            <m:ctrlPr>
              <w:rPr>
                <w:rFonts w:ascii="Cambria Math" w:hAnsi="Cambria Math"/>
                <w:bCs/>
                <w:i/>
                <w:sz w:val="20"/>
                <w:szCs w:val="20"/>
              </w:rPr>
            </m:ctrlPr>
          </m:sub>
        </m:sSub>
        <m:r>
          <m:rPr>
            <m:sty m:val="p"/>
          </m:rPr>
          <w:rPr>
            <w:rFonts w:ascii="Cambria Math" w:hAnsi="Cambria Math"/>
            <w:sz w:val="20"/>
            <w:szCs w:val="20"/>
          </w:rPr>
          <m:t>=2</m:t>
        </m:r>
        <m:r>
          <m:rPr/>
          <w:rPr>
            <w:rFonts w:ascii="Cambria Math" w:hAnsi="Cambria Math"/>
            <w:sz w:val="20"/>
            <w:szCs w:val="20"/>
          </w:rPr>
          <m:t>f</m:t>
        </m:r>
        <m:r>
          <m:rPr>
            <m:sty m:val="p"/>
          </m:rPr>
          <w:rPr>
            <w:rFonts w:ascii="Cambria Math" w:hAnsi="Cambria Math"/>
            <w:sz w:val="20"/>
            <w:szCs w:val="20"/>
          </w:rPr>
          <m:t>（</m:t>
        </m:r>
        <m:r>
          <m:rPr/>
          <w:rPr>
            <w:rFonts w:ascii="Cambria Math" w:hAnsi="Cambria Math"/>
            <w:sz w:val="20"/>
            <w:szCs w:val="20"/>
          </w:rPr>
          <m:t>B+H</m:t>
        </m:r>
      </m:oMath>
      <w:r>
        <w:rPr>
          <w:rFonts w:hint="eastAsia"/>
          <w:bCs/>
          <w:sz w:val="20"/>
          <w:szCs w:val="20"/>
        </w:rPr>
        <w:t>）</w:t>
      </w:r>
      <m:oMath>
        <m:r>
          <m:rPr>
            <m:sty m:val="p"/>
          </m:rPr>
          <w:rPr>
            <w:rFonts w:ascii="Cambria Math" w:hAnsi="Cambria Math"/>
            <w:sz w:val="20"/>
            <w:szCs w:val="20"/>
          </w:rPr>
          <m:t>×</m:t>
        </m:r>
        <m:sSub>
          <m:sSubPr>
            <m:ctrlPr>
              <w:rPr>
                <w:rFonts w:ascii="Cambria Math" w:hAnsi="Cambria Math"/>
                <w:bCs/>
                <w:i/>
                <w:sz w:val="20"/>
                <w:szCs w:val="20"/>
              </w:rPr>
            </m:ctrlPr>
          </m:sSubPr>
          <m:e>
            <m:r>
              <m:rPr/>
              <w:rPr>
                <w:rFonts w:ascii="Cambria Math" w:hAnsi="Cambria Math"/>
                <w:sz w:val="20"/>
                <w:szCs w:val="20"/>
              </w:rPr>
              <m:t>L</m:t>
            </m:r>
            <m:ctrlPr>
              <w:rPr>
                <w:rFonts w:ascii="Cambria Math" w:hAnsi="Cambria Math"/>
                <w:bCs/>
                <w:i/>
                <w:sz w:val="20"/>
                <w:szCs w:val="20"/>
              </w:rPr>
            </m:ctrlPr>
          </m:e>
          <m:sub>
            <m:r>
              <m:rPr/>
              <w:rPr>
                <w:rFonts w:ascii="Cambria Math" w:hAnsi="Cambria Math"/>
                <w:sz w:val="20"/>
                <w:szCs w:val="20"/>
              </w:rPr>
              <m:t>d</m:t>
            </m:r>
            <m:ctrlPr>
              <w:rPr>
                <w:rFonts w:ascii="Cambria Math" w:hAnsi="Cambria Math"/>
                <w:bCs/>
                <w:i/>
                <w:sz w:val="20"/>
                <w:szCs w:val="20"/>
              </w:rPr>
            </m:ctrlPr>
          </m:sub>
        </m:sSub>
      </m:oMath>
      <w:r>
        <w:rPr>
          <w:rFonts w:hint="eastAsia"/>
          <w:sz w:val="20"/>
          <w:szCs w:val="20"/>
        </w:rPr>
        <w:t xml:space="preserve">                           （</w:t>
      </w:r>
      <w:r>
        <w:rPr>
          <w:sz w:val="20"/>
          <w:szCs w:val="20"/>
        </w:rPr>
        <w:t>4.6.</w:t>
      </w:r>
      <w:r>
        <w:rPr>
          <w:rFonts w:hint="eastAsia"/>
          <w:sz w:val="20"/>
          <w:szCs w:val="20"/>
        </w:rPr>
        <w:t>4）</w:t>
      </w:r>
    </w:p>
    <w:p w14:paraId="0316F5F3">
      <w:pPr>
        <w:snapToGrid w:val="0"/>
        <w:spacing w:line="288" w:lineRule="auto"/>
        <w:ind w:firstLine="350" w:firstLineChars="175"/>
        <w:rPr>
          <w:sz w:val="20"/>
          <w:szCs w:val="20"/>
        </w:rPr>
      </w:pPr>
      <w:r>
        <w:rPr>
          <w:rFonts w:hint="eastAsia"/>
          <w:sz w:val="20"/>
          <w:szCs w:val="20"/>
        </w:rPr>
        <w:t>式中:</w:t>
      </w:r>
    </w:p>
    <w:p w14:paraId="7A8ADCBD">
      <w:pPr>
        <w:snapToGrid w:val="0"/>
        <w:spacing w:line="288" w:lineRule="auto"/>
        <w:ind w:firstLine="950" w:firstLineChars="475"/>
        <w:rPr>
          <w:sz w:val="20"/>
          <w:szCs w:val="20"/>
        </w:rPr>
      </w:pPr>
      <w:r>
        <w:rPr>
          <w:rFonts w:hint="eastAsia"/>
          <w:i/>
          <w:sz w:val="20"/>
          <w:szCs w:val="20"/>
        </w:rPr>
        <w:t>f</w:t>
      </w:r>
      <w:r>
        <w:rPr>
          <w:sz w:val="20"/>
          <w:szCs w:val="20"/>
        </w:rPr>
        <w:t>—</w:t>
      </w:r>
      <w:r>
        <w:rPr>
          <w:rFonts w:hint="eastAsia"/>
          <w:sz w:val="20"/>
          <w:szCs w:val="20"/>
        </w:rPr>
        <w:t>管节与土体接触面的摩阻力</w:t>
      </w:r>
      <w:r>
        <w:rPr>
          <w:sz w:val="20"/>
          <w:szCs w:val="20"/>
        </w:rPr>
        <w:t>（</w:t>
      </w:r>
      <w:r>
        <w:rPr>
          <w:rFonts w:hint="eastAsia"/>
          <w:sz w:val="20"/>
          <w:szCs w:val="20"/>
        </w:rPr>
        <w:t>kN/m</w:t>
      </w:r>
      <w:r>
        <w:rPr>
          <w:sz w:val="20"/>
          <w:szCs w:val="20"/>
          <w:vertAlign w:val="superscript"/>
        </w:rPr>
        <w:t>2</w:t>
      </w:r>
      <w:r>
        <w:rPr>
          <w:sz w:val="20"/>
          <w:szCs w:val="20"/>
        </w:rPr>
        <w:t>）</w:t>
      </w:r>
      <w:r>
        <w:rPr>
          <w:rFonts w:hint="eastAsia"/>
          <w:sz w:val="20"/>
          <w:szCs w:val="20"/>
        </w:rPr>
        <w:t>，结合北京地区经验可按表</w:t>
      </w:r>
      <w:r>
        <w:rPr>
          <w:sz w:val="20"/>
          <w:szCs w:val="20"/>
        </w:rPr>
        <w:t>4</w:t>
      </w:r>
      <w:r>
        <w:rPr>
          <w:rFonts w:hint="eastAsia"/>
          <w:sz w:val="20"/>
          <w:szCs w:val="20"/>
        </w:rPr>
        <w:t>.6.4取值；</w:t>
      </w:r>
    </w:p>
    <w:p w14:paraId="63668B64">
      <w:pPr>
        <w:snapToGrid w:val="0"/>
        <w:spacing w:line="288" w:lineRule="auto"/>
        <w:ind w:firstLine="950" w:firstLineChars="475"/>
        <w:rPr>
          <w:sz w:val="20"/>
          <w:szCs w:val="20"/>
        </w:rPr>
      </w:pPr>
      <m:oMath>
        <m:r>
          <m:rPr>
            <m:sty m:val="p"/>
          </m:rPr>
          <w:rPr>
            <w:rFonts w:ascii="Cambria Math" w:hAnsi="Cambria Math"/>
            <w:sz w:val="20"/>
            <w:szCs w:val="20"/>
          </w:rPr>
          <m:t>B</m:t>
        </m:r>
      </m:oMath>
      <w:r>
        <w:rPr>
          <w:sz w:val="20"/>
          <w:szCs w:val="20"/>
        </w:rPr>
        <w:t>—</w:t>
      </w:r>
      <w:r>
        <w:rPr>
          <w:rFonts w:hint="eastAsia"/>
          <w:sz w:val="20"/>
          <w:szCs w:val="20"/>
        </w:rPr>
        <w:t>管节外宽度（m）；</w:t>
      </w:r>
    </w:p>
    <w:p w14:paraId="4D644473">
      <w:pPr>
        <w:snapToGrid w:val="0"/>
        <w:spacing w:line="288" w:lineRule="auto"/>
        <w:ind w:firstLine="950" w:firstLineChars="475"/>
        <w:rPr>
          <w:sz w:val="20"/>
          <w:szCs w:val="20"/>
        </w:rPr>
      </w:pPr>
      <m:oMath>
        <m:r>
          <m:rPr>
            <m:sty m:val="p"/>
          </m:rPr>
          <w:rPr>
            <w:rFonts w:ascii="Cambria Math" w:hAnsi="Cambria Math"/>
            <w:sz w:val="20"/>
            <w:szCs w:val="20"/>
          </w:rPr>
          <m:t>H</m:t>
        </m:r>
      </m:oMath>
      <w:r>
        <w:rPr>
          <w:sz w:val="20"/>
          <w:szCs w:val="20"/>
        </w:rPr>
        <w:t>—</w:t>
      </w:r>
      <w:r>
        <w:rPr>
          <w:rFonts w:hint="eastAsia"/>
          <w:sz w:val="20"/>
          <w:szCs w:val="20"/>
        </w:rPr>
        <w:t>管节外高度（m）；</w:t>
      </w:r>
    </w:p>
    <w:p w14:paraId="32BF5D61">
      <w:pPr>
        <w:snapToGrid w:val="0"/>
        <w:spacing w:line="288" w:lineRule="auto"/>
        <w:ind w:firstLine="950" w:firstLineChars="475"/>
        <w:rPr>
          <w:sz w:val="20"/>
          <w:szCs w:val="20"/>
        </w:rPr>
      </w:pPr>
      <m:oMath>
        <m:sSub>
          <m:sSubPr>
            <m:ctrlPr>
              <w:rPr>
                <w:rFonts w:ascii="Cambria Math" w:hAnsi="Cambria Math"/>
                <w:sz w:val="20"/>
                <w:szCs w:val="20"/>
              </w:rPr>
            </m:ctrlPr>
          </m:sSubPr>
          <m:e>
            <m:r>
              <m:rPr/>
              <w:rPr>
                <w:rFonts w:ascii="Cambria Math" w:hAnsi="Cambria Math"/>
                <w:sz w:val="20"/>
                <w:szCs w:val="20"/>
              </w:rPr>
              <m:t>L</m:t>
            </m:r>
            <m:ctrlPr>
              <w:rPr>
                <w:rFonts w:ascii="Cambria Math" w:hAnsi="Cambria Math"/>
                <w:sz w:val="20"/>
                <w:szCs w:val="20"/>
              </w:rPr>
            </m:ctrlPr>
          </m:e>
          <m:sub>
            <m:r>
              <m:rPr/>
              <w:rPr>
                <w:rFonts w:ascii="Cambria Math" w:hAnsi="Cambria Math"/>
                <w:sz w:val="20"/>
                <w:szCs w:val="20"/>
              </w:rPr>
              <m:t>d</m:t>
            </m:r>
            <m:ctrlPr>
              <w:rPr>
                <w:rFonts w:ascii="Cambria Math" w:hAnsi="Cambria Math"/>
                <w:sz w:val="20"/>
                <w:szCs w:val="20"/>
              </w:rPr>
            </m:ctrlPr>
          </m:sub>
        </m:sSub>
      </m:oMath>
      <w:r>
        <w:rPr>
          <w:sz w:val="20"/>
          <w:szCs w:val="20"/>
        </w:rPr>
        <w:t>—</w:t>
      </w:r>
      <w:r>
        <w:rPr>
          <w:rFonts w:hint="eastAsia"/>
          <w:sz w:val="20"/>
          <w:szCs w:val="20"/>
        </w:rPr>
        <w:t>矩形顶管顶进长度（m）。</w:t>
      </w:r>
    </w:p>
    <w:p w14:paraId="2FA18B6B">
      <w:pPr>
        <w:snapToGrid w:val="0"/>
        <w:spacing w:line="288" w:lineRule="auto"/>
        <w:ind w:firstLine="315" w:firstLineChars="175"/>
        <w:jc w:val="center"/>
        <w:rPr>
          <w:rFonts w:ascii="黑体" w:hAnsi="黑体" w:eastAsia="黑体"/>
          <w:sz w:val="18"/>
          <w:szCs w:val="18"/>
        </w:rPr>
      </w:pPr>
      <w:r>
        <w:rPr>
          <w:rFonts w:hint="eastAsia" w:ascii="黑体" w:hAnsi="黑体" w:eastAsia="黑体"/>
          <w:sz w:val="18"/>
          <w:szCs w:val="18"/>
        </w:rPr>
        <w:t>表</w:t>
      </w:r>
      <w:r>
        <w:rPr>
          <w:rFonts w:eastAsia="黑体"/>
          <w:sz w:val="18"/>
          <w:szCs w:val="18"/>
        </w:rPr>
        <w:t xml:space="preserve">4.6.4 </w:t>
      </w:r>
      <w:r>
        <w:rPr>
          <w:rFonts w:hint="eastAsia" w:eastAsia="黑体"/>
          <w:sz w:val="18"/>
          <w:szCs w:val="18"/>
        </w:rPr>
        <w:t xml:space="preserve"> </w:t>
      </w:r>
      <w:r>
        <w:rPr>
          <w:rFonts w:hint="eastAsia" w:ascii="黑体" w:hAnsi="黑体" w:eastAsia="黑体"/>
          <w:sz w:val="18"/>
          <w:szCs w:val="18"/>
        </w:rPr>
        <w:t>管节与</w:t>
      </w:r>
      <w:r>
        <w:rPr>
          <w:rFonts w:ascii="黑体" w:hAnsi="黑体" w:eastAsia="黑体"/>
          <w:sz w:val="18"/>
          <w:szCs w:val="18"/>
        </w:rPr>
        <w:t>土体接触面的摩</w:t>
      </w:r>
      <w:r>
        <w:rPr>
          <w:rFonts w:hint="eastAsia" w:ascii="黑体" w:hAnsi="黑体" w:eastAsia="黑体"/>
          <w:sz w:val="18"/>
          <w:szCs w:val="18"/>
        </w:rPr>
        <w:t>阻</w:t>
      </w:r>
      <w:r>
        <w:rPr>
          <w:rFonts w:ascii="黑体" w:hAnsi="黑体" w:eastAsia="黑体"/>
          <w:sz w:val="18"/>
          <w:szCs w:val="18"/>
        </w:rPr>
        <w:t>力（</w:t>
      </w:r>
      <w:r>
        <w:rPr>
          <w:rFonts w:hint="eastAsia" w:ascii="黑体" w:hAnsi="黑体" w:eastAsia="黑体"/>
          <w:sz w:val="18"/>
          <w:szCs w:val="18"/>
        </w:rPr>
        <w:t>kN/m</w:t>
      </w:r>
      <w:r>
        <w:rPr>
          <w:rFonts w:ascii="黑体" w:hAnsi="黑体" w:eastAsia="黑体"/>
          <w:sz w:val="18"/>
          <w:szCs w:val="18"/>
          <w:vertAlign w:val="superscript"/>
        </w:rPr>
        <w:t>2</w:t>
      </w:r>
      <w:r>
        <w:rPr>
          <w:rFonts w:ascii="黑体" w:hAnsi="黑体" w:eastAsia="黑体"/>
          <w:sz w:val="18"/>
          <w:szCs w:val="18"/>
        </w:rPr>
        <w:t>）</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96"/>
        <w:gridCol w:w="1616"/>
        <w:gridCol w:w="1417"/>
        <w:gridCol w:w="1360"/>
        <w:gridCol w:w="1319"/>
      </w:tblGrid>
      <w:tr w14:paraId="1A5B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05" w:type="dxa"/>
            <w:vAlign w:val="center"/>
          </w:tcPr>
          <w:p w14:paraId="5CD5D520">
            <w:pPr>
              <w:snapToGrid w:val="0"/>
              <w:spacing w:line="288" w:lineRule="auto"/>
              <w:jc w:val="center"/>
              <w:rPr>
                <w:sz w:val="15"/>
                <w:szCs w:val="15"/>
              </w:rPr>
            </w:pPr>
            <w:r>
              <w:rPr>
                <w:rFonts w:hint="eastAsia"/>
                <w:sz w:val="15"/>
                <w:szCs w:val="15"/>
              </w:rPr>
              <w:t>序号</w:t>
            </w:r>
          </w:p>
        </w:tc>
        <w:tc>
          <w:tcPr>
            <w:tcW w:w="1596" w:type="dxa"/>
            <w:shd w:val="clear" w:color="auto" w:fill="auto"/>
            <w:vAlign w:val="center"/>
          </w:tcPr>
          <w:p w14:paraId="3A8DEA42">
            <w:pPr>
              <w:snapToGrid w:val="0"/>
              <w:spacing w:line="288" w:lineRule="auto"/>
              <w:jc w:val="center"/>
              <w:rPr>
                <w:sz w:val="15"/>
                <w:szCs w:val="15"/>
              </w:rPr>
            </w:pPr>
            <w:r>
              <w:rPr>
                <w:sz w:val="15"/>
                <w:szCs w:val="15"/>
              </w:rPr>
              <w:t>类别</w:t>
            </w:r>
          </w:p>
        </w:tc>
        <w:tc>
          <w:tcPr>
            <w:tcW w:w="1616" w:type="dxa"/>
            <w:shd w:val="clear" w:color="auto" w:fill="auto"/>
            <w:vAlign w:val="center"/>
          </w:tcPr>
          <w:p w14:paraId="4CEF486F">
            <w:pPr>
              <w:snapToGrid w:val="0"/>
              <w:spacing w:line="288" w:lineRule="auto"/>
              <w:jc w:val="center"/>
              <w:rPr>
                <w:sz w:val="15"/>
                <w:szCs w:val="15"/>
              </w:rPr>
            </w:pPr>
            <w:r>
              <w:rPr>
                <w:sz w:val="15"/>
                <w:szCs w:val="15"/>
              </w:rPr>
              <w:t>软粘土</w:t>
            </w:r>
          </w:p>
        </w:tc>
        <w:tc>
          <w:tcPr>
            <w:tcW w:w="1417" w:type="dxa"/>
            <w:shd w:val="clear" w:color="auto" w:fill="auto"/>
            <w:vAlign w:val="center"/>
          </w:tcPr>
          <w:p w14:paraId="1347F2DE">
            <w:pPr>
              <w:snapToGrid w:val="0"/>
              <w:spacing w:line="288" w:lineRule="auto"/>
              <w:jc w:val="center"/>
              <w:rPr>
                <w:sz w:val="15"/>
                <w:szCs w:val="15"/>
              </w:rPr>
            </w:pPr>
            <w:r>
              <w:rPr>
                <w:sz w:val="15"/>
                <w:szCs w:val="15"/>
              </w:rPr>
              <w:t>粉性土</w:t>
            </w:r>
          </w:p>
        </w:tc>
        <w:tc>
          <w:tcPr>
            <w:tcW w:w="1360" w:type="dxa"/>
            <w:shd w:val="clear" w:color="auto" w:fill="auto"/>
            <w:vAlign w:val="center"/>
          </w:tcPr>
          <w:p w14:paraId="05284EDA">
            <w:pPr>
              <w:snapToGrid w:val="0"/>
              <w:spacing w:line="288" w:lineRule="auto"/>
              <w:jc w:val="center"/>
              <w:rPr>
                <w:sz w:val="15"/>
                <w:szCs w:val="15"/>
              </w:rPr>
            </w:pPr>
            <w:r>
              <w:rPr>
                <w:sz w:val="15"/>
                <w:szCs w:val="15"/>
              </w:rPr>
              <w:t>粉细砂</w:t>
            </w:r>
          </w:p>
        </w:tc>
        <w:tc>
          <w:tcPr>
            <w:tcW w:w="1319" w:type="dxa"/>
            <w:shd w:val="clear" w:color="auto" w:fill="auto"/>
            <w:vAlign w:val="center"/>
          </w:tcPr>
          <w:p w14:paraId="71E0BE0A">
            <w:pPr>
              <w:snapToGrid w:val="0"/>
              <w:spacing w:line="288" w:lineRule="auto"/>
              <w:jc w:val="center"/>
              <w:rPr>
                <w:sz w:val="15"/>
                <w:szCs w:val="15"/>
              </w:rPr>
            </w:pPr>
            <w:r>
              <w:rPr>
                <w:sz w:val="15"/>
                <w:szCs w:val="15"/>
              </w:rPr>
              <w:t>中粗砂</w:t>
            </w:r>
          </w:p>
        </w:tc>
      </w:tr>
      <w:tr w14:paraId="1A91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05" w:type="dxa"/>
            <w:vAlign w:val="center"/>
          </w:tcPr>
          <w:p w14:paraId="5E81762C">
            <w:pPr>
              <w:snapToGrid w:val="0"/>
              <w:spacing w:line="288" w:lineRule="auto"/>
              <w:jc w:val="center"/>
              <w:rPr>
                <w:sz w:val="15"/>
                <w:szCs w:val="15"/>
              </w:rPr>
            </w:pPr>
            <w:r>
              <w:rPr>
                <w:rFonts w:hint="eastAsia"/>
                <w:sz w:val="15"/>
                <w:szCs w:val="15"/>
              </w:rPr>
              <w:t>1</w:t>
            </w:r>
          </w:p>
        </w:tc>
        <w:tc>
          <w:tcPr>
            <w:tcW w:w="1596" w:type="dxa"/>
            <w:shd w:val="clear" w:color="auto" w:fill="auto"/>
            <w:vAlign w:val="center"/>
          </w:tcPr>
          <w:p w14:paraId="71C7B404">
            <w:pPr>
              <w:snapToGrid w:val="0"/>
              <w:spacing w:line="288" w:lineRule="auto"/>
              <w:jc w:val="center"/>
              <w:rPr>
                <w:sz w:val="15"/>
                <w:szCs w:val="15"/>
              </w:rPr>
            </w:pPr>
            <w:r>
              <w:rPr>
                <w:sz w:val="15"/>
                <w:szCs w:val="15"/>
              </w:rPr>
              <w:t>混凝土与土体</w:t>
            </w:r>
          </w:p>
        </w:tc>
        <w:tc>
          <w:tcPr>
            <w:tcW w:w="1616" w:type="dxa"/>
            <w:shd w:val="clear" w:color="auto" w:fill="auto"/>
            <w:vAlign w:val="center"/>
          </w:tcPr>
          <w:p w14:paraId="50493C35">
            <w:pPr>
              <w:snapToGrid w:val="0"/>
              <w:spacing w:line="288" w:lineRule="auto"/>
              <w:jc w:val="center"/>
              <w:rPr>
                <w:sz w:val="15"/>
                <w:szCs w:val="15"/>
              </w:rPr>
            </w:pPr>
            <w:r>
              <w:rPr>
                <w:sz w:val="15"/>
                <w:szCs w:val="15"/>
              </w:rPr>
              <w:t>3.0</w:t>
            </w:r>
            <w:r>
              <w:rPr>
                <w:rFonts w:hint="eastAsia"/>
                <w:sz w:val="15"/>
                <w:szCs w:val="15"/>
              </w:rPr>
              <w:t>～</w:t>
            </w:r>
            <w:r>
              <w:rPr>
                <w:sz w:val="15"/>
                <w:szCs w:val="15"/>
              </w:rPr>
              <w:t>5.0</w:t>
            </w:r>
          </w:p>
        </w:tc>
        <w:tc>
          <w:tcPr>
            <w:tcW w:w="1417" w:type="dxa"/>
            <w:shd w:val="clear" w:color="auto" w:fill="auto"/>
            <w:vAlign w:val="center"/>
          </w:tcPr>
          <w:p w14:paraId="29FF027D">
            <w:pPr>
              <w:snapToGrid w:val="0"/>
              <w:spacing w:line="288" w:lineRule="auto"/>
              <w:jc w:val="center"/>
              <w:rPr>
                <w:sz w:val="15"/>
                <w:szCs w:val="15"/>
              </w:rPr>
            </w:pPr>
            <w:r>
              <w:rPr>
                <w:sz w:val="15"/>
                <w:szCs w:val="15"/>
              </w:rPr>
              <w:t>5.0</w:t>
            </w:r>
            <w:r>
              <w:rPr>
                <w:rFonts w:hint="eastAsia"/>
                <w:sz w:val="15"/>
                <w:szCs w:val="15"/>
              </w:rPr>
              <w:t>～</w:t>
            </w:r>
            <w:r>
              <w:rPr>
                <w:sz w:val="15"/>
                <w:szCs w:val="15"/>
              </w:rPr>
              <w:t>8.0</w:t>
            </w:r>
          </w:p>
        </w:tc>
        <w:tc>
          <w:tcPr>
            <w:tcW w:w="1360" w:type="dxa"/>
            <w:shd w:val="clear" w:color="auto" w:fill="auto"/>
            <w:vAlign w:val="center"/>
          </w:tcPr>
          <w:p w14:paraId="3AF1C62E">
            <w:pPr>
              <w:snapToGrid w:val="0"/>
              <w:spacing w:line="288" w:lineRule="auto"/>
              <w:jc w:val="center"/>
              <w:rPr>
                <w:sz w:val="15"/>
                <w:szCs w:val="15"/>
              </w:rPr>
            </w:pPr>
            <w:r>
              <w:rPr>
                <w:sz w:val="15"/>
                <w:szCs w:val="15"/>
              </w:rPr>
              <w:t>8.0</w:t>
            </w:r>
            <w:r>
              <w:rPr>
                <w:rFonts w:hint="eastAsia"/>
                <w:sz w:val="15"/>
                <w:szCs w:val="15"/>
              </w:rPr>
              <w:t>～</w:t>
            </w:r>
            <w:r>
              <w:rPr>
                <w:sz w:val="15"/>
                <w:szCs w:val="15"/>
              </w:rPr>
              <w:t>11.0</w:t>
            </w:r>
          </w:p>
        </w:tc>
        <w:tc>
          <w:tcPr>
            <w:tcW w:w="1319" w:type="dxa"/>
            <w:shd w:val="clear" w:color="auto" w:fill="auto"/>
            <w:vAlign w:val="center"/>
          </w:tcPr>
          <w:p w14:paraId="19AAF0F5">
            <w:pPr>
              <w:snapToGrid w:val="0"/>
              <w:spacing w:line="288" w:lineRule="auto"/>
              <w:jc w:val="center"/>
              <w:rPr>
                <w:sz w:val="15"/>
                <w:szCs w:val="15"/>
              </w:rPr>
            </w:pPr>
            <w:r>
              <w:rPr>
                <w:sz w:val="15"/>
                <w:szCs w:val="15"/>
              </w:rPr>
              <w:t>11.0</w:t>
            </w:r>
            <w:r>
              <w:rPr>
                <w:rFonts w:hint="eastAsia"/>
                <w:sz w:val="15"/>
                <w:szCs w:val="15"/>
              </w:rPr>
              <w:t>～</w:t>
            </w:r>
            <w:r>
              <w:rPr>
                <w:sz w:val="15"/>
                <w:szCs w:val="15"/>
              </w:rPr>
              <w:t>16.0</w:t>
            </w:r>
          </w:p>
        </w:tc>
      </w:tr>
      <w:tr w14:paraId="33AD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05" w:type="dxa"/>
            <w:vAlign w:val="center"/>
          </w:tcPr>
          <w:p w14:paraId="5BA424AA">
            <w:pPr>
              <w:snapToGrid w:val="0"/>
              <w:spacing w:line="288" w:lineRule="auto"/>
              <w:jc w:val="center"/>
              <w:rPr>
                <w:sz w:val="15"/>
                <w:szCs w:val="15"/>
              </w:rPr>
            </w:pPr>
            <w:r>
              <w:rPr>
                <w:rFonts w:hint="eastAsia"/>
                <w:sz w:val="15"/>
                <w:szCs w:val="15"/>
              </w:rPr>
              <w:t>2</w:t>
            </w:r>
          </w:p>
        </w:tc>
        <w:tc>
          <w:tcPr>
            <w:tcW w:w="1596" w:type="dxa"/>
            <w:shd w:val="clear" w:color="auto" w:fill="auto"/>
            <w:vAlign w:val="center"/>
          </w:tcPr>
          <w:p w14:paraId="4E888C08">
            <w:pPr>
              <w:snapToGrid w:val="0"/>
              <w:spacing w:line="288" w:lineRule="auto"/>
              <w:jc w:val="center"/>
              <w:rPr>
                <w:sz w:val="15"/>
                <w:szCs w:val="15"/>
              </w:rPr>
            </w:pPr>
            <w:r>
              <w:rPr>
                <w:sz w:val="15"/>
                <w:szCs w:val="15"/>
              </w:rPr>
              <w:t>钢与土体</w:t>
            </w:r>
          </w:p>
        </w:tc>
        <w:tc>
          <w:tcPr>
            <w:tcW w:w="1616" w:type="dxa"/>
            <w:shd w:val="clear" w:color="auto" w:fill="auto"/>
            <w:vAlign w:val="center"/>
          </w:tcPr>
          <w:p w14:paraId="484528F2">
            <w:pPr>
              <w:snapToGrid w:val="0"/>
              <w:spacing w:line="288" w:lineRule="auto"/>
              <w:jc w:val="center"/>
              <w:rPr>
                <w:sz w:val="15"/>
                <w:szCs w:val="15"/>
              </w:rPr>
            </w:pPr>
            <w:r>
              <w:rPr>
                <w:sz w:val="15"/>
                <w:szCs w:val="15"/>
              </w:rPr>
              <w:t>3.0</w:t>
            </w:r>
            <w:r>
              <w:rPr>
                <w:rFonts w:hint="eastAsia"/>
                <w:sz w:val="15"/>
                <w:szCs w:val="15"/>
              </w:rPr>
              <w:t>～</w:t>
            </w:r>
            <w:r>
              <w:rPr>
                <w:sz w:val="15"/>
                <w:szCs w:val="15"/>
              </w:rPr>
              <w:t>4.0</w:t>
            </w:r>
          </w:p>
        </w:tc>
        <w:tc>
          <w:tcPr>
            <w:tcW w:w="1417" w:type="dxa"/>
            <w:shd w:val="clear" w:color="auto" w:fill="auto"/>
            <w:vAlign w:val="center"/>
          </w:tcPr>
          <w:p w14:paraId="350EF959">
            <w:pPr>
              <w:snapToGrid w:val="0"/>
              <w:spacing w:line="288" w:lineRule="auto"/>
              <w:jc w:val="center"/>
              <w:rPr>
                <w:sz w:val="15"/>
                <w:szCs w:val="15"/>
              </w:rPr>
            </w:pPr>
            <w:r>
              <w:rPr>
                <w:sz w:val="15"/>
                <w:szCs w:val="15"/>
              </w:rPr>
              <w:t>4.0</w:t>
            </w:r>
            <w:r>
              <w:rPr>
                <w:rFonts w:hint="eastAsia"/>
                <w:sz w:val="15"/>
                <w:szCs w:val="15"/>
              </w:rPr>
              <w:t>～</w:t>
            </w:r>
            <w:r>
              <w:rPr>
                <w:sz w:val="15"/>
                <w:szCs w:val="15"/>
              </w:rPr>
              <w:t>7.0</w:t>
            </w:r>
          </w:p>
        </w:tc>
        <w:tc>
          <w:tcPr>
            <w:tcW w:w="1360" w:type="dxa"/>
            <w:shd w:val="clear" w:color="auto" w:fill="auto"/>
            <w:vAlign w:val="center"/>
          </w:tcPr>
          <w:p w14:paraId="6F835391">
            <w:pPr>
              <w:snapToGrid w:val="0"/>
              <w:spacing w:line="288" w:lineRule="auto"/>
              <w:jc w:val="center"/>
              <w:rPr>
                <w:sz w:val="15"/>
                <w:szCs w:val="15"/>
              </w:rPr>
            </w:pPr>
            <w:r>
              <w:rPr>
                <w:sz w:val="15"/>
                <w:szCs w:val="15"/>
              </w:rPr>
              <w:t>7.0</w:t>
            </w:r>
            <w:r>
              <w:rPr>
                <w:rFonts w:hint="eastAsia"/>
                <w:sz w:val="15"/>
                <w:szCs w:val="15"/>
              </w:rPr>
              <w:t>～</w:t>
            </w:r>
            <w:r>
              <w:rPr>
                <w:sz w:val="15"/>
                <w:szCs w:val="15"/>
              </w:rPr>
              <w:t>10.0</w:t>
            </w:r>
          </w:p>
        </w:tc>
        <w:tc>
          <w:tcPr>
            <w:tcW w:w="1319" w:type="dxa"/>
            <w:shd w:val="clear" w:color="auto" w:fill="auto"/>
            <w:vAlign w:val="center"/>
          </w:tcPr>
          <w:p w14:paraId="40782830">
            <w:pPr>
              <w:snapToGrid w:val="0"/>
              <w:spacing w:line="288" w:lineRule="auto"/>
              <w:jc w:val="center"/>
              <w:rPr>
                <w:sz w:val="15"/>
                <w:szCs w:val="15"/>
              </w:rPr>
            </w:pPr>
            <w:r>
              <w:rPr>
                <w:sz w:val="15"/>
                <w:szCs w:val="15"/>
              </w:rPr>
              <w:t>10.0</w:t>
            </w:r>
            <w:r>
              <w:rPr>
                <w:rFonts w:hint="eastAsia"/>
                <w:sz w:val="15"/>
                <w:szCs w:val="15"/>
              </w:rPr>
              <w:t>～</w:t>
            </w:r>
            <w:r>
              <w:rPr>
                <w:sz w:val="15"/>
                <w:szCs w:val="15"/>
              </w:rPr>
              <w:t>13.0</w:t>
            </w:r>
          </w:p>
        </w:tc>
      </w:tr>
    </w:tbl>
    <w:p w14:paraId="3F3863EE">
      <w:pPr>
        <w:snapToGrid w:val="0"/>
        <w:spacing w:line="288" w:lineRule="auto"/>
        <w:ind w:firstLine="350" w:firstLineChars="175"/>
        <w:rPr>
          <w:sz w:val="20"/>
          <w:szCs w:val="20"/>
        </w:rPr>
      </w:pPr>
    </w:p>
    <w:p w14:paraId="5FFC68EC">
      <w:pPr>
        <w:snapToGrid w:val="0"/>
        <w:spacing w:line="288" w:lineRule="auto"/>
        <w:outlineLvl w:val="2"/>
        <w:rPr>
          <w:sz w:val="20"/>
          <w:szCs w:val="20"/>
        </w:rPr>
      </w:pPr>
      <w:r>
        <w:rPr>
          <w:rFonts w:hint="eastAsia"/>
          <w:b/>
          <w:sz w:val="20"/>
          <w:szCs w:val="20"/>
        </w:rPr>
        <w:t>4.</w:t>
      </w:r>
      <w:r>
        <w:rPr>
          <w:b/>
          <w:sz w:val="20"/>
          <w:szCs w:val="20"/>
        </w:rPr>
        <w:t>6</w:t>
      </w:r>
      <w:r>
        <w:rPr>
          <w:rFonts w:hint="eastAsia"/>
          <w:b/>
          <w:sz w:val="20"/>
          <w:szCs w:val="20"/>
        </w:rPr>
        <w:t>.</w:t>
      </w:r>
      <w:r>
        <w:rPr>
          <w:b/>
          <w:sz w:val="20"/>
          <w:szCs w:val="20"/>
        </w:rPr>
        <w:t>5</w:t>
      </w:r>
      <w:r>
        <w:rPr>
          <w:rFonts w:hint="eastAsia"/>
          <w:sz w:val="20"/>
          <w:szCs w:val="20"/>
        </w:rPr>
        <w:t xml:space="preserve">  混凝土管节传力面允许最大顶力应按下式计算：</w:t>
      </w:r>
    </w:p>
    <w:p w14:paraId="6C04C856">
      <w:pPr>
        <w:wordWrap w:val="0"/>
        <w:snapToGrid w:val="0"/>
        <w:spacing w:line="288" w:lineRule="auto"/>
        <w:ind w:firstLine="350" w:firstLineChars="175"/>
        <w:jc w:val="right"/>
        <w:rPr>
          <w:sz w:val="20"/>
          <w:szCs w:val="20"/>
        </w:rPr>
      </w:pPr>
      <m:oMath>
        <m:sSub>
          <m:sSubPr>
            <m:ctrlPr>
              <w:rPr>
                <w:rFonts w:ascii="Cambria Math" w:hAnsi="Cambria Math"/>
                <w:i/>
                <w:sz w:val="20"/>
                <w:szCs w:val="20"/>
              </w:rPr>
            </m:ctrlPr>
          </m:sSubPr>
          <m:e>
            <m:r>
              <m:rPr/>
              <w:rPr>
                <w:rFonts w:ascii="Cambria Math" w:hAnsi="Cambria Math"/>
                <w:sz w:val="20"/>
                <w:szCs w:val="20"/>
              </w:rPr>
              <m:t>F</m:t>
            </m:r>
            <m:ctrlPr>
              <w:rPr>
                <w:rFonts w:ascii="Cambria Math" w:hAnsi="Cambria Math"/>
                <w:i/>
                <w:sz w:val="20"/>
                <w:szCs w:val="20"/>
              </w:rPr>
            </m:ctrlPr>
          </m:e>
          <m:sub>
            <m:r>
              <m:rPr>
                <m:sty m:val="p"/>
              </m:rPr>
              <w:rPr>
                <w:rFonts w:ascii="Cambria Math" w:hAnsi="Cambria Math"/>
                <w:sz w:val="20"/>
                <w:szCs w:val="20"/>
              </w:rPr>
              <m:t>dc</m:t>
            </m:r>
            <m:ctrlPr>
              <w:rPr>
                <w:rFonts w:ascii="Cambria Math" w:hAnsi="Cambria Math"/>
                <w:i/>
                <w:sz w:val="20"/>
                <w:szCs w:val="20"/>
              </w:rPr>
            </m:ctrlPr>
          </m:sub>
        </m:sSub>
        <m:r>
          <m:rPr>
            <m:sty m:val="p"/>
          </m:rPr>
          <w:rPr>
            <w:rFonts w:ascii="Cambria Math" w:hAnsi="Cambria Math"/>
            <w:sz w:val="20"/>
            <w:szCs w:val="20"/>
          </w:rPr>
          <m:t>=0.5</m:t>
        </m:r>
        <m:f>
          <m:fPr>
            <m:ctrlPr>
              <w:rPr>
                <w:rFonts w:ascii="Cambria Math" w:hAnsi="Cambria Math"/>
                <w:sz w:val="20"/>
                <w:szCs w:val="20"/>
              </w:rPr>
            </m:ctrlPr>
          </m:fPr>
          <m:num>
            <m:sSub>
              <m:sSubPr>
                <m:ctrlPr>
                  <w:rPr>
                    <w:rFonts w:ascii="Cambria Math" w:hAnsi="Cambria Math"/>
                    <w:i/>
                    <w:sz w:val="20"/>
                    <w:szCs w:val="20"/>
                  </w:rPr>
                </m:ctrlPr>
              </m:sSubPr>
              <m:e>
                <m:r>
                  <m:rPr/>
                  <w:rPr>
                    <w:rFonts w:ascii="Cambria Math" w:hAnsi="Cambria Math"/>
                    <w:sz w:val="20"/>
                    <w:szCs w:val="20"/>
                  </w:rPr>
                  <m:t>∅</m:t>
                </m:r>
                <m:ctrlPr>
                  <w:rPr>
                    <w:rFonts w:ascii="Cambria Math" w:hAnsi="Cambria Math"/>
                    <w:i/>
                    <w:sz w:val="20"/>
                    <w:szCs w:val="20"/>
                  </w:rPr>
                </m:ctrlPr>
              </m:e>
              <m:sub>
                <m:r>
                  <m:rPr/>
                  <w:rPr>
                    <w:rFonts w:ascii="Cambria Math" w:hAnsi="Cambria Math"/>
                    <w:sz w:val="20"/>
                    <w:szCs w:val="20"/>
                  </w:rPr>
                  <m:t>1</m:t>
                </m:r>
                <m:ctrlPr>
                  <w:rPr>
                    <w:rFonts w:ascii="Cambria Math" w:hAnsi="Cambria Math"/>
                    <w:i/>
                    <w:sz w:val="20"/>
                    <w:szCs w:val="20"/>
                  </w:rPr>
                </m:ctrlPr>
              </m:sub>
            </m:sSub>
            <m:sSub>
              <m:sSubPr>
                <m:ctrlPr>
                  <w:rPr>
                    <w:rFonts w:ascii="Cambria Math" w:hAnsi="Cambria Math"/>
                    <w:i/>
                    <w:sz w:val="20"/>
                    <w:szCs w:val="20"/>
                  </w:rPr>
                </m:ctrlPr>
              </m:sSubPr>
              <m:e>
                <m:r>
                  <m:rPr/>
                  <w:rPr>
                    <w:rFonts w:ascii="Cambria Math" w:hAnsi="Cambria Math"/>
                    <w:sz w:val="20"/>
                    <w:szCs w:val="20"/>
                  </w:rPr>
                  <m:t>∅</m:t>
                </m:r>
                <m:ctrlPr>
                  <w:rPr>
                    <w:rFonts w:ascii="Cambria Math" w:hAnsi="Cambria Math"/>
                    <w:i/>
                    <w:sz w:val="20"/>
                    <w:szCs w:val="20"/>
                  </w:rPr>
                </m:ctrlPr>
              </m:e>
              <m:sub>
                <m:r>
                  <m:rPr/>
                  <w:rPr>
                    <w:rFonts w:ascii="Cambria Math" w:hAnsi="Cambria Math"/>
                    <w:sz w:val="20"/>
                    <w:szCs w:val="20"/>
                  </w:rPr>
                  <m:t>2</m:t>
                </m:r>
                <m:ctrlPr>
                  <w:rPr>
                    <w:rFonts w:ascii="Cambria Math" w:hAnsi="Cambria Math"/>
                    <w:i/>
                    <w:sz w:val="20"/>
                    <w:szCs w:val="20"/>
                  </w:rPr>
                </m:ctrlPr>
              </m:sub>
            </m:sSub>
            <m:sSub>
              <m:sSubPr>
                <m:ctrlPr>
                  <w:rPr>
                    <w:rFonts w:ascii="Cambria Math" w:hAnsi="Cambria Math"/>
                    <w:i/>
                    <w:sz w:val="20"/>
                    <w:szCs w:val="20"/>
                  </w:rPr>
                </m:ctrlPr>
              </m:sSubPr>
              <m:e>
                <m:r>
                  <m:rPr/>
                  <w:rPr>
                    <w:rFonts w:ascii="Cambria Math" w:hAnsi="Cambria Math"/>
                    <w:sz w:val="20"/>
                    <w:szCs w:val="20"/>
                  </w:rPr>
                  <m:t>∅</m:t>
                </m:r>
                <m:ctrlPr>
                  <w:rPr>
                    <w:rFonts w:ascii="Cambria Math" w:hAnsi="Cambria Math"/>
                    <w:i/>
                    <w:sz w:val="20"/>
                    <w:szCs w:val="20"/>
                  </w:rPr>
                </m:ctrlPr>
              </m:e>
              <m:sub>
                <m:r>
                  <m:rPr/>
                  <w:rPr>
                    <w:rFonts w:ascii="Cambria Math" w:hAnsi="Cambria Math"/>
                    <w:sz w:val="20"/>
                    <w:szCs w:val="20"/>
                  </w:rPr>
                  <m:t>3</m:t>
                </m:r>
                <m:ctrlPr>
                  <w:rPr>
                    <w:rFonts w:ascii="Cambria Math" w:hAnsi="Cambria Math"/>
                    <w:i/>
                    <w:sz w:val="20"/>
                    <w:szCs w:val="20"/>
                  </w:rPr>
                </m:ctrlPr>
              </m:sub>
            </m:sSub>
            <m:ctrlPr>
              <w:rPr>
                <w:rFonts w:ascii="Cambria Math" w:hAnsi="Cambria Math"/>
                <w:sz w:val="20"/>
                <w:szCs w:val="20"/>
              </w:rPr>
            </m:ctrlPr>
          </m:num>
          <m:den>
            <m:sSub>
              <m:sSubPr>
                <m:ctrlPr>
                  <w:rPr>
                    <w:rFonts w:ascii="Cambria Math" w:hAnsi="Cambria Math"/>
                    <w:i/>
                    <w:sz w:val="20"/>
                    <w:szCs w:val="20"/>
                  </w:rPr>
                </m:ctrlPr>
              </m:sSubPr>
              <m:e>
                <m:r>
                  <m:rPr/>
                  <w:rPr>
                    <w:rFonts w:ascii="Cambria Math" w:hAnsi="Cambria Math"/>
                    <w:sz w:val="20"/>
                    <w:szCs w:val="20"/>
                  </w:rPr>
                  <m:t>K</m:t>
                </m:r>
                <m:ctrlPr>
                  <w:rPr>
                    <w:rFonts w:ascii="Cambria Math" w:hAnsi="Cambria Math"/>
                    <w:i/>
                    <w:sz w:val="20"/>
                    <w:szCs w:val="20"/>
                  </w:rPr>
                </m:ctrlPr>
              </m:e>
              <m:sub>
                <m:r>
                  <m:rPr/>
                  <w:rPr>
                    <w:rFonts w:ascii="Cambria Math" w:hAnsi="Cambria Math"/>
                    <w:sz w:val="20"/>
                    <w:szCs w:val="20"/>
                  </w:rPr>
                  <m:t>f</m:t>
                </m:r>
                <m:ctrlPr>
                  <w:rPr>
                    <w:rFonts w:ascii="Cambria Math" w:hAnsi="Cambria Math"/>
                    <w:i/>
                    <w:sz w:val="20"/>
                    <w:szCs w:val="20"/>
                  </w:rPr>
                </m:ctrlPr>
              </m:sub>
            </m:sSub>
            <m:sSub>
              <m:sSubPr>
                <m:ctrlPr>
                  <w:rPr>
                    <w:rFonts w:ascii="Cambria Math" w:hAnsi="Cambria Math"/>
                    <w:i/>
                    <w:sz w:val="20"/>
                    <w:szCs w:val="20"/>
                  </w:rPr>
                </m:ctrlPr>
              </m:sSubPr>
              <m:e>
                <m:r>
                  <m:rPr/>
                  <w:rPr>
                    <w:rFonts w:ascii="Cambria Math" w:hAnsi="Cambria Math"/>
                    <w:sz w:val="20"/>
                    <w:szCs w:val="20"/>
                  </w:rPr>
                  <m:t>∅</m:t>
                </m:r>
                <m:ctrlPr>
                  <w:rPr>
                    <w:rFonts w:ascii="Cambria Math" w:hAnsi="Cambria Math"/>
                    <w:i/>
                    <w:sz w:val="20"/>
                    <w:szCs w:val="20"/>
                  </w:rPr>
                </m:ctrlPr>
              </m:e>
              <m:sub>
                <m:r>
                  <m:rPr/>
                  <w:rPr>
                    <w:rFonts w:ascii="Cambria Math" w:hAnsi="Cambria Math"/>
                    <w:sz w:val="20"/>
                    <w:szCs w:val="20"/>
                  </w:rPr>
                  <m:t>5</m:t>
                </m:r>
                <m:ctrlPr>
                  <w:rPr>
                    <w:rFonts w:ascii="Cambria Math" w:hAnsi="Cambria Math"/>
                    <w:i/>
                    <w:sz w:val="20"/>
                    <w:szCs w:val="20"/>
                  </w:rPr>
                </m:ctrlPr>
              </m:sub>
            </m:sSub>
            <m:ctrlPr>
              <w:rPr>
                <w:rFonts w:ascii="Cambria Math" w:hAnsi="Cambria Math"/>
                <w:sz w:val="20"/>
                <w:szCs w:val="20"/>
              </w:rPr>
            </m:ctrlPr>
          </m:den>
        </m:f>
        <m:sSub>
          <m:sSubPr>
            <m:ctrlPr>
              <w:rPr>
                <w:rFonts w:ascii="Cambria Math" w:hAnsi="Cambria Math"/>
                <w:i/>
                <w:sz w:val="20"/>
                <w:szCs w:val="20"/>
              </w:rPr>
            </m:ctrlPr>
          </m:sSubPr>
          <m:e>
            <m:r>
              <m:rPr/>
              <w:rPr>
                <w:rFonts w:ascii="Cambria Math" w:hAnsi="Cambria Math"/>
                <w:sz w:val="20"/>
                <w:szCs w:val="20"/>
              </w:rPr>
              <m:t>σ</m:t>
            </m:r>
            <m:ctrlPr>
              <w:rPr>
                <w:rFonts w:ascii="Cambria Math" w:hAnsi="Cambria Math"/>
                <w:i/>
                <w:sz w:val="20"/>
                <w:szCs w:val="20"/>
              </w:rPr>
            </m:ctrlPr>
          </m:e>
          <m:sub>
            <m:r>
              <m:rPr/>
              <w:rPr>
                <w:rFonts w:ascii="Cambria Math" w:hAnsi="Cambria Math"/>
                <w:sz w:val="20"/>
                <w:szCs w:val="20"/>
              </w:rPr>
              <m:t>c</m:t>
            </m:r>
            <m:ctrlPr>
              <w:rPr>
                <w:rFonts w:ascii="Cambria Math" w:hAnsi="Cambria Math"/>
                <w:i/>
                <w:sz w:val="20"/>
                <w:szCs w:val="20"/>
              </w:rPr>
            </m:ctrlPr>
          </m:sub>
        </m:sSub>
        <m:sSub>
          <m:sSubPr>
            <m:ctrlPr>
              <w:rPr>
                <w:rFonts w:ascii="Cambria Math" w:hAnsi="Cambria Math"/>
                <w:i/>
                <w:sz w:val="20"/>
                <w:szCs w:val="20"/>
              </w:rPr>
            </m:ctrlPr>
          </m:sSubPr>
          <m:e>
            <m:r>
              <m:rPr/>
              <w:rPr>
                <w:rFonts w:ascii="Cambria Math" w:hAnsi="Cambria Math"/>
                <w:sz w:val="20"/>
                <w:szCs w:val="20"/>
              </w:rPr>
              <m:t>A</m:t>
            </m:r>
            <m:ctrlPr>
              <w:rPr>
                <w:rFonts w:ascii="Cambria Math" w:hAnsi="Cambria Math"/>
                <w:i/>
                <w:sz w:val="20"/>
                <w:szCs w:val="20"/>
              </w:rPr>
            </m:ctrlPr>
          </m:e>
          <m:sub>
            <m:r>
              <m:rPr/>
              <w:rPr>
                <w:rFonts w:ascii="Cambria Math" w:hAnsi="Cambria Math"/>
                <w:sz w:val="20"/>
                <w:szCs w:val="20"/>
              </w:rPr>
              <m:t>p</m:t>
            </m:r>
            <m:ctrlPr>
              <w:rPr>
                <w:rFonts w:ascii="Cambria Math" w:hAnsi="Cambria Math"/>
                <w:i/>
                <w:sz w:val="20"/>
                <w:szCs w:val="20"/>
              </w:rPr>
            </m:ctrlPr>
          </m:sub>
        </m:sSub>
      </m:oMath>
      <w:r>
        <w:rPr>
          <w:rFonts w:hint="eastAsia"/>
          <w:sz w:val="20"/>
          <w:szCs w:val="20"/>
        </w:rPr>
        <w:t xml:space="preserve">                           （</w:t>
      </w:r>
      <w:r>
        <w:rPr>
          <w:sz w:val="20"/>
          <w:szCs w:val="20"/>
        </w:rPr>
        <w:t>4.6.</w:t>
      </w:r>
      <w:r>
        <w:rPr>
          <w:rFonts w:hint="eastAsia"/>
          <w:sz w:val="20"/>
          <w:szCs w:val="20"/>
        </w:rPr>
        <w:t>5）</w:t>
      </w:r>
    </w:p>
    <w:p w14:paraId="2F9C0B41">
      <w:pPr>
        <w:snapToGrid w:val="0"/>
        <w:spacing w:line="288" w:lineRule="auto"/>
        <w:ind w:firstLine="350" w:firstLineChars="175"/>
        <w:rPr>
          <w:sz w:val="20"/>
          <w:szCs w:val="20"/>
        </w:rPr>
      </w:pPr>
      <w:r>
        <w:rPr>
          <w:rFonts w:hint="eastAsia"/>
          <w:sz w:val="20"/>
          <w:szCs w:val="20"/>
        </w:rPr>
        <w:t>式中：</w:t>
      </w:r>
    </w:p>
    <w:p w14:paraId="34F0CB31">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F</m:t>
            </m:r>
            <m:ctrlPr>
              <w:rPr>
                <w:rFonts w:ascii="Cambria Math" w:hAnsi="Cambria Math"/>
                <w:i/>
                <w:sz w:val="20"/>
                <w:szCs w:val="20"/>
              </w:rPr>
            </m:ctrlPr>
          </m:e>
          <m:sub>
            <m:r>
              <m:rPr>
                <m:sty m:val="p"/>
              </m:rPr>
              <w:rPr>
                <w:rFonts w:ascii="Cambria Math" w:hAnsi="Cambria Math"/>
                <w:sz w:val="20"/>
                <w:szCs w:val="20"/>
              </w:rPr>
              <m:t>dc</m:t>
            </m:r>
            <m:ctrlPr>
              <w:rPr>
                <w:rFonts w:ascii="Cambria Math" w:hAnsi="Cambria Math"/>
                <w:i/>
                <w:sz w:val="20"/>
                <w:szCs w:val="20"/>
              </w:rPr>
            </m:ctrlPr>
          </m:sub>
        </m:sSub>
      </m:oMath>
      <w:r>
        <w:rPr>
          <w:sz w:val="20"/>
          <w:szCs w:val="20"/>
        </w:rPr>
        <w:t>—</w:t>
      </w:r>
      <w:bookmarkStart w:id="178" w:name="OLE_LINK3"/>
      <w:bookmarkStart w:id="179" w:name="OLE_LINK4"/>
      <w:r>
        <w:rPr>
          <w:rFonts w:hint="eastAsia"/>
          <w:sz w:val="20"/>
          <w:szCs w:val="20"/>
        </w:rPr>
        <w:t>管节允许顶力设计值</w:t>
      </w:r>
      <w:bookmarkEnd w:id="178"/>
      <w:bookmarkEnd w:id="179"/>
      <w:r>
        <w:rPr>
          <w:rFonts w:hint="eastAsia"/>
          <w:sz w:val="20"/>
          <w:szCs w:val="20"/>
        </w:rPr>
        <w:t>（N）；</w:t>
      </w:r>
    </w:p>
    <w:p w14:paraId="644E128A">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m:t>
            </m:r>
            <m:ctrlPr>
              <w:rPr>
                <w:rFonts w:ascii="Cambria Math" w:hAnsi="Cambria Math"/>
                <w:i/>
                <w:sz w:val="20"/>
                <w:szCs w:val="20"/>
              </w:rPr>
            </m:ctrlPr>
          </m:e>
          <m:sub>
            <m:r>
              <m:rPr/>
              <w:rPr>
                <w:rFonts w:ascii="Cambria Math" w:hAnsi="Cambria Math"/>
                <w:sz w:val="20"/>
                <w:szCs w:val="20"/>
              </w:rPr>
              <m:t>1</m:t>
            </m:r>
            <m:ctrlPr>
              <w:rPr>
                <w:rFonts w:ascii="Cambria Math" w:hAnsi="Cambria Math"/>
                <w:i/>
                <w:sz w:val="20"/>
                <w:szCs w:val="20"/>
              </w:rPr>
            </m:ctrlPr>
          </m:sub>
        </m:sSub>
      </m:oMath>
      <w:r>
        <w:rPr>
          <w:sz w:val="20"/>
          <w:szCs w:val="20"/>
        </w:rPr>
        <w:t>—</w:t>
      </w:r>
      <w:r>
        <w:rPr>
          <w:rFonts w:hint="eastAsia"/>
          <w:sz w:val="20"/>
          <w:szCs w:val="20"/>
        </w:rPr>
        <w:t>混凝土受压强度折减系数，取0.9；</w:t>
      </w:r>
    </w:p>
    <w:p w14:paraId="7CE4DBD6">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m:t>
            </m:r>
            <m:ctrlPr>
              <w:rPr>
                <w:rFonts w:ascii="Cambria Math" w:hAnsi="Cambria Math"/>
                <w:i/>
                <w:sz w:val="20"/>
                <w:szCs w:val="20"/>
              </w:rPr>
            </m:ctrlPr>
          </m:e>
          <m:sub>
            <m:r>
              <m:rPr/>
              <w:rPr>
                <w:rFonts w:ascii="Cambria Math" w:hAnsi="Cambria Math"/>
                <w:sz w:val="20"/>
                <w:szCs w:val="20"/>
              </w:rPr>
              <m:t>2</m:t>
            </m:r>
            <m:ctrlPr>
              <w:rPr>
                <w:rFonts w:ascii="Cambria Math" w:hAnsi="Cambria Math"/>
                <w:i/>
                <w:sz w:val="20"/>
                <w:szCs w:val="20"/>
              </w:rPr>
            </m:ctrlPr>
          </m:sub>
        </m:sSub>
      </m:oMath>
      <w:r>
        <w:rPr>
          <w:sz w:val="20"/>
          <w:szCs w:val="20"/>
        </w:rPr>
        <w:t>—</w:t>
      </w:r>
      <w:r>
        <w:rPr>
          <w:rFonts w:hint="eastAsia"/>
          <w:sz w:val="20"/>
          <w:szCs w:val="20"/>
        </w:rPr>
        <w:t>偏心受压强度提高系数，取1.05；</w:t>
      </w:r>
    </w:p>
    <w:p w14:paraId="125B8C83">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m:t>
            </m:r>
            <m:ctrlPr>
              <w:rPr>
                <w:rFonts w:ascii="Cambria Math" w:hAnsi="Cambria Math"/>
                <w:i/>
                <w:sz w:val="20"/>
                <w:szCs w:val="20"/>
              </w:rPr>
            </m:ctrlPr>
          </m:e>
          <m:sub>
            <m:r>
              <m:rPr/>
              <w:rPr>
                <w:rFonts w:ascii="Cambria Math" w:hAnsi="Cambria Math"/>
                <w:sz w:val="20"/>
                <w:szCs w:val="20"/>
              </w:rPr>
              <m:t>3</m:t>
            </m:r>
            <m:ctrlPr>
              <w:rPr>
                <w:rFonts w:ascii="Cambria Math" w:hAnsi="Cambria Math"/>
                <w:i/>
                <w:sz w:val="20"/>
                <w:szCs w:val="20"/>
              </w:rPr>
            </m:ctrlPr>
          </m:sub>
        </m:sSub>
      </m:oMath>
      <w:r>
        <w:rPr>
          <w:sz w:val="20"/>
          <w:szCs w:val="20"/>
        </w:rPr>
        <w:t>—</w:t>
      </w:r>
      <w:r>
        <w:rPr>
          <w:rFonts w:hint="eastAsia"/>
          <w:sz w:val="20"/>
          <w:szCs w:val="20"/>
        </w:rPr>
        <w:t>材料脆性系数，取0.85；</w:t>
      </w:r>
    </w:p>
    <w:p w14:paraId="1A301F46">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m:t>
            </m:r>
            <m:ctrlPr>
              <w:rPr>
                <w:rFonts w:ascii="Cambria Math" w:hAnsi="Cambria Math"/>
                <w:i/>
                <w:sz w:val="20"/>
                <w:szCs w:val="20"/>
              </w:rPr>
            </m:ctrlPr>
          </m:e>
          <m:sub>
            <m:r>
              <m:rPr/>
              <w:rPr>
                <w:rFonts w:ascii="Cambria Math" w:hAnsi="Cambria Math"/>
                <w:sz w:val="20"/>
                <w:szCs w:val="20"/>
              </w:rPr>
              <m:t>5</m:t>
            </m:r>
            <m:ctrlPr>
              <w:rPr>
                <w:rFonts w:ascii="Cambria Math" w:hAnsi="Cambria Math"/>
                <w:i/>
                <w:sz w:val="20"/>
                <w:szCs w:val="20"/>
              </w:rPr>
            </m:ctrlPr>
          </m:sub>
        </m:sSub>
      </m:oMath>
      <w:r>
        <w:rPr>
          <w:sz w:val="20"/>
          <w:szCs w:val="20"/>
        </w:rPr>
        <w:t>—</w:t>
      </w:r>
      <w:r>
        <w:rPr>
          <w:rFonts w:hint="eastAsia"/>
          <w:sz w:val="20"/>
          <w:szCs w:val="20"/>
        </w:rPr>
        <w:t>混凝土强度标准调整系数，取0.79；</w:t>
      </w:r>
    </w:p>
    <w:p w14:paraId="20DA664A">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K</m:t>
            </m:r>
            <m:ctrlPr>
              <w:rPr>
                <w:rFonts w:ascii="Cambria Math" w:hAnsi="Cambria Math"/>
                <w:i/>
                <w:sz w:val="20"/>
                <w:szCs w:val="20"/>
              </w:rPr>
            </m:ctrlPr>
          </m:e>
          <m:sub>
            <m:r>
              <m:rPr/>
              <w:rPr>
                <w:rFonts w:ascii="Cambria Math" w:hAnsi="Cambria Math"/>
                <w:sz w:val="20"/>
                <w:szCs w:val="20"/>
              </w:rPr>
              <m:t>f</m:t>
            </m:r>
            <m:ctrlPr>
              <w:rPr>
                <w:rFonts w:ascii="Cambria Math" w:hAnsi="Cambria Math"/>
                <w:i/>
                <w:sz w:val="20"/>
                <w:szCs w:val="20"/>
              </w:rPr>
            </m:ctrlPr>
          </m:sub>
        </m:sSub>
      </m:oMath>
      <w:r>
        <w:rPr>
          <w:sz w:val="20"/>
          <w:szCs w:val="20"/>
        </w:rPr>
        <w:t>—</w:t>
      </w:r>
      <w:r>
        <w:rPr>
          <w:rFonts w:hint="eastAsia"/>
          <w:sz w:val="20"/>
          <w:szCs w:val="20"/>
        </w:rPr>
        <w:t>安全系数，取1.3～1.4；</w:t>
      </w:r>
    </w:p>
    <w:p w14:paraId="72CAE7A3">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σ</m:t>
            </m:r>
            <m:ctrlPr>
              <w:rPr>
                <w:rFonts w:ascii="Cambria Math" w:hAnsi="Cambria Math"/>
                <w:i/>
                <w:sz w:val="20"/>
                <w:szCs w:val="20"/>
              </w:rPr>
            </m:ctrlPr>
          </m:e>
          <m:sub>
            <m:r>
              <m:rPr/>
              <w:rPr>
                <w:rFonts w:ascii="Cambria Math" w:hAnsi="Cambria Math"/>
                <w:sz w:val="20"/>
                <w:szCs w:val="20"/>
              </w:rPr>
              <m:t>c</m:t>
            </m:r>
            <m:ctrlPr>
              <w:rPr>
                <w:rFonts w:ascii="Cambria Math" w:hAnsi="Cambria Math"/>
                <w:i/>
                <w:sz w:val="20"/>
                <w:szCs w:val="20"/>
              </w:rPr>
            </m:ctrlPr>
          </m:sub>
        </m:sSub>
      </m:oMath>
      <w:r>
        <w:rPr>
          <w:sz w:val="20"/>
          <w:szCs w:val="20"/>
        </w:rPr>
        <w:t>—</w:t>
      </w:r>
      <w:r>
        <w:rPr>
          <w:rFonts w:hint="eastAsia"/>
          <w:sz w:val="20"/>
          <w:szCs w:val="20"/>
        </w:rPr>
        <w:t>混凝土受压强度设计值（N/mm</w:t>
      </w:r>
      <w:r>
        <w:rPr>
          <w:rFonts w:hint="eastAsia"/>
          <w:sz w:val="20"/>
          <w:szCs w:val="20"/>
          <w:vertAlign w:val="superscript"/>
        </w:rPr>
        <w:t>2</w:t>
      </w:r>
      <w:r>
        <w:rPr>
          <w:rFonts w:hint="eastAsia"/>
          <w:sz w:val="20"/>
          <w:szCs w:val="20"/>
        </w:rPr>
        <w:t>）；</w:t>
      </w:r>
    </w:p>
    <w:p w14:paraId="36A5E712">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A</m:t>
            </m:r>
            <m:ctrlPr>
              <w:rPr>
                <w:rFonts w:ascii="Cambria Math" w:hAnsi="Cambria Math"/>
                <w:i/>
                <w:sz w:val="20"/>
                <w:szCs w:val="20"/>
              </w:rPr>
            </m:ctrlPr>
          </m:e>
          <m:sub>
            <m:r>
              <m:rPr/>
              <w:rPr>
                <w:rFonts w:ascii="Cambria Math" w:hAnsi="Cambria Math"/>
                <w:sz w:val="20"/>
                <w:szCs w:val="20"/>
              </w:rPr>
              <m:t>p</m:t>
            </m:r>
            <m:ctrlPr>
              <w:rPr>
                <w:rFonts w:ascii="Cambria Math" w:hAnsi="Cambria Math"/>
                <w:i/>
                <w:sz w:val="20"/>
                <w:szCs w:val="20"/>
              </w:rPr>
            </m:ctrlPr>
          </m:sub>
        </m:sSub>
      </m:oMath>
      <w:r>
        <w:rPr>
          <w:sz w:val="20"/>
          <w:szCs w:val="20"/>
        </w:rPr>
        <w:t>—</w:t>
      </w:r>
      <w:r>
        <w:rPr>
          <w:rFonts w:hint="eastAsia"/>
          <w:sz w:val="20"/>
          <w:szCs w:val="20"/>
        </w:rPr>
        <w:t>管节的有效传力面积（mm</w:t>
      </w:r>
      <w:r>
        <w:rPr>
          <w:rFonts w:hint="eastAsia"/>
          <w:sz w:val="20"/>
          <w:szCs w:val="20"/>
          <w:vertAlign w:val="superscript"/>
        </w:rPr>
        <w:t>2</w:t>
      </w:r>
      <w:r>
        <w:rPr>
          <w:rFonts w:hint="eastAsia"/>
          <w:sz w:val="20"/>
          <w:szCs w:val="20"/>
        </w:rPr>
        <w:t>）。</w:t>
      </w:r>
    </w:p>
    <w:p w14:paraId="2FD15AD1">
      <w:pPr>
        <w:snapToGrid w:val="0"/>
        <w:spacing w:line="288" w:lineRule="auto"/>
        <w:outlineLvl w:val="2"/>
        <w:rPr>
          <w:sz w:val="20"/>
          <w:szCs w:val="20"/>
        </w:rPr>
      </w:pPr>
      <w:r>
        <w:rPr>
          <w:rFonts w:hint="eastAsia"/>
          <w:b/>
          <w:sz w:val="20"/>
          <w:szCs w:val="20"/>
        </w:rPr>
        <w:t>4.6.</w:t>
      </w:r>
      <w:r>
        <w:rPr>
          <w:b/>
          <w:sz w:val="20"/>
          <w:szCs w:val="20"/>
        </w:rPr>
        <w:t>6</w:t>
      </w:r>
      <w:r>
        <w:rPr>
          <w:rFonts w:hint="eastAsia"/>
          <w:sz w:val="20"/>
          <w:szCs w:val="20"/>
        </w:rPr>
        <w:t xml:space="preserve">  后背墙允许最大顶力应按下式计算：</w:t>
      </w:r>
    </w:p>
    <w:p w14:paraId="2E6914A0">
      <w:pPr>
        <w:wordWrap w:val="0"/>
        <w:snapToGrid w:val="0"/>
        <w:spacing w:line="288" w:lineRule="auto"/>
        <w:ind w:firstLine="350" w:firstLineChars="175"/>
        <w:jc w:val="right"/>
        <w:rPr>
          <w:sz w:val="20"/>
          <w:szCs w:val="20"/>
        </w:rPr>
      </w:pPr>
      <m:oMath>
        <m:sSub>
          <m:sSubPr>
            <m:ctrlPr>
              <w:rPr>
                <w:rFonts w:ascii="Cambria Math" w:hAnsi="Cambria Math"/>
                <w:sz w:val="20"/>
                <w:szCs w:val="20"/>
              </w:rPr>
            </m:ctrlPr>
          </m:sSubPr>
          <m:e>
            <m:r>
              <m:rPr/>
              <w:rPr>
                <w:rFonts w:ascii="Cambria Math" w:hAnsi="Cambria Math"/>
                <w:sz w:val="20"/>
                <w:szCs w:val="20"/>
              </w:rPr>
              <m:t>R</m:t>
            </m:r>
            <m:ctrlPr>
              <w:rPr>
                <w:rFonts w:ascii="Cambria Math" w:hAnsi="Cambria Math"/>
                <w:sz w:val="20"/>
                <w:szCs w:val="20"/>
              </w:rPr>
            </m:ctrlPr>
          </m:e>
          <m:sub>
            <m:r>
              <m:rPr/>
              <w:rPr>
                <w:rFonts w:ascii="Cambria Math" w:hAnsi="Cambria Math"/>
                <w:sz w:val="20"/>
                <w:szCs w:val="20"/>
              </w:rPr>
              <m:t>c</m:t>
            </m:r>
            <m:ctrlPr>
              <w:rPr>
                <w:rFonts w:ascii="Cambria Math" w:hAnsi="Cambria Math"/>
                <w:sz w:val="20"/>
                <w:szCs w:val="20"/>
              </w:rPr>
            </m:ctrlPr>
          </m:sub>
        </m:sSub>
        <m:r>
          <m:rPr>
            <m:sty m:val="p"/>
          </m:rPr>
          <w:rPr>
            <w:rFonts w:ascii="Cambria Math" w:hAnsi="Cambria Math"/>
            <w:sz w:val="20"/>
            <w:szCs w:val="20"/>
          </w:rPr>
          <m:t>=</m:t>
        </m:r>
        <m:f>
          <m:fPr>
            <m:ctrlPr>
              <w:rPr>
                <w:rFonts w:ascii="Cambria Math" w:hAnsi="Cambria Math"/>
                <w:sz w:val="20"/>
                <w:szCs w:val="20"/>
              </w:rPr>
            </m:ctrlPr>
          </m:fPr>
          <m:num>
            <m:r>
              <m:rPr/>
              <w:rPr>
                <w:rFonts w:ascii="Cambria Math" w:hAnsi="Cambria Math"/>
                <w:sz w:val="20"/>
                <w:szCs w:val="20"/>
              </w:rPr>
              <m:t>1</m:t>
            </m:r>
            <m:ctrlPr>
              <w:rPr>
                <w:rFonts w:ascii="Cambria Math" w:hAnsi="Cambria Math"/>
                <w:sz w:val="20"/>
                <w:szCs w:val="20"/>
              </w:rPr>
            </m:ctrlPr>
          </m:num>
          <m:den>
            <m:r>
              <m:rPr/>
              <w:rPr>
                <w:rFonts w:ascii="Cambria Math" w:hAnsi="Cambria Math"/>
                <w:sz w:val="20"/>
                <w:szCs w:val="20"/>
              </w:rPr>
              <m:t>η</m:t>
            </m:r>
            <m:ctrlPr>
              <w:rPr>
                <w:rFonts w:ascii="Cambria Math" w:hAnsi="Cambria Math"/>
                <w:sz w:val="20"/>
                <w:szCs w:val="20"/>
              </w:rPr>
            </m:ctrlPr>
          </m:den>
        </m:f>
        <m:sSub>
          <m:sSubPr>
            <m:ctrlPr>
              <w:rPr>
                <w:rFonts w:ascii="Cambria Math" w:hAnsi="Cambria Math"/>
                <w:i/>
                <w:sz w:val="20"/>
                <w:szCs w:val="20"/>
              </w:rPr>
            </m:ctrlPr>
          </m:sSubPr>
          <m:e>
            <m:r>
              <m:rPr/>
              <w:rPr>
                <w:rFonts w:ascii="Cambria Math" w:hAnsi="Cambria Math"/>
                <w:sz w:val="20"/>
                <w:szCs w:val="20"/>
              </w:rPr>
              <m:t>B</m:t>
            </m:r>
            <m:ctrlPr>
              <w:rPr>
                <w:rFonts w:ascii="Cambria Math" w:hAnsi="Cambria Math"/>
                <w:i/>
                <w:sz w:val="20"/>
                <w:szCs w:val="20"/>
              </w:rPr>
            </m:ctrlPr>
          </m:e>
          <m:sub>
            <m:r>
              <m:rPr/>
              <w:rPr>
                <w:rFonts w:ascii="Cambria Math" w:hAnsi="Cambria Math"/>
                <w:sz w:val="20"/>
                <w:szCs w:val="20"/>
              </w:rPr>
              <m:t>ℎ</m:t>
            </m:r>
            <m:ctrlPr>
              <w:rPr>
                <w:rFonts w:ascii="Cambria Math" w:hAnsi="Cambria Math"/>
                <w:i/>
                <w:sz w:val="20"/>
                <w:szCs w:val="20"/>
              </w:rPr>
            </m:ctrlPr>
          </m:sub>
        </m:sSub>
        <m:sSub>
          <m:sSubPr>
            <m:ctrlPr>
              <w:rPr>
                <w:rFonts w:ascii="Cambria Math" w:hAnsi="Cambria Math"/>
                <w:i/>
                <w:sz w:val="20"/>
                <w:szCs w:val="20"/>
              </w:rPr>
            </m:ctrlPr>
          </m:sSubPr>
          <m:e>
            <m:r>
              <m:rPr/>
              <w:rPr>
                <w:rFonts w:ascii="Cambria Math" w:hAnsi="Cambria Math"/>
                <w:sz w:val="20"/>
                <w:szCs w:val="20"/>
              </w:rPr>
              <m:t>ℎ</m:t>
            </m:r>
            <m:ctrlPr>
              <w:rPr>
                <w:rFonts w:ascii="Cambria Math" w:hAnsi="Cambria Math"/>
                <w:i/>
                <w:sz w:val="20"/>
                <w:szCs w:val="20"/>
              </w:rPr>
            </m:ctrlPr>
          </m:e>
          <m:sub>
            <m:r>
              <m:rPr/>
              <w:rPr>
                <w:rFonts w:ascii="Cambria Math" w:hAnsi="Cambria Math"/>
                <w:sz w:val="20"/>
                <w:szCs w:val="20"/>
              </w:rPr>
              <m:t>2</m:t>
            </m:r>
            <m:ctrlPr>
              <w:rPr>
                <w:rFonts w:ascii="Cambria Math" w:hAnsi="Cambria Math"/>
                <w:i/>
                <w:sz w:val="20"/>
                <w:szCs w:val="20"/>
              </w:rPr>
            </m:ctrlPr>
          </m:sub>
        </m:sSub>
        <m:r>
          <m:rPr>
            <m:sty m:val="p"/>
          </m:rPr>
          <w:rPr>
            <w:rFonts w:ascii="Cambria Math" w:hAnsi="Cambria Math"/>
            <w:sz w:val="20"/>
            <w:szCs w:val="20"/>
          </w:rPr>
          <m:t>（γ</m:t>
        </m:r>
        <m:sSub>
          <m:sSubPr>
            <m:ctrlPr>
              <w:rPr>
                <w:rFonts w:ascii="Cambria Math" w:hAnsi="Cambria Math"/>
                <w:sz w:val="20"/>
                <w:szCs w:val="20"/>
              </w:rPr>
            </m:ctrlPr>
          </m:sSubPr>
          <m:e>
            <m:r>
              <m:rPr/>
              <w:rPr>
                <w:rFonts w:ascii="Cambria Math" w:hAnsi="Cambria Math"/>
                <w:sz w:val="20"/>
                <w:szCs w:val="20"/>
              </w:rPr>
              <m:t>ℎ</m:t>
            </m:r>
            <m:ctrlPr>
              <w:rPr>
                <w:rFonts w:ascii="Cambria Math" w:hAnsi="Cambria Math"/>
                <w:sz w:val="20"/>
                <w:szCs w:val="20"/>
              </w:rPr>
            </m:ctrlPr>
          </m:e>
          <m:sub>
            <m:r>
              <m:rPr/>
              <w:rPr>
                <w:rFonts w:ascii="Cambria Math" w:hAnsi="Cambria Math"/>
                <w:sz w:val="20"/>
                <w:szCs w:val="20"/>
              </w:rPr>
              <m:t>2</m:t>
            </m:r>
            <m:ctrlPr>
              <w:rPr>
                <w:rFonts w:ascii="Cambria Math" w:hAnsi="Cambria Math"/>
                <w:sz w:val="20"/>
                <w:szCs w:val="20"/>
              </w:rPr>
            </m:ctrlPr>
          </m:sub>
        </m:sSub>
        <m:f>
          <m:fPr>
            <m:ctrlPr>
              <w:rPr>
                <w:rFonts w:ascii="Cambria Math" w:hAnsi="Cambria Math"/>
                <w:i/>
                <w:sz w:val="20"/>
                <w:szCs w:val="20"/>
              </w:rPr>
            </m:ctrlPr>
          </m:fPr>
          <m:num>
            <m:sSub>
              <m:sSubPr>
                <m:ctrlPr>
                  <w:rPr>
                    <w:rFonts w:ascii="Cambria Math" w:hAnsi="Cambria Math"/>
                    <w:i/>
                    <w:sz w:val="20"/>
                    <w:szCs w:val="20"/>
                  </w:rPr>
                </m:ctrlPr>
              </m:sSubPr>
              <m:e>
                <m:r>
                  <m:rPr/>
                  <w:rPr>
                    <w:rFonts w:ascii="Cambria Math" w:hAnsi="Cambria Math"/>
                    <w:sz w:val="20"/>
                    <w:szCs w:val="20"/>
                  </w:rPr>
                  <m:t>K</m:t>
                </m:r>
                <m:ctrlPr>
                  <w:rPr>
                    <w:rFonts w:ascii="Cambria Math" w:hAnsi="Cambria Math"/>
                    <w:i/>
                    <w:sz w:val="20"/>
                    <w:szCs w:val="20"/>
                  </w:rPr>
                </m:ctrlPr>
              </m:e>
              <m:sub>
                <m:r>
                  <m:rPr/>
                  <w:rPr>
                    <w:rFonts w:ascii="Cambria Math" w:hAnsi="Cambria Math"/>
                    <w:sz w:val="20"/>
                    <w:szCs w:val="20"/>
                  </w:rPr>
                  <m:t>p</m:t>
                </m:r>
                <m:ctrlPr>
                  <w:rPr>
                    <w:rFonts w:ascii="Cambria Math" w:hAnsi="Cambria Math"/>
                    <w:i/>
                    <w:sz w:val="20"/>
                    <w:szCs w:val="20"/>
                  </w:rPr>
                </m:ctrlPr>
              </m:sub>
            </m:sSub>
            <m:ctrlPr>
              <w:rPr>
                <w:rFonts w:ascii="Cambria Math" w:hAnsi="Cambria Math"/>
                <w:i/>
                <w:sz w:val="20"/>
                <w:szCs w:val="20"/>
              </w:rPr>
            </m:ctrlPr>
          </m:num>
          <m:den>
            <m:r>
              <m:rPr/>
              <w:rPr>
                <w:rFonts w:ascii="Cambria Math" w:hAnsi="Cambria Math"/>
                <w:sz w:val="20"/>
                <w:szCs w:val="20"/>
              </w:rPr>
              <m:t>2</m:t>
            </m:r>
            <m:ctrlPr>
              <w:rPr>
                <w:rFonts w:ascii="Cambria Math" w:hAnsi="Cambria Math"/>
                <w:i/>
                <w:sz w:val="20"/>
                <w:szCs w:val="20"/>
              </w:rPr>
            </m:ctrlPr>
          </m:den>
        </m:f>
        <m:r>
          <m:rPr/>
          <w:rPr>
            <w:rFonts w:ascii="Cambria Math" w:hAnsi="Cambria Math"/>
            <w:sz w:val="20"/>
            <w:szCs w:val="20"/>
          </w:rPr>
          <m:t>+2c</m:t>
        </m:r>
        <m:rad>
          <m:radPr>
            <m:degHide m:val="1"/>
            <m:ctrlPr>
              <w:rPr>
                <w:rFonts w:ascii="Cambria Math" w:hAnsi="Cambria Math"/>
                <w:sz w:val="20"/>
                <w:szCs w:val="20"/>
              </w:rPr>
            </m:ctrlPr>
          </m:radPr>
          <m:deg>
            <m:ctrlPr>
              <w:rPr>
                <w:rFonts w:ascii="Cambria Math" w:hAnsi="Cambria Math"/>
                <w:sz w:val="20"/>
                <w:szCs w:val="20"/>
              </w:rPr>
            </m:ctrlPr>
          </m:deg>
          <m:e>
            <m:sSub>
              <m:sSubPr>
                <m:ctrlPr>
                  <w:rPr>
                    <w:rFonts w:ascii="Cambria Math" w:hAnsi="Cambria Math"/>
                    <w:i/>
                    <w:sz w:val="20"/>
                    <w:szCs w:val="20"/>
                  </w:rPr>
                </m:ctrlPr>
              </m:sSubPr>
              <m:e>
                <m:r>
                  <m:rPr/>
                  <w:rPr>
                    <w:rFonts w:ascii="Cambria Math" w:hAnsi="Cambria Math"/>
                    <w:sz w:val="20"/>
                    <w:szCs w:val="20"/>
                  </w:rPr>
                  <m:t>K</m:t>
                </m:r>
                <m:ctrlPr>
                  <w:rPr>
                    <w:rFonts w:ascii="Cambria Math" w:hAnsi="Cambria Math"/>
                    <w:i/>
                    <w:sz w:val="20"/>
                    <w:szCs w:val="20"/>
                  </w:rPr>
                </m:ctrlPr>
              </m:e>
              <m:sub>
                <m:r>
                  <m:rPr/>
                  <w:rPr>
                    <w:rFonts w:ascii="Cambria Math" w:hAnsi="Cambria Math"/>
                    <w:sz w:val="20"/>
                    <w:szCs w:val="20"/>
                  </w:rPr>
                  <m:t>p</m:t>
                </m:r>
                <m:ctrlPr>
                  <w:rPr>
                    <w:rFonts w:ascii="Cambria Math" w:hAnsi="Cambria Math"/>
                    <w:i/>
                    <w:sz w:val="20"/>
                    <w:szCs w:val="20"/>
                  </w:rPr>
                </m:ctrlPr>
              </m:sub>
            </m:sSub>
            <m:ctrlPr>
              <w:rPr>
                <w:rFonts w:ascii="Cambria Math" w:hAnsi="Cambria Math"/>
                <w:sz w:val="20"/>
                <w:szCs w:val="20"/>
              </w:rPr>
            </m:ctrlPr>
          </m:e>
        </m:rad>
        <m:r>
          <m:rPr>
            <m:sty m:val="p"/>
          </m:rPr>
          <w:rPr>
            <w:rFonts w:ascii="Cambria Math" w:hAnsi="Cambria Math"/>
            <w:sz w:val="20"/>
            <w:szCs w:val="20"/>
          </w:rPr>
          <m:t>+γ</m:t>
        </m:r>
        <m:sSub>
          <m:sSubPr>
            <m:ctrlPr>
              <w:rPr>
                <w:rFonts w:ascii="Cambria Math" w:hAnsi="Cambria Math"/>
                <w:sz w:val="20"/>
                <w:szCs w:val="20"/>
              </w:rPr>
            </m:ctrlPr>
          </m:sSubPr>
          <m:e>
            <m:r>
              <m:rPr/>
              <w:rPr>
                <w:rFonts w:ascii="Cambria Math" w:hAnsi="Cambria Math"/>
                <w:sz w:val="20"/>
                <w:szCs w:val="20"/>
              </w:rPr>
              <m:t>ℎ</m:t>
            </m:r>
            <m:ctrlPr>
              <w:rPr>
                <w:rFonts w:ascii="Cambria Math" w:hAnsi="Cambria Math"/>
                <w:sz w:val="20"/>
                <w:szCs w:val="20"/>
              </w:rPr>
            </m:ctrlPr>
          </m:e>
          <m:sub>
            <m:r>
              <m:rPr/>
              <w:rPr>
                <w:rFonts w:ascii="Cambria Math" w:hAnsi="Cambria Math"/>
                <w:sz w:val="20"/>
                <w:szCs w:val="20"/>
              </w:rPr>
              <m:t>1</m:t>
            </m:r>
            <m:ctrlPr>
              <w:rPr>
                <w:rFonts w:ascii="Cambria Math" w:hAnsi="Cambria Math"/>
                <w:sz w:val="20"/>
                <w:szCs w:val="20"/>
              </w:rPr>
            </m:ctrlPr>
          </m:sub>
        </m:sSub>
        <m:sSub>
          <m:sSubPr>
            <m:ctrlPr>
              <w:rPr>
                <w:rFonts w:ascii="Cambria Math" w:hAnsi="Cambria Math"/>
                <w:sz w:val="20"/>
                <w:szCs w:val="20"/>
              </w:rPr>
            </m:ctrlPr>
          </m:sSubPr>
          <m:e>
            <m:r>
              <m:rPr/>
              <w:rPr>
                <w:rFonts w:ascii="Cambria Math" w:hAnsi="Cambria Math"/>
                <w:sz w:val="20"/>
                <w:szCs w:val="20"/>
              </w:rPr>
              <m:t>K</m:t>
            </m:r>
            <m:ctrlPr>
              <w:rPr>
                <w:rFonts w:ascii="Cambria Math" w:hAnsi="Cambria Math"/>
                <w:sz w:val="20"/>
                <w:szCs w:val="20"/>
              </w:rPr>
            </m:ctrlPr>
          </m:e>
          <m:sub>
            <m:r>
              <m:rPr/>
              <w:rPr>
                <w:rFonts w:ascii="Cambria Math" w:hAnsi="Cambria Math"/>
                <w:sz w:val="20"/>
                <w:szCs w:val="20"/>
              </w:rPr>
              <m:t>p</m:t>
            </m:r>
            <m:ctrlPr>
              <w:rPr>
                <w:rFonts w:ascii="Cambria Math" w:hAnsi="Cambria Math"/>
                <w:sz w:val="20"/>
                <w:szCs w:val="20"/>
              </w:rPr>
            </m:ctrlPr>
          </m:sub>
        </m:sSub>
        <m:r>
          <m:rPr>
            <m:sty m:val="p"/>
          </m:rPr>
          <w:rPr>
            <w:rFonts w:ascii="Cambria Math" w:hAnsi="Cambria Math"/>
            <w:sz w:val="20"/>
            <w:szCs w:val="20"/>
          </w:rPr>
          <m:t>）</m:t>
        </m:r>
      </m:oMath>
      <w:r>
        <w:rPr>
          <w:rFonts w:hint="eastAsia"/>
          <w:sz w:val="20"/>
          <w:szCs w:val="20"/>
        </w:rPr>
        <w:t xml:space="preserve">                 （</w:t>
      </w:r>
      <w:r>
        <w:rPr>
          <w:sz w:val="20"/>
          <w:szCs w:val="20"/>
        </w:rPr>
        <w:t>4.6.</w:t>
      </w:r>
      <w:r>
        <w:rPr>
          <w:rFonts w:hint="eastAsia"/>
          <w:sz w:val="20"/>
          <w:szCs w:val="20"/>
        </w:rPr>
        <w:t>6-1）</w:t>
      </w:r>
    </w:p>
    <w:p w14:paraId="5A623EC2">
      <w:pPr>
        <w:wordWrap w:val="0"/>
        <w:snapToGrid w:val="0"/>
        <w:spacing w:line="288" w:lineRule="auto"/>
        <w:ind w:firstLine="350" w:firstLineChars="175"/>
        <w:jc w:val="right"/>
        <w:rPr>
          <w:sz w:val="20"/>
          <w:szCs w:val="20"/>
        </w:rPr>
      </w:pPr>
      <m:oMath>
        <m:sSub>
          <m:sSubPr>
            <m:ctrlPr>
              <w:rPr>
                <w:rFonts w:ascii="Cambria Math" w:hAnsi="Cambria Math"/>
                <w:sz w:val="20"/>
                <w:szCs w:val="20"/>
              </w:rPr>
            </m:ctrlPr>
          </m:sSubPr>
          <m:e>
            <m:r>
              <m:rPr/>
              <w:rPr>
                <w:rFonts w:ascii="Cambria Math" w:hAnsi="Cambria Math"/>
                <w:sz w:val="20"/>
                <w:szCs w:val="20"/>
              </w:rPr>
              <m:t>K</m:t>
            </m:r>
            <m:ctrlPr>
              <w:rPr>
                <w:rFonts w:ascii="Cambria Math" w:hAnsi="Cambria Math"/>
                <w:sz w:val="20"/>
                <w:szCs w:val="20"/>
              </w:rPr>
            </m:ctrlPr>
          </m:e>
          <m:sub>
            <m:r>
              <m:rPr/>
              <w:rPr>
                <w:rFonts w:ascii="Cambria Math" w:hAnsi="Cambria Math"/>
                <w:sz w:val="20"/>
                <w:szCs w:val="20"/>
              </w:rPr>
              <m:t>p</m:t>
            </m:r>
            <m:ctrlPr>
              <w:rPr>
                <w:rFonts w:ascii="Cambria Math" w:hAnsi="Cambria Math"/>
                <w:sz w:val="20"/>
                <w:szCs w:val="20"/>
              </w:rPr>
            </m:ctrlPr>
          </m:sub>
        </m:sSub>
        <m:r>
          <m:rPr>
            <m:sty m:val="p"/>
          </m:rPr>
          <w:rPr>
            <w:rFonts w:ascii="Cambria Math" w:hAnsi="Cambria Math"/>
            <w:sz w:val="20"/>
            <w:szCs w:val="20"/>
          </w:rPr>
          <m:t>=</m:t>
        </m:r>
        <m:func>
          <m:funcPr>
            <m:ctrlPr>
              <w:rPr>
                <w:rFonts w:ascii="Cambria Math" w:hAnsi="Cambria Math"/>
                <w:sz w:val="20"/>
                <w:szCs w:val="20"/>
              </w:rPr>
            </m:ctrlPr>
          </m:funcPr>
          <m:fName>
            <m:sSup>
              <m:sSupPr>
                <m:ctrlPr>
                  <w:rPr>
                    <w:rFonts w:ascii="Cambria Math" w:hAnsi="Cambria Math"/>
                    <w:sz w:val="20"/>
                    <w:szCs w:val="20"/>
                  </w:rPr>
                </m:ctrlPr>
              </m:sSupPr>
              <m:e>
                <m:r>
                  <m:rPr>
                    <m:sty m:val="p"/>
                  </m:rPr>
                  <w:rPr>
                    <w:rFonts w:ascii="Cambria Math" w:hAnsi="Cambria Math"/>
                    <w:sz w:val="20"/>
                    <w:szCs w:val="20"/>
                  </w:rPr>
                  <m:t>tan</m:t>
                </m:r>
                <m:ctrlPr>
                  <w:rPr>
                    <w:rFonts w:ascii="Cambria Math" w:hAnsi="Cambria Math"/>
                    <w:sz w:val="20"/>
                    <w:szCs w:val="20"/>
                  </w:rPr>
                </m:ctrlPr>
              </m:e>
              <m:sup>
                <m:r>
                  <m:rPr/>
                  <w:rPr>
                    <w:rFonts w:ascii="Cambria Math" w:hAnsi="Cambria Math"/>
                    <w:sz w:val="20"/>
                    <w:szCs w:val="20"/>
                  </w:rPr>
                  <m:t>2</m:t>
                </m:r>
                <m:ctrlPr>
                  <w:rPr>
                    <w:rFonts w:ascii="Cambria Math" w:hAnsi="Cambria Math"/>
                    <w:sz w:val="20"/>
                    <w:szCs w:val="20"/>
                  </w:rPr>
                </m:ctrlPr>
              </m:sup>
            </m:sSup>
            <m:ctrlPr>
              <w:rPr>
                <w:rFonts w:ascii="Cambria Math" w:hAnsi="Cambria Math"/>
                <w:sz w:val="20"/>
                <w:szCs w:val="20"/>
              </w:rPr>
            </m:ctrlPr>
          </m:fName>
          <m:e>
            <m:r>
              <m:rPr/>
              <w:rPr>
                <w:rFonts w:ascii="Cambria Math" w:hAnsi="Cambria Math"/>
                <w:sz w:val="20"/>
                <w:szCs w:val="20"/>
              </w:rPr>
              <m:t>(45°</m:t>
            </m:r>
            <m:r>
              <m:rPr>
                <m:sty m:val="p"/>
              </m:rPr>
              <w:rPr>
                <w:rFonts w:ascii="Cambria Math" w:hAnsi="Cambria Math"/>
                <w:sz w:val="20"/>
                <w:szCs w:val="20"/>
              </w:rPr>
              <m:t>+</m:t>
            </m:r>
            <m:f>
              <m:fPr>
                <m:type m:val="skw"/>
                <m:ctrlPr>
                  <w:rPr>
                    <w:rFonts w:ascii="Cambria Math" w:hAnsi="Cambria Math"/>
                    <w:sz w:val="20"/>
                    <w:szCs w:val="20"/>
                  </w:rPr>
                </m:ctrlPr>
              </m:fPr>
              <m:num>
                <m:r>
                  <m:rPr/>
                  <w:rPr>
                    <w:rFonts w:ascii="Cambria Math" w:hAnsi="Cambria Math"/>
                    <w:sz w:val="20"/>
                    <w:szCs w:val="20"/>
                  </w:rPr>
                  <m:t>φ</m:t>
                </m:r>
                <m:ctrlPr>
                  <w:rPr>
                    <w:rFonts w:ascii="Cambria Math" w:hAnsi="Cambria Math"/>
                    <w:sz w:val="20"/>
                    <w:szCs w:val="20"/>
                  </w:rPr>
                </m:ctrlPr>
              </m:num>
              <m:den>
                <m:r>
                  <m:rPr/>
                  <w:rPr>
                    <w:rFonts w:ascii="Cambria Math" w:hAnsi="Cambria Math"/>
                    <w:sz w:val="20"/>
                    <w:szCs w:val="20"/>
                  </w:rPr>
                  <m:t>2</m:t>
                </m:r>
                <m:ctrlPr>
                  <w:rPr>
                    <w:rFonts w:ascii="Cambria Math" w:hAnsi="Cambria Math"/>
                    <w:sz w:val="20"/>
                    <w:szCs w:val="20"/>
                  </w:rPr>
                </m:ctrlPr>
              </m:den>
            </m:f>
            <m:r>
              <m:rPr>
                <m:sty m:val="p"/>
              </m:rPr>
              <w:rPr>
                <w:rFonts w:ascii="Cambria Math" w:hAnsi="Cambria Math"/>
                <w:sz w:val="20"/>
                <w:szCs w:val="20"/>
              </w:rPr>
              <m:t>）</m:t>
            </m:r>
            <m:ctrlPr>
              <w:rPr>
                <w:rFonts w:ascii="Cambria Math" w:hAnsi="Cambria Math"/>
                <w:sz w:val="20"/>
                <w:szCs w:val="20"/>
              </w:rPr>
            </m:ctrlPr>
          </m:e>
        </m:func>
      </m:oMath>
      <w:r>
        <w:rPr>
          <w:rFonts w:hint="eastAsia"/>
          <w:sz w:val="20"/>
          <w:szCs w:val="20"/>
        </w:rPr>
        <w:t xml:space="preserve">                       （</w:t>
      </w:r>
      <w:r>
        <w:rPr>
          <w:sz w:val="20"/>
          <w:szCs w:val="20"/>
        </w:rPr>
        <w:t>4.6.</w:t>
      </w:r>
      <w:r>
        <w:rPr>
          <w:rFonts w:hint="eastAsia"/>
          <w:sz w:val="20"/>
          <w:szCs w:val="20"/>
        </w:rPr>
        <w:t>6-2）</w:t>
      </w:r>
    </w:p>
    <w:p w14:paraId="25AE5AF1">
      <w:pPr>
        <w:snapToGrid w:val="0"/>
        <w:spacing w:line="288" w:lineRule="auto"/>
        <w:ind w:firstLine="350" w:firstLineChars="175"/>
        <w:rPr>
          <w:sz w:val="20"/>
          <w:szCs w:val="20"/>
        </w:rPr>
      </w:pPr>
      <w:r>
        <w:rPr>
          <w:rFonts w:hint="eastAsia"/>
          <w:sz w:val="20"/>
          <w:szCs w:val="20"/>
        </w:rPr>
        <w:t>式中：</w:t>
      </w:r>
    </w:p>
    <w:p w14:paraId="2A4B537D">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R</m:t>
            </m:r>
            <m:ctrlPr>
              <w:rPr>
                <w:rFonts w:ascii="Cambria Math" w:hAnsi="Cambria Math"/>
                <w:i/>
                <w:sz w:val="20"/>
                <w:szCs w:val="20"/>
              </w:rPr>
            </m:ctrlPr>
          </m:e>
          <m:sub>
            <m:r>
              <m:rPr>
                <m:sty m:val="p"/>
              </m:rPr>
              <w:rPr>
                <w:rFonts w:ascii="Cambria Math" w:hAnsi="Cambria Math"/>
                <w:sz w:val="20"/>
                <w:szCs w:val="20"/>
              </w:rPr>
              <m:t>c</m:t>
            </m:r>
            <m:ctrlPr>
              <w:rPr>
                <w:rFonts w:ascii="Cambria Math" w:hAnsi="Cambria Math"/>
                <w:i/>
                <w:sz w:val="20"/>
                <w:szCs w:val="20"/>
              </w:rPr>
            </m:ctrlPr>
          </m:sub>
        </m:sSub>
      </m:oMath>
      <w:r>
        <w:rPr>
          <w:sz w:val="20"/>
          <w:szCs w:val="20"/>
        </w:rPr>
        <w:t>—</w:t>
      </w:r>
      <w:r>
        <w:rPr>
          <w:rFonts w:hint="eastAsia"/>
          <w:sz w:val="20"/>
          <w:szCs w:val="20"/>
        </w:rPr>
        <w:t>后背墙允许顶力设计值（kN）；</w:t>
      </w:r>
    </w:p>
    <w:p w14:paraId="0D96C178">
      <w:pPr>
        <w:snapToGrid w:val="0"/>
        <w:spacing w:line="288" w:lineRule="auto"/>
        <w:ind w:firstLine="950" w:firstLineChars="475"/>
        <w:rPr>
          <w:sz w:val="20"/>
          <w:szCs w:val="20"/>
        </w:rPr>
      </w:pPr>
      <w:r>
        <w:rPr>
          <w:rFonts w:hint="eastAsia"/>
          <w:sz w:val="20"/>
          <w:szCs w:val="20"/>
        </w:rPr>
        <w:t>η</w:t>
      </w:r>
      <w:r>
        <w:rPr>
          <w:sz w:val="20"/>
          <w:szCs w:val="20"/>
        </w:rPr>
        <w:t>—</w:t>
      </w:r>
      <w:r>
        <w:rPr>
          <w:rFonts w:hint="eastAsia"/>
          <w:sz w:val="20"/>
          <w:szCs w:val="20"/>
        </w:rPr>
        <w:t>安全系数，工作井为永久结构时可取1.25，临时结构时可取1.0；</w:t>
      </w:r>
    </w:p>
    <w:p w14:paraId="5FF1B114">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B</m:t>
            </m:r>
            <m:ctrlPr>
              <w:rPr>
                <w:rFonts w:ascii="Cambria Math" w:hAnsi="Cambria Math"/>
                <w:i/>
                <w:sz w:val="20"/>
                <w:szCs w:val="20"/>
              </w:rPr>
            </m:ctrlPr>
          </m:e>
          <m:sub>
            <m:r>
              <m:rPr/>
              <w:rPr>
                <w:rFonts w:ascii="Cambria Math" w:hAnsi="Cambria Math"/>
                <w:sz w:val="20"/>
                <w:szCs w:val="20"/>
              </w:rPr>
              <m:t>ℎ</m:t>
            </m:r>
            <m:ctrlPr>
              <w:rPr>
                <w:rFonts w:ascii="Cambria Math" w:hAnsi="Cambria Math"/>
                <w:i/>
                <w:sz w:val="20"/>
                <w:szCs w:val="20"/>
              </w:rPr>
            </m:ctrlPr>
          </m:sub>
        </m:sSub>
      </m:oMath>
      <w:r>
        <w:rPr>
          <w:sz w:val="20"/>
          <w:szCs w:val="20"/>
        </w:rPr>
        <w:t>—</w:t>
      </w:r>
      <w:r>
        <w:rPr>
          <w:rFonts w:hint="eastAsia"/>
          <w:sz w:val="20"/>
          <w:szCs w:val="20"/>
        </w:rPr>
        <w:t>后背墙的宽度（m）；</w:t>
      </w:r>
    </w:p>
    <w:p w14:paraId="5AFBBA6F">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ℎ</m:t>
            </m:r>
            <m:ctrlPr>
              <w:rPr>
                <w:rFonts w:ascii="Cambria Math" w:hAnsi="Cambria Math"/>
                <w:i/>
                <w:sz w:val="20"/>
                <w:szCs w:val="20"/>
              </w:rPr>
            </m:ctrlPr>
          </m:e>
          <m:sub>
            <m:r>
              <m:rPr/>
              <w:rPr>
                <w:rFonts w:ascii="Cambria Math" w:hAnsi="Cambria Math"/>
                <w:sz w:val="20"/>
                <w:szCs w:val="20"/>
              </w:rPr>
              <m:t>2</m:t>
            </m:r>
            <m:ctrlPr>
              <w:rPr>
                <w:rFonts w:ascii="Cambria Math" w:hAnsi="Cambria Math"/>
                <w:i/>
                <w:sz w:val="20"/>
                <w:szCs w:val="20"/>
              </w:rPr>
            </m:ctrlPr>
          </m:sub>
        </m:sSub>
      </m:oMath>
      <w:r>
        <w:rPr>
          <w:sz w:val="20"/>
          <w:szCs w:val="20"/>
        </w:rPr>
        <w:t>—</w:t>
      </w:r>
      <w:r>
        <w:rPr>
          <w:rFonts w:hint="eastAsia"/>
          <w:sz w:val="20"/>
          <w:szCs w:val="20"/>
        </w:rPr>
        <w:t>后背墙的高度（m）；</w:t>
      </w:r>
    </w:p>
    <w:p w14:paraId="50ACF528">
      <w:pPr>
        <w:snapToGrid w:val="0"/>
        <w:spacing w:line="288" w:lineRule="auto"/>
        <w:ind w:firstLine="950" w:firstLineChars="475"/>
        <w:rPr>
          <w:sz w:val="20"/>
          <w:szCs w:val="20"/>
        </w:rPr>
      </w:pPr>
      <m:oMath>
        <m:r>
          <m:rPr/>
          <w:rPr>
            <w:rFonts w:ascii="Cambria Math" w:hAnsi="Cambria Math"/>
            <w:sz w:val="20"/>
            <w:szCs w:val="20"/>
          </w:rPr>
          <m:t>φ</m:t>
        </m:r>
      </m:oMath>
      <w:r>
        <w:rPr>
          <w:sz w:val="20"/>
          <w:szCs w:val="20"/>
        </w:rPr>
        <w:t>—</w:t>
      </w:r>
      <w:r>
        <w:rPr>
          <w:rFonts w:hint="eastAsia"/>
          <w:sz w:val="20"/>
          <w:szCs w:val="20"/>
        </w:rPr>
        <w:t>土的内摩擦角（°）；</w:t>
      </w:r>
    </w:p>
    <w:p w14:paraId="0750D308">
      <w:pPr>
        <w:snapToGrid w:val="0"/>
        <w:spacing w:line="288" w:lineRule="auto"/>
        <w:ind w:firstLine="950" w:firstLineChars="475"/>
        <w:rPr>
          <w:sz w:val="20"/>
          <w:szCs w:val="20"/>
        </w:rPr>
      </w:pPr>
      <m:oMath>
        <m:r>
          <m:rPr/>
          <w:rPr>
            <w:rFonts w:ascii="Cambria Math" w:hAnsi="Cambria Math"/>
            <w:sz w:val="20"/>
            <w:szCs w:val="20"/>
          </w:rPr>
          <m:t>c</m:t>
        </m:r>
      </m:oMath>
      <w:r>
        <w:rPr>
          <w:sz w:val="20"/>
          <w:szCs w:val="20"/>
        </w:rPr>
        <w:t>—</w:t>
      </w:r>
      <w:r>
        <w:rPr>
          <w:rFonts w:hint="eastAsia"/>
          <w:sz w:val="20"/>
          <w:szCs w:val="20"/>
        </w:rPr>
        <w:t>土的粘聚力（kN/m</w:t>
      </w:r>
      <w:r>
        <w:rPr>
          <w:rFonts w:hint="eastAsia"/>
          <w:sz w:val="20"/>
          <w:szCs w:val="20"/>
          <w:vertAlign w:val="superscript"/>
        </w:rPr>
        <w:t>2</w:t>
      </w:r>
      <w:r>
        <w:rPr>
          <w:rFonts w:hint="eastAsia"/>
          <w:sz w:val="20"/>
          <w:szCs w:val="20"/>
        </w:rPr>
        <w:t>）；</w:t>
      </w:r>
    </w:p>
    <w:p w14:paraId="4E624422">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ℎ</m:t>
            </m:r>
            <m:ctrlPr>
              <w:rPr>
                <w:rFonts w:ascii="Cambria Math" w:hAnsi="Cambria Math"/>
                <w:i/>
                <w:sz w:val="20"/>
                <w:szCs w:val="20"/>
              </w:rPr>
            </m:ctrlPr>
          </m:e>
          <m:sub>
            <m:r>
              <m:rPr/>
              <w:rPr>
                <w:rFonts w:ascii="Cambria Math" w:hAnsi="Cambria Math"/>
                <w:sz w:val="20"/>
                <w:szCs w:val="20"/>
              </w:rPr>
              <m:t>1</m:t>
            </m:r>
            <m:ctrlPr>
              <w:rPr>
                <w:rFonts w:ascii="Cambria Math" w:hAnsi="Cambria Math"/>
                <w:i/>
                <w:sz w:val="20"/>
                <w:szCs w:val="20"/>
              </w:rPr>
            </m:ctrlPr>
          </m:sub>
        </m:sSub>
      </m:oMath>
      <w:r>
        <w:rPr>
          <w:sz w:val="20"/>
          <w:szCs w:val="20"/>
        </w:rPr>
        <w:t>—</w:t>
      </w:r>
      <w:r>
        <w:rPr>
          <w:rFonts w:hint="eastAsia"/>
          <w:sz w:val="20"/>
          <w:szCs w:val="20"/>
        </w:rPr>
        <w:t>地面到后背墙顶部土体的高度（m）；</w:t>
      </w:r>
    </w:p>
    <w:p w14:paraId="4CADAE80">
      <w:pPr>
        <w:snapToGrid w:val="0"/>
        <w:spacing w:line="288" w:lineRule="auto"/>
        <w:ind w:firstLine="950" w:firstLineChars="475"/>
        <w:rPr>
          <w:sz w:val="20"/>
          <w:szCs w:val="20"/>
        </w:rPr>
      </w:pPr>
      <m:oMath>
        <m:sSub>
          <m:sSubPr>
            <m:ctrlPr>
              <w:rPr>
                <w:rFonts w:ascii="Cambria Math" w:hAnsi="Cambria Math"/>
                <w:i/>
                <w:sz w:val="20"/>
                <w:szCs w:val="20"/>
              </w:rPr>
            </m:ctrlPr>
          </m:sSubPr>
          <m:e>
            <m:r>
              <m:rPr/>
              <w:rPr>
                <w:rFonts w:ascii="Cambria Math" w:hAnsi="Cambria Math"/>
                <w:sz w:val="20"/>
                <w:szCs w:val="20"/>
              </w:rPr>
              <m:t>K</m:t>
            </m:r>
            <m:ctrlPr>
              <w:rPr>
                <w:rFonts w:ascii="Cambria Math" w:hAnsi="Cambria Math"/>
                <w:i/>
                <w:sz w:val="20"/>
                <w:szCs w:val="20"/>
              </w:rPr>
            </m:ctrlPr>
          </m:e>
          <m:sub>
            <m:r>
              <m:rPr/>
              <w:rPr>
                <w:rFonts w:ascii="Cambria Math" w:hAnsi="Cambria Math"/>
                <w:sz w:val="20"/>
                <w:szCs w:val="20"/>
              </w:rPr>
              <m:t>P</m:t>
            </m:r>
            <m:ctrlPr>
              <w:rPr>
                <w:rFonts w:ascii="Cambria Math" w:hAnsi="Cambria Math"/>
                <w:i/>
                <w:sz w:val="20"/>
                <w:szCs w:val="20"/>
              </w:rPr>
            </m:ctrlPr>
          </m:sub>
        </m:sSub>
      </m:oMath>
      <w:r>
        <w:rPr>
          <w:sz w:val="20"/>
          <w:szCs w:val="20"/>
        </w:rPr>
        <w:t>—</w:t>
      </w:r>
      <w:r>
        <w:rPr>
          <w:rFonts w:hint="eastAsia"/>
          <w:sz w:val="20"/>
          <w:szCs w:val="20"/>
        </w:rPr>
        <w:t>被动</w:t>
      </w:r>
      <w:r>
        <w:rPr>
          <w:sz w:val="20"/>
          <w:szCs w:val="20"/>
        </w:rPr>
        <w:t>土压力</w:t>
      </w:r>
      <w:r>
        <w:rPr>
          <w:rFonts w:hint="eastAsia"/>
          <w:sz w:val="20"/>
          <w:szCs w:val="20"/>
        </w:rPr>
        <w:t>系数</w:t>
      </w:r>
      <w:r>
        <w:rPr>
          <w:sz w:val="20"/>
          <w:szCs w:val="20"/>
        </w:rPr>
        <w:t>。</w:t>
      </w:r>
    </w:p>
    <w:p w14:paraId="571E5206">
      <w:pPr>
        <w:pStyle w:val="3"/>
        <w:snapToGrid w:val="0"/>
        <w:spacing w:before="312" w:beforeLines="100" w:after="0" w:line="288" w:lineRule="auto"/>
        <w:jc w:val="center"/>
        <w:rPr>
          <w:rFonts w:ascii="Times New Roman" w:hAnsi="Times New Roman"/>
          <w:sz w:val="20"/>
          <w:szCs w:val="21"/>
        </w:rPr>
      </w:pPr>
      <w:bookmarkStart w:id="180" w:name="_Toc185235629"/>
      <w:bookmarkStart w:id="181" w:name="_Toc188612058"/>
      <w:bookmarkStart w:id="182" w:name="_Toc185236580"/>
      <w:bookmarkStart w:id="183" w:name="_Toc188798530"/>
      <w:r>
        <w:rPr>
          <w:rFonts w:ascii="Times New Roman" w:hAnsi="Times New Roman"/>
          <w:sz w:val="20"/>
          <w:szCs w:val="21"/>
        </w:rPr>
        <w:t>4.7  顶管机组装与调试</w:t>
      </w:r>
      <w:bookmarkEnd w:id="164"/>
      <w:bookmarkEnd w:id="165"/>
      <w:bookmarkEnd w:id="166"/>
      <w:bookmarkEnd w:id="167"/>
      <w:bookmarkEnd w:id="168"/>
      <w:bookmarkEnd w:id="169"/>
      <w:bookmarkEnd w:id="170"/>
      <w:bookmarkEnd w:id="171"/>
      <w:bookmarkEnd w:id="172"/>
      <w:bookmarkEnd w:id="177"/>
      <w:bookmarkEnd w:id="180"/>
      <w:bookmarkEnd w:id="181"/>
      <w:bookmarkEnd w:id="182"/>
      <w:bookmarkEnd w:id="183"/>
    </w:p>
    <w:p w14:paraId="58338547">
      <w:pPr>
        <w:snapToGrid w:val="0"/>
        <w:spacing w:line="288" w:lineRule="auto"/>
        <w:outlineLvl w:val="2"/>
        <w:rPr>
          <w:rFonts w:hAnsi="宋体"/>
          <w:bCs/>
          <w:sz w:val="20"/>
          <w:szCs w:val="20"/>
        </w:rPr>
      </w:pPr>
      <w:r>
        <w:rPr>
          <w:rFonts w:hint="eastAsia" w:hAnsi="宋体"/>
          <w:b/>
          <w:sz w:val="20"/>
          <w:szCs w:val="20"/>
        </w:rPr>
        <w:t>4.</w:t>
      </w:r>
      <w:r>
        <w:rPr>
          <w:rFonts w:hAnsi="宋体"/>
          <w:b/>
          <w:sz w:val="20"/>
          <w:szCs w:val="20"/>
        </w:rPr>
        <w:t>7</w:t>
      </w:r>
      <w:r>
        <w:rPr>
          <w:rFonts w:hint="eastAsia" w:hAnsi="宋体"/>
          <w:b/>
          <w:sz w:val="20"/>
          <w:szCs w:val="20"/>
        </w:rPr>
        <w:t xml:space="preserve">.1 </w:t>
      </w:r>
      <w:r>
        <w:rPr>
          <w:rFonts w:hAnsi="宋体"/>
          <w:b/>
          <w:sz w:val="20"/>
          <w:szCs w:val="20"/>
        </w:rPr>
        <w:t xml:space="preserve"> </w:t>
      </w:r>
      <w:r>
        <w:rPr>
          <w:rFonts w:hint="eastAsia"/>
          <w:sz w:val="20"/>
          <w:szCs w:val="20"/>
        </w:rPr>
        <w:t>顶管机组装前应符合下列规定</w:t>
      </w:r>
      <w:r>
        <w:rPr>
          <w:rFonts w:hint="eastAsia" w:hAnsi="宋体"/>
          <w:bCs/>
          <w:sz w:val="20"/>
          <w:szCs w:val="20"/>
        </w:rPr>
        <w:t>：</w:t>
      </w:r>
    </w:p>
    <w:p w14:paraId="3B94923E">
      <w:pPr>
        <w:snapToGrid w:val="0"/>
        <w:spacing w:line="288" w:lineRule="auto"/>
        <w:ind w:firstLine="350" w:firstLineChars="175"/>
        <w:rPr>
          <w:rFonts w:hAnsi="宋体"/>
          <w:bCs/>
          <w:sz w:val="20"/>
          <w:szCs w:val="20"/>
        </w:rPr>
      </w:pPr>
      <w:r>
        <w:rPr>
          <w:rFonts w:hint="eastAsia" w:hAnsi="宋体"/>
          <w:bCs/>
          <w:sz w:val="20"/>
          <w:szCs w:val="20"/>
        </w:rPr>
        <w:t>1 根据顶管机</w:t>
      </w:r>
      <w:r>
        <w:rPr>
          <w:rFonts w:hint="eastAsia" w:hAnsi="宋体"/>
          <w:sz w:val="20"/>
          <w:szCs w:val="20"/>
        </w:rPr>
        <w:t>部件</w:t>
      </w:r>
      <w:r>
        <w:rPr>
          <w:rFonts w:hint="eastAsia" w:hAnsi="宋体"/>
          <w:bCs/>
          <w:sz w:val="20"/>
          <w:szCs w:val="20"/>
        </w:rPr>
        <w:t>情况和场地条件，制定组装方案；</w:t>
      </w:r>
    </w:p>
    <w:p w14:paraId="7B3AFA9A">
      <w:pPr>
        <w:snapToGrid w:val="0"/>
        <w:spacing w:line="288" w:lineRule="auto"/>
        <w:ind w:firstLine="350" w:firstLineChars="175"/>
        <w:rPr>
          <w:rFonts w:hAnsi="宋体"/>
          <w:bCs/>
          <w:sz w:val="20"/>
          <w:szCs w:val="20"/>
        </w:rPr>
      </w:pPr>
      <w:r>
        <w:rPr>
          <w:rFonts w:hint="eastAsia" w:hAnsi="宋体"/>
          <w:bCs/>
          <w:sz w:val="20"/>
          <w:szCs w:val="20"/>
        </w:rPr>
        <w:t>2 根据部件尺寸和重量选择起重设备；</w:t>
      </w:r>
    </w:p>
    <w:p w14:paraId="1F1705B4">
      <w:pPr>
        <w:snapToGrid w:val="0"/>
        <w:spacing w:line="288" w:lineRule="auto"/>
        <w:ind w:firstLine="350" w:firstLineChars="175"/>
        <w:rPr>
          <w:rFonts w:hAnsi="宋体"/>
          <w:bCs/>
          <w:sz w:val="20"/>
          <w:szCs w:val="20"/>
        </w:rPr>
      </w:pPr>
      <w:r>
        <w:rPr>
          <w:rFonts w:hint="eastAsia" w:hAnsi="宋体"/>
          <w:bCs/>
          <w:sz w:val="20"/>
          <w:szCs w:val="20"/>
        </w:rPr>
        <w:t>3 核实起吊</w:t>
      </w:r>
      <w:r>
        <w:rPr>
          <w:rFonts w:hint="eastAsia" w:hAnsi="宋体"/>
          <w:sz w:val="20"/>
          <w:szCs w:val="20"/>
        </w:rPr>
        <w:t>位置</w:t>
      </w:r>
      <w:r>
        <w:rPr>
          <w:rFonts w:hint="eastAsia" w:hAnsi="宋体"/>
          <w:bCs/>
          <w:sz w:val="20"/>
          <w:szCs w:val="20"/>
        </w:rPr>
        <w:t>的地基承载力；</w:t>
      </w:r>
    </w:p>
    <w:p w14:paraId="25E7470E">
      <w:pPr>
        <w:snapToGrid w:val="0"/>
        <w:spacing w:line="288" w:lineRule="auto"/>
        <w:ind w:firstLine="350" w:firstLineChars="175"/>
        <w:rPr>
          <w:rFonts w:hAnsi="宋体"/>
          <w:bCs/>
          <w:sz w:val="20"/>
          <w:szCs w:val="20"/>
        </w:rPr>
      </w:pPr>
      <w:r>
        <w:rPr>
          <w:rFonts w:hint="eastAsia" w:hAnsi="宋体"/>
          <w:bCs/>
          <w:sz w:val="20"/>
          <w:szCs w:val="20"/>
        </w:rPr>
        <w:t>4 工作井内顶管机两侧宜设置左右限位装置或左右位置调节装置。</w:t>
      </w:r>
    </w:p>
    <w:p w14:paraId="18BF8C1B">
      <w:pPr>
        <w:snapToGrid w:val="0"/>
        <w:spacing w:line="288" w:lineRule="auto"/>
        <w:outlineLvl w:val="2"/>
        <w:rPr>
          <w:rFonts w:hAnsi="宋体"/>
          <w:bCs/>
          <w:sz w:val="20"/>
          <w:szCs w:val="20"/>
        </w:rPr>
      </w:pPr>
      <w:r>
        <w:rPr>
          <w:rFonts w:hint="eastAsia" w:hAnsi="宋体"/>
          <w:b/>
          <w:sz w:val="20"/>
          <w:szCs w:val="20"/>
        </w:rPr>
        <w:t>4.</w:t>
      </w:r>
      <w:r>
        <w:rPr>
          <w:rFonts w:hAnsi="宋体"/>
          <w:b/>
          <w:sz w:val="20"/>
          <w:szCs w:val="20"/>
        </w:rPr>
        <w:t>7</w:t>
      </w:r>
      <w:r>
        <w:rPr>
          <w:rFonts w:hint="eastAsia" w:hAnsi="宋体"/>
          <w:b/>
          <w:sz w:val="20"/>
          <w:szCs w:val="20"/>
        </w:rPr>
        <w:t xml:space="preserve">.2  </w:t>
      </w:r>
      <w:r>
        <w:rPr>
          <w:rFonts w:hint="eastAsia"/>
          <w:sz w:val="20"/>
          <w:szCs w:val="20"/>
        </w:rPr>
        <w:t>顶管机组装工作应遵循由前向后</w:t>
      </w:r>
      <w:r>
        <w:rPr>
          <w:rFonts w:hint="eastAsia" w:hAnsi="宋体"/>
          <w:bCs/>
          <w:sz w:val="20"/>
          <w:szCs w:val="20"/>
        </w:rPr>
        <w:t>、先下后上、先机械后液压电气的原则。</w:t>
      </w:r>
    </w:p>
    <w:p w14:paraId="76E8DF91">
      <w:pPr>
        <w:snapToGrid w:val="0"/>
        <w:spacing w:line="288" w:lineRule="auto"/>
        <w:outlineLvl w:val="2"/>
        <w:rPr>
          <w:rFonts w:hAnsi="宋体"/>
          <w:bCs/>
          <w:sz w:val="20"/>
          <w:szCs w:val="20"/>
        </w:rPr>
      </w:pPr>
      <w:r>
        <w:rPr>
          <w:rFonts w:hint="eastAsia" w:hAnsi="宋体"/>
          <w:b/>
          <w:sz w:val="20"/>
          <w:szCs w:val="20"/>
        </w:rPr>
        <w:t>4.</w:t>
      </w:r>
      <w:r>
        <w:rPr>
          <w:rFonts w:hAnsi="宋体"/>
          <w:b/>
          <w:sz w:val="20"/>
          <w:szCs w:val="20"/>
        </w:rPr>
        <w:t>7</w:t>
      </w:r>
      <w:r>
        <w:rPr>
          <w:rFonts w:hint="eastAsia" w:hAnsi="宋体"/>
          <w:b/>
          <w:sz w:val="20"/>
          <w:szCs w:val="20"/>
        </w:rPr>
        <w:t>.3</w:t>
      </w:r>
      <w:r>
        <w:rPr>
          <w:rFonts w:hAnsi="宋体"/>
          <w:b/>
          <w:sz w:val="20"/>
          <w:szCs w:val="20"/>
        </w:rPr>
        <w:t xml:space="preserve">  </w:t>
      </w:r>
      <w:r>
        <w:rPr>
          <w:rFonts w:hint="eastAsia"/>
          <w:sz w:val="20"/>
          <w:szCs w:val="20"/>
        </w:rPr>
        <w:t>顶管机组装后</w:t>
      </w:r>
      <w:r>
        <w:rPr>
          <w:rFonts w:hint="eastAsia" w:hAnsi="宋体"/>
          <w:bCs/>
          <w:sz w:val="20"/>
          <w:szCs w:val="20"/>
        </w:rPr>
        <w:t>，应先进行各系统的空载调试，再进行整机空载调试。</w:t>
      </w:r>
    </w:p>
    <w:bookmarkEnd w:id="131"/>
    <w:p w14:paraId="26AA5DC2">
      <w:pPr>
        <w:pStyle w:val="3"/>
        <w:snapToGrid w:val="0"/>
        <w:spacing w:before="312" w:beforeLines="100" w:after="0" w:line="288" w:lineRule="auto"/>
        <w:jc w:val="center"/>
        <w:rPr>
          <w:rFonts w:ascii="Times New Roman" w:hAnsi="Times New Roman"/>
          <w:sz w:val="20"/>
          <w:szCs w:val="21"/>
        </w:rPr>
      </w:pPr>
      <w:bookmarkStart w:id="184" w:name="_Toc188612059"/>
      <w:bookmarkStart w:id="185" w:name="_Toc185235630"/>
      <w:bookmarkStart w:id="186" w:name="_Toc185236581"/>
      <w:bookmarkStart w:id="187" w:name="_Toc164082913"/>
      <w:bookmarkStart w:id="188" w:name="_Toc188798531"/>
      <w:r>
        <w:rPr>
          <w:rFonts w:hint="eastAsia" w:ascii="Times New Roman" w:hAnsi="Times New Roman"/>
          <w:sz w:val="20"/>
          <w:szCs w:val="21"/>
        </w:rPr>
        <w:t>4.</w:t>
      </w:r>
      <w:r>
        <w:rPr>
          <w:rFonts w:ascii="Times New Roman" w:hAnsi="Times New Roman"/>
          <w:sz w:val="20"/>
          <w:szCs w:val="21"/>
        </w:rPr>
        <w:t xml:space="preserve">8  </w:t>
      </w:r>
      <w:r>
        <w:rPr>
          <w:rFonts w:hint="eastAsia" w:ascii="Times New Roman" w:hAnsi="Times New Roman"/>
          <w:sz w:val="20"/>
          <w:szCs w:val="21"/>
        </w:rPr>
        <w:t>辅助设备</w:t>
      </w:r>
      <w:r>
        <w:rPr>
          <w:rFonts w:ascii="Times New Roman" w:hAnsi="Times New Roman"/>
          <w:sz w:val="20"/>
          <w:szCs w:val="21"/>
        </w:rPr>
        <w:t>设施</w:t>
      </w:r>
      <w:bookmarkEnd w:id="184"/>
      <w:bookmarkEnd w:id="185"/>
      <w:bookmarkEnd w:id="186"/>
      <w:bookmarkEnd w:id="187"/>
      <w:bookmarkEnd w:id="188"/>
    </w:p>
    <w:p w14:paraId="2D342A18">
      <w:pPr>
        <w:snapToGrid w:val="0"/>
        <w:spacing w:line="288" w:lineRule="auto"/>
        <w:outlineLvl w:val="2"/>
        <w:rPr>
          <w:rFonts w:hAnsi="宋体"/>
          <w:b/>
          <w:sz w:val="20"/>
          <w:szCs w:val="20"/>
        </w:rPr>
      </w:pPr>
      <w:r>
        <w:rPr>
          <w:rFonts w:hAnsi="宋体"/>
          <w:b/>
          <w:sz w:val="20"/>
          <w:szCs w:val="20"/>
        </w:rPr>
        <w:t xml:space="preserve">4.8.1  </w:t>
      </w:r>
      <w:r>
        <w:rPr>
          <w:rFonts w:hint="eastAsia"/>
          <w:sz w:val="20"/>
          <w:szCs w:val="20"/>
        </w:rPr>
        <w:t>导轨宜采用整体拼装式，并应符合下列规定：</w:t>
      </w:r>
    </w:p>
    <w:p w14:paraId="3CF7B389">
      <w:pPr>
        <w:snapToGrid w:val="0"/>
        <w:spacing w:line="288" w:lineRule="auto"/>
        <w:ind w:firstLine="350" w:firstLineChars="175"/>
        <w:rPr>
          <w:sz w:val="20"/>
          <w:szCs w:val="20"/>
        </w:rPr>
      </w:pPr>
      <w:r>
        <w:rPr>
          <w:rFonts w:hAnsi="宋体"/>
          <w:b/>
          <w:sz w:val="20"/>
          <w:szCs w:val="20"/>
        </w:rPr>
        <w:t xml:space="preserve">1 </w:t>
      </w:r>
      <w:r>
        <w:rPr>
          <w:rFonts w:hint="eastAsia"/>
          <w:sz w:val="20"/>
          <w:szCs w:val="20"/>
        </w:rPr>
        <w:t>导轨刚度</w:t>
      </w:r>
      <w:r>
        <w:rPr>
          <w:sz w:val="20"/>
          <w:szCs w:val="20"/>
        </w:rPr>
        <w:t>和强度应满足</w:t>
      </w:r>
      <w:r>
        <w:rPr>
          <w:rFonts w:hint="eastAsia"/>
          <w:sz w:val="20"/>
          <w:szCs w:val="20"/>
        </w:rPr>
        <w:t>施工</w:t>
      </w:r>
      <w:r>
        <w:rPr>
          <w:sz w:val="20"/>
          <w:szCs w:val="20"/>
        </w:rPr>
        <w:t>要求</w:t>
      </w:r>
      <w:r>
        <w:rPr>
          <w:rFonts w:hint="eastAsia"/>
          <w:sz w:val="20"/>
          <w:szCs w:val="20"/>
        </w:rPr>
        <w:t>；</w:t>
      </w:r>
    </w:p>
    <w:p w14:paraId="00796341">
      <w:pPr>
        <w:snapToGrid w:val="0"/>
        <w:spacing w:line="288" w:lineRule="auto"/>
        <w:ind w:firstLine="350" w:firstLineChars="175"/>
        <w:rPr>
          <w:sz w:val="20"/>
          <w:szCs w:val="20"/>
        </w:rPr>
      </w:pPr>
      <w:r>
        <w:rPr>
          <w:rFonts w:hAnsi="宋体"/>
          <w:b/>
          <w:sz w:val="20"/>
          <w:szCs w:val="20"/>
        </w:rPr>
        <w:t>2</w:t>
      </w:r>
      <w:r>
        <w:rPr>
          <w:sz w:val="20"/>
          <w:szCs w:val="20"/>
        </w:rPr>
        <w:t xml:space="preserve"> </w:t>
      </w:r>
      <w:r>
        <w:rPr>
          <w:rFonts w:hint="eastAsia"/>
          <w:sz w:val="20"/>
          <w:szCs w:val="20"/>
        </w:rPr>
        <w:t>导轨安装</w:t>
      </w:r>
      <w:r>
        <w:rPr>
          <w:sz w:val="20"/>
          <w:szCs w:val="20"/>
        </w:rPr>
        <w:t>位置应避开刀盘</w:t>
      </w:r>
      <w:r>
        <w:rPr>
          <w:rFonts w:hint="eastAsia"/>
          <w:sz w:val="20"/>
          <w:szCs w:val="20"/>
        </w:rPr>
        <w:t>旋转</w:t>
      </w:r>
      <w:r>
        <w:rPr>
          <w:sz w:val="20"/>
          <w:szCs w:val="20"/>
        </w:rPr>
        <w:t>范围</w:t>
      </w:r>
      <w:r>
        <w:rPr>
          <w:rFonts w:hint="eastAsia"/>
          <w:sz w:val="20"/>
          <w:szCs w:val="20"/>
        </w:rPr>
        <w:t>，始发、接收洞口前应设置检查槽</w:t>
      </w:r>
      <w:r>
        <w:rPr>
          <w:sz w:val="20"/>
          <w:szCs w:val="20"/>
        </w:rPr>
        <w:t>；</w:t>
      </w:r>
    </w:p>
    <w:p w14:paraId="52FDB079">
      <w:pPr>
        <w:snapToGrid w:val="0"/>
        <w:spacing w:line="288" w:lineRule="auto"/>
        <w:ind w:firstLine="350" w:firstLineChars="175"/>
        <w:rPr>
          <w:sz w:val="20"/>
          <w:szCs w:val="20"/>
        </w:rPr>
      </w:pPr>
      <w:r>
        <w:rPr>
          <w:rFonts w:hAnsi="宋体"/>
          <w:b/>
          <w:sz w:val="20"/>
          <w:szCs w:val="20"/>
        </w:rPr>
        <w:t xml:space="preserve">3 </w:t>
      </w:r>
      <w:r>
        <w:rPr>
          <w:rFonts w:hint="eastAsia"/>
          <w:sz w:val="20"/>
          <w:szCs w:val="20"/>
        </w:rPr>
        <w:t>导轨</w:t>
      </w:r>
      <w:r>
        <w:rPr>
          <w:sz w:val="20"/>
          <w:szCs w:val="20"/>
        </w:rPr>
        <w:t>坡度</w:t>
      </w:r>
      <w:r>
        <w:rPr>
          <w:rFonts w:hint="eastAsia"/>
          <w:sz w:val="20"/>
          <w:szCs w:val="20"/>
        </w:rPr>
        <w:t>应与</w:t>
      </w:r>
      <w:r>
        <w:rPr>
          <w:sz w:val="20"/>
          <w:szCs w:val="20"/>
        </w:rPr>
        <w:t>结构设计线路一致，安装应顺直、平行、</w:t>
      </w:r>
      <w:r>
        <w:rPr>
          <w:rFonts w:hint="eastAsia"/>
          <w:sz w:val="20"/>
          <w:szCs w:val="20"/>
        </w:rPr>
        <w:t>等</w:t>
      </w:r>
      <w:r>
        <w:rPr>
          <w:sz w:val="20"/>
          <w:szCs w:val="20"/>
        </w:rPr>
        <w:t>高、</w:t>
      </w:r>
      <w:r>
        <w:rPr>
          <w:rFonts w:hint="eastAsia"/>
          <w:sz w:val="20"/>
          <w:szCs w:val="20"/>
        </w:rPr>
        <w:t>牢固，导轨标高可适当调高；</w:t>
      </w:r>
    </w:p>
    <w:p w14:paraId="4F9BCEDF">
      <w:pPr>
        <w:snapToGrid w:val="0"/>
        <w:spacing w:line="288" w:lineRule="auto"/>
        <w:ind w:firstLine="350" w:firstLineChars="175"/>
        <w:rPr>
          <w:sz w:val="20"/>
          <w:szCs w:val="20"/>
        </w:rPr>
      </w:pPr>
      <w:r>
        <w:rPr>
          <w:rFonts w:hint="eastAsia" w:hAnsi="宋体"/>
          <w:b/>
          <w:sz w:val="20"/>
          <w:szCs w:val="20"/>
        </w:rPr>
        <w:t xml:space="preserve">4 </w:t>
      </w:r>
      <w:r>
        <w:rPr>
          <w:rFonts w:hint="eastAsia"/>
          <w:sz w:val="20"/>
          <w:szCs w:val="20"/>
        </w:rPr>
        <w:t>洞门破除后，应在洞门下方铺设过渡导轨，过渡导轨应与洞口钢环焊接牢固，安装数量、水平位置及标高应与主导轨相匹配；</w:t>
      </w:r>
    </w:p>
    <w:p w14:paraId="218F7EDA">
      <w:pPr>
        <w:snapToGrid w:val="0"/>
        <w:spacing w:line="288" w:lineRule="auto"/>
        <w:ind w:firstLine="350" w:firstLineChars="175"/>
        <w:rPr>
          <w:strike/>
          <w:sz w:val="20"/>
          <w:szCs w:val="20"/>
        </w:rPr>
      </w:pPr>
      <w:r>
        <w:rPr>
          <w:rFonts w:hint="eastAsia" w:hAnsi="宋体"/>
          <w:b/>
          <w:sz w:val="20"/>
          <w:szCs w:val="20"/>
        </w:rPr>
        <w:t>5</w:t>
      </w:r>
      <w:r>
        <w:rPr>
          <w:sz w:val="20"/>
          <w:szCs w:val="20"/>
        </w:rPr>
        <w:t xml:space="preserve"> </w:t>
      </w:r>
      <w:r>
        <w:rPr>
          <w:rFonts w:hint="eastAsia"/>
          <w:sz w:val="20"/>
          <w:szCs w:val="20"/>
        </w:rPr>
        <w:t>导轨</w:t>
      </w:r>
      <w:r>
        <w:rPr>
          <w:sz w:val="20"/>
          <w:szCs w:val="20"/>
        </w:rPr>
        <w:t>安装轴线允许偏差</w:t>
      </w:r>
      <w:r>
        <w:rPr>
          <w:rFonts w:hint="eastAsia"/>
          <w:sz w:val="20"/>
          <w:szCs w:val="20"/>
        </w:rPr>
        <w:t>±3</w:t>
      </w:r>
      <w:r>
        <w:rPr>
          <w:sz w:val="20"/>
          <w:szCs w:val="20"/>
        </w:rPr>
        <w:t>mm</w:t>
      </w:r>
      <w:r>
        <w:rPr>
          <w:rFonts w:hint="eastAsia"/>
          <w:sz w:val="20"/>
          <w:szCs w:val="20"/>
        </w:rPr>
        <w:t>，</w:t>
      </w:r>
      <w:r>
        <w:rPr>
          <w:sz w:val="20"/>
          <w:szCs w:val="20"/>
        </w:rPr>
        <w:t>轨面高程允许偏差</w:t>
      </w:r>
      <w:r>
        <w:rPr>
          <w:rFonts w:hint="eastAsia"/>
          <w:sz w:val="20"/>
          <w:szCs w:val="20"/>
        </w:rPr>
        <w:t>0</w:t>
      </w:r>
      <w:r>
        <w:rPr>
          <w:sz w:val="20"/>
          <w:szCs w:val="20"/>
        </w:rPr>
        <w:t>mm</w:t>
      </w:r>
      <w:r>
        <w:rPr>
          <w:rFonts w:hint="eastAsia"/>
          <w:sz w:val="20"/>
          <w:szCs w:val="20"/>
        </w:rPr>
        <w:t>～</w:t>
      </w:r>
      <w:r>
        <w:rPr>
          <w:sz w:val="20"/>
          <w:szCs w:val="20"/>
        </w:rPr>
        <w:t>3mm</w:t>
      </w:r>
      <w:r>
        <w:rPr>
          <w:rFonts w:hint="eastAsia"/>
          <w:sz w:val="20"/>
          <w:szCs w:val="20"/>
        </w:rPr>
        <w:t>，</w:t>
      </w:r>
      <w:r>
        <w:rPr>
          <w:sz w:val="20"/>
          <w:szCs w:val="20"/>
        </w:rPr>
        <w:t>轨距允许偏差±3mm</w:t>
      </w:r>
      <w:r>
        <w:rPr>
          <w:rFonts w:hint="eastAsia"/>
          <w:sz w:val="20"/>
          <w:szCs w:val="20"/>
        </w:rPr>
        <w:t>。</w:t>
      </w:r>
    </w:p>
    <w:p w14:paraId="7A343981">
      <w:pPr>
        <w:snapToGrid w:val="0"/>
        <w:spacing w:line="288" w:lineRule="auto"/>
        <w:outlineLvl w:val="2"/>
        <w:rPr>
          <w:sz w:val="20"/>
          <w:szCs w:val="20"/>
        </w:rPr>
      </w:pPr>
      <w:r>
        <w:rPr>
          <w:rFonts w:hAnsi="宋体"/>
          <w:b/>
          <w:sz w:val="20"/>
          <w:szCs w:val="20"/>
        </w:rPr>
        <w:t xml:space="preserve">4.8.2  </w:t>
      </w:r>
      <w:r>
        <w:rPr>
          <w:rFonts w:hint="eastAsia"/>
          <w:sz w:val="20"/>
          <w:szCs w:val="20"/>
        </w:rPr>
        <w:t>顶推系统安装</w:t>
      </w:r>
      <w:r>
        <w:rPr>
          <w:sz w:val="20"/>
          <w:szCs w:val="20"/>
        </w:rPr>
        <w:t>应符合下列规定：</w:t>
      </w:r>
    </w:p>
    <w:p w14:paraId="30A5A4A9">
      <w:pPr>
        <w:snapToGrid w:val="0"/>
        <w:spacing w:line="288" w:lineRule="auto"/>
        <w:ind w:firstLine="350" w:firstLineChars="175"/>
        <w:rPr>
          <w:sz w:val="20"/>
          <w:szCs w:val="20"/>
        </w:rPr>
      </w:pPr>
      <w:r>
        <w:rPr>
          <w:rFonts w:hAnsi="宋体"/>
          <w:b/>
          <w:sz w:val="20"/>
          <w:szCs w:val="20"/>
        </w:rPr>
        <w:t xml:space="preserve">1 </w:t>
      </w:r>
      <w:r>
        <w:rPr>
          <w:rFonts w:hint="eastAsia"/>
          <w:sz w:val="20"/>
          <w:szCs w:val="20"/>
        </w:rPr>
        <w:t>油缸</w:t>
      </w:r>
      <w:r>
        <w:rPr>
          <w:sz w:val="20"/>
          <w:szCs w:val="20"/>
        </w:rPr>
        <w:t>支架</w:t>
      </w:r>
      <w:r>
        <w:rPr>
          <w:rFonts w:hint="eastAsia"/>
          <w:sz w:val="20"/>
          <w:szCs w:val="20"/>
        </w:rPr>
        <w:t>应</w:t>
      </w:r>
      <w:r>
        <w:rPr>
          <w:sz w:val="20"/>
          <w:szCs w:val="20"/>
        </w:rPr>
        <w:t>安装</w:t>
      </w:r>
      <w:r>
        <w:rPr>
          <w:rFonts w:hint="eastAsia"/>
          <w:sz w:val="20"/>
          <w:szCs w:val="20"/>
        </w:rPr>
        <w:t>牢固</w:t>
      </w:r>
      <w:r>
        <w:rPr>
          <w:sz w:val="20"/>
          <w:szCs w:val="20"/>
        </w:rPr>
        <w:t>，支架两侧应平行</w:t>
      </w:r>
      <w:r>
        <w:rPr>
          <w:rFonts w:hint="eastAsia"/>
          <w:sz w:val="20"/>
          <w:szCs w:val="20"/>
        </w:rPr>
        <w:t>、等高</w:t>
      </w:r>
      <w:r>
        <w:rPr>
          <w:sz w:val="20"/>
          <w:szCs w:val="20"/>
        </w:rPr>
        <w:t>、</w:t>
      </w:r>
      <w:r>
        <w:rPr>
          <w:rFonts w:hint="eastAsia"/>
          <w:sz w:val="20"/>
          <w:szCs w:val="20"/>
        </w:rPr>
        <w:t>对称</w:t>
      </w:r>
      <w:r>
        <w:rPr>
          <w:sz w:val="20"/>
          <w:szCs w:val="20"/>
        </w:rPr>
        <w:t>，</w:t>
      </w:r>
      <w:r>
        <w:rPr>
          <w:rFonts w:hint="eastAsia"/>
          <w:sz w:val="20"/>
          <w:szCs w:val="20"/>
        </w:rPr>
        <w:t>油缸</w:t>
      </w:r>
      <w:r>
        <w:rPr>
          <w:sz w:val="20"/>
          <w:szCs w:val="20"/>
        </w:rPr>
        <w:t>中</w:t>
      </w:r>
      <w:r>
        <w:rPr>
          <w:rFonts w:hint="eastAsia"/>
          <w:sz w:val="20"/>
          <w:szCs w:val="20"/>
        </w:rPr>
        <w:t>心</w:t>
      </w:r>
      <w:r>
        <w:rPr>
          <w:sz w:val="20"/>
          <w:szCs w:val="20"/>
        </w:rPr>
        <w:t>轴线</w:t>
      </w:r>
      <w:r>
        <w:rPr>
          <w:rFonts w:hint="eastAsia"/>
          <w:sz w:val="20"/>
          <w:szCs w:val="20"/>
        </w:rPr>
        <w:t>应</w:t>
      </w:r>
      <w:r>
        <w:rPr>
          <w:sz w:val="20"/>
          <w:szCs w:val="20"/>
        </w:rPr>
        <w:t>与结构设计轴线一致</w:t>
      </w:r>
      <w:r>
        <w:rPr>
          <w:rFonts w:hint="eastAsia"/>
          <w:sz w:val="20"/>
          <w:szCs w:val="20"/>
        </w:rPr>
        <w:t>，宜与</w:t>
      </w:r>
      <w:r>
        <w:rPr>
          <w:sz w:val="20"/>
          <w:szCs w:val="20"/>
        </w:rPr>
        <w:t>管节厚度</w:t>
      </w:r>
      <w:r>
        <w:rPr>
          <w:rFonts w:hint="eastAsia"/>
          <w:sz w:val="20"/>
          <w:szCs w:val="20"/>
        </w:rPr>
        <w:t>中心</w:t>
      </w:r>
      <w:r>
        <w:rPr>
          <w:sz w:val="20"/>
          <w:szCs w:val="20"/>
        </w:rPr>
        <w:t>重合</w:t>
      </w:r>
      <w:r>
        <w:rPr>
          <w:rFonts w:hint="eastAsia"/>
          <w:sz w:val="20"/>
          <w:szCs w:val="20"/>
        </w:rPr>
        <w:t>，且合力中心点宜低于结构中心；</w:t>
      </w:r>
    </w:p>
    <w:p w14:paraId="3BE91A2C">
      <w:pPr>
        <w:snapToGrid w:val="0"/>
        <w:spacing w:line="288" w:lineRule="auto"/>
        <w:ind w:firstLine="350" w:firstLineChars="175"/>
        <w:rPr>
          <w:sz w:val="20"/>
          <w:szCs w:val="20"/>
        </w:rPr>
      </w:pPr>
      <w:r>
        <w:rPr>
          <w:rFonts w:hAnsi="宋体"/>
          <w:b/>
          <w:sz w:val="20"/>
          <w:szCs w:val="20"/>
        </w:rPr>
        <w:t>2</w:t>
      </w:r>
      <w:r>
        <w:rPr>
          <w:sz w:val="20"/>
          <w:szCs w:val="20"/>
        </w:rPr>
        <w:t xml:space="preserve"> </w:t>
      </w:r>
      <w:r>
        <w:rPr>
          <w:rFonts w:hint="eastAsia"/>
          <w:sz w:val="20"/>
          <w:szCs w:val="20"/>
        </w:rPr>
        <w:t>宜</w:t>
      </w:r>
      <w:r>
        <w:rPr>
          <w:sz w:val="20"/>
          <w:szCs w:val="20"/>
        </w:rPr>
        <w:t>选用偶数</w:t>
      </w:r>
      <w:r>
        <w:rPr>
          <w:rFonts w:hint="eastAsia"/>
          <w:sz w:val="20"/>
          <w:szCs w:val="20"/>
        </w:rPr>
        <w:t>根同规格液压油缸</w:t>
      </w:r>
      <w:r>
        <w:rPr>
          <w:sz w:val="20"/>
          <w:szCs w:val="20"/>
        </w:rPr>
        <w:t>，</w:t>
      </w:r>
      <w:r>
        <w:rPr>
          <w:rFonts w:hint="eastAsia"/>
          <w:sz w:val="20"/>
          <w:szCs w:val="20"/>
        </w:rPr>
        <w:t>若</w:t>
      </w:r>
      <w:r>
        <w:rPr>
          <w:sz w:val="20"/>
          <w:szCs w:val="20"/>
        </w:rPr>
        <w:t>规格不同，应保证行程一致</w:t>
      </w:r>
      <w:r>
        <w:rPr>
          <w:rFonts w:hint="eastAsia"/>
          <w:sz w:val="20"/>
          <w:szCs w:val="20"/>
        </w:rPr>
        <w:t>，</w:t>
      </w:r>
      <w:r>
        <w:rPr>
          <w:sz w:val="20"/>
          <w:szCs w:val="20"/>
        </w:rPr>
        <w:t>并将同规格的</w:t>
      </w:r>
      <w:r>
        <w:rPr>
          <w:rFonts w:hint="eastAsia"/>
          <w:sz w:val="20"/>
          <w:szCs w:val="20"/>
        </w:rPr>
        <w:t>液压油缸</w:t>
      </w:r>
      <w:r>
        <w:rPr>
          <w:sz w:val="20"/>
          <w:szCs w:val="20"/>
        </w:rPr>
        <w:t>对称布置</w:t>
      </w:r>
      <w:r>
        <w:rPr>
          <w:rFonts w:hint="eastAsia"/>
          <w:sz w:val="20"/>
          <w:szCs w:val="20"/>
        </w:rPr>
        <w:t>；</w:t>
      </w:r>
    </w:p>
    <w:p w14:paraId="7BECEA1F">
      <w:pPr>
        <w:snapToGrid w:val="0"/>
        <w:spacing w:line="288" w:lineRule="auto"/>
        <w:ind w:firstLine="350" w:firstLineChars="175"/>
        <w:rPr>
          <w:sz w:val="20"/>
          <w:szCs w:val="20"/>
        </w:rPr>
      </w:pPr>
      <w:r>
        <w:rPr>
          <w:rFonts w:hAnsi="宋体"/>
          <w:b/>
          <w:sz w:val="20"/>
          <w:szCs w:val="20"/>
        </w:rPr>
        <w:t xml:space="preserve">3 </w:t>
      </w:r>
      <w:r>
        <w:rPr>
          <w:rFonts w:hint="eastAsia"/>
          <w:sz w:val="20"/>
          <w:szCs w:val="20"/>
        </w:rPr>
        <w:t>油缸的</w:t>
      </w:r>
      <w:r>
        <w:rPr>
          <w:sz w:val="20"/>
          <w:szCs w:val="20"/>
        </w:rPr>
        <w:t>油路应并联，</w:t>
      </w:r>
      <w:r>
        <w:rPr>
          <w:rFonts w:hint="eastAsia"/>
          <w:sz w:val="20"/>
          <w:szCs w:val="20"/>
        </w:rPr>
        <w:t>每根油缸</w:t>
      </w:r>
      <w:r>
        <w:rPr>
          <w:sz w:val="20"/>
          <w:szCs w:val="20"/>
        </w:rPr>
        <w:t>应有进、出油</w:t>
      </w:r>
      <w:r>
        <w:rPr>
          <w:rFonts w:hint="eastAsia"/>
          <w:sz w:val="20"/>
          <w:szCs w:val="20"/>
        </w:rPr>
        <w:t>控制</w:t>
      </w:r>
      <w:r>
        <w:rPr>
          <w:sz w:val="20"/>
          <w:szCs w:val="20"/>
        </w:rPr>
        <w:t>系统</w:t>
      </w:r>
      <w:r>
        <w:rPr>
          <w:rFonts w:hint="eastAsia"/>
          <w:sz w:val="20"/>
          <w:szCs w:val="20"/>
        </w:rPr>
        <w:t>及</w:t>
      </w:r>
      <w:r>
        <w:rPr>
          <w:sz w:val="20"/>
          <w:szCs w:val="20"/>
        </w:rPr>
        <w:t>油路断路</w:t>
      </w:r>
      <w:r>
        <w:rPr>
          <w:rFonts w:hint="eastAsia"/>
          <w:sz w:val="20"/>
          <w:szCs w:val="20"/>
        </w:rPr>
        <w:t>开关；</w:t>
      </w:r>
    </w:p>
    <w:p w14:paraId="5642CD0A">
      <w:pPr>
        <w:snapToGrid w:val="0"/>
        <w:spacing w:line="288" w:lineRule="auto"/>
        <w:ind w:firstLine="350" w:firstLineChars="175"/>
        <w:rPr>
          <w:sz w:val="20"/>
          <w:szCs w:val="20"/>
        </w:rPr>
      </w:pPr>
      <w:r>
        <w:rPr>
          <w:rFonts w:hAnsi="宋体"/>
          <w:b/>
          <w:sz w:val="20"/>
          <w:szCs w:val="20"/>
        </w:rPr>
        <w:t>4</w:t>
      </w:r>
      <w:r>
        <w:rPr>
          <w:sz w:val="20"/>
          <w:szCs w:val="20"/>
        </w:rPr>
        <w:t xml:space="preserve"> </w:t>
      </w:r>
      <w:r>
        <w:rPr>
          <w:rFonts w:hint="eastAsia"/>
          <w:sz w:val="20"/>
          <w:szCs w:val="20"/>
        </w:rPr>
        <w:t>液压泵站应与油缸相配套，油泵流量、压力及油管应满足顶进要求，液压泵站安装完毕应进行运转调试。</w:t>
      </w:r>
    </w:p>
    <w:p w14:paraId="2DC6E3CB">
      <w:pPr>
        <w:snapToGrid w:val="0"/>
        <w:spacing w:line="288" w:lineRule="auto"/>
        <w:outlineLvl w:val="2"/>
        <w:rPr>
          <w:sz w:val="20"/>
          <w:szCs w:val="20"/>
        </w:rPr>
      </w:pPr>
      <w:r>
        <w:rPr>
          <w:rFonts w:hAnsi="宋体"/>
          <w:b/>
          <w:sz w:val="20"/>
          <w:szCs w:val="20"/>
        </w:rPr>
        <w:t xml:space="preserve">4.8.3 </w:t>
      </w:r>
      <w:r>
        <w:rPr>
          <w:rFonts w:hint="eastAsia" w:hAnsi="宋体"/>
          <w:bCs/>
          <w:sz w:val="20"/>
          <w:szCs w:val="20"/>
        </w:rPr>
        <w:t xml:space="preserve"> 顶铁的设计、安装</w:t>
      </w:r>
      <w:r>
        <w:rPr>
          <w:rFonts w:hint="eastAsia"/>
          <w:sz w:val="20"/>
          <w:szCs w:val="20"/>
        </w:rPr>
        <w:t>应符合下列规定：</w:t>
      </w:r>
    </w:p>
    <w:p w14:paraId="3ECF77DB">
      <w:pPr>
        <w:snapToGrid w:val="0"/>
        <w:spacing w:line="288" w:lineRule="auto"/>
        <w:ind w:firstLine="350" w:firstLineChars="175"/>
        <w:rPr>
          <w:rFonts w:hAnsi="宋体"/>
          <w:b/>
          <w:sz w:val="20"/>
          <w:szCs w:val="20"/>
        </w:rPr>
      </w:pPr>
      <w:r>
        <w:rPr>
          <w:rFonts w:hAnsi="宋体"/>
          <w:b/>
          <w:sz w:val="20"/>
          <w:szCs w:val="20"/>
        </w:rPr>
        <w:t xml:space="preserve">1 </w:t>
      </w:r>
      <w:r>
        <w:rPr>
          <w:rFonts w:hint="eastAsia" w:hAnsi="宋体"/>
          <w:sz w:val="20"/>
          <w:szCs w:val="20"/>
        </w:rPr>
        <w:t>顶铁</w:t>
      </w:r>
      <w:r>
        <w:rPr>
          <w:rFonts w:hint="eastAsia" w:hAnsi="宋体"/>
          <w:bCs/>
          <w:sz w:val="20"/>
          <w:szCs w:val="20"/>
        </w:rPr>
        <w:t>应根据管节形式设计，分为</w:t>
      </w:r>
      <w:r>
        <w:rPr>
          <w:rFonts w:hAnsi="宋体"/>
          <w:bCs/>
          <w:sz w:val="20"/>
          <w:szCs w:val="20"/>
        </w:rPr>
        <w:t>U</w:t>
      </w:r>
      <w:r>
        <w:rPr>
          <w:rFonts w:hint="eastAsia" w:hAnsi="宋体"/>
          <w:bCs/>
          <w:sz w:val="20"/>
          <w:szCs w:val="20"/>
        </w:rPr>
        <w:t>型顶铁和环形顶铁；</w:t>
      </w:r>
    </w:p>
    <w:p w14:paraId="26096C8E">
      <w:pPr>
        <w:snapToGrid w:val="0"/>
        <w:spacing w:line="288" w:lineRule="auto"/>
        <w:ind w:firstLine="350" w:firstLineChars="175"/>
        <w:rPr>
          <w:sz w:val="20"/>
          <w:szCs w:val="20"/>
        </w:rPr>
      </w:pPr>
      <w:r>
        <w:rPr>
          <w:rFonts w:hAnsi="宋体"/>
          <w:b/>
          <w:sz w:val="20"/>
          <w:szCs w:val="20"/>
        </w:rPr>
        <w:t xml:space="preserve">2 </w:t>
      </w:r>
      <w:r>
        <w:rPr>
          <w:sz w:val="20"/>
          <w:szCs w:val="20"/>
        </w:rPr>
        <w:t>顶铁的强度、刚度应满足最大允许顶力要求</w:t>
      </w:r>
      <w:r>
        <w:rPr>
          <w:rFonts w:hint="eastAsia"/>
          <w:sz w:val="20"/>
          <w:szCs w:val="20"/>
        </w:rPr>
        <w:t>；</w:t>
      </w:r>
    </w:p>
    <w:p w14:paraId="4BDD70F0">
      <w:pPr>
        <w:snapToGrid w:val="0"/>
        <w:spacing w:line="288" w:lineRule="auto"/>
        <w:ind w:firstLine="350" w:firstLineChars="175"/>
        <w:rPr>
          <w:sz w:val="20"/>
          <w:szCs w:val="20"/>
        </w:rPr>
      </w:pPr>
      <w:r>
        <w:rPr>
          <w:rFonts w:hAnsi="宋体"/>
          <w:b/>
          <w:sz w:val="20"/>
          <w:szCs w:val="20"/>
        </w:rPr>
        <w:t>3</w:t>
      </w:r>
      <w:r>
        <w:rPr>
          <w:sz w:val="20"/>
          <w:szCs w:val="20"/>
        </w:rPr>
        <w:t xml:space="preserve"> </w:t>
      </w:r>
      <w:r>
        <w:rPr>
          <w:rFonts w:hint="eastAsia"/>
          <w:sz w:val="20"/>
          <w:szCs w:val="20"/>
        </w:rPr>
        <w:t>顶铁安装</w:t>
      </w:r>
      <w:r>
        <w:rPr>
          <w:rFonts w:hAnsi="宋体"/>
          <w:sz w:val="20"/>
          <w:szCs w:val="20"/>
        </w:rPr>
        <w:t>轴线</w:t>
      </w:r>
      <w:r>
        <w:rPr>
          <w:sz w:val="20"/>
          <w:szCs w:val="20"/>
        </w:rPr>
        <w:t>应与结构设计轴线一致</w:t>
      </w:r>
      <w:r>
        <w:rPr>
          <w:rFonts w:hint="eastAsia"/>
          <w:sz w:val="20"/>
          <w:szCs w:val="20"/>
        </w:rPr>
        <w:t>，顶铁放置导轨上应保持稳定；</w:t>
      </w:r>
    </w:p>
    <w:p w14:paraId="64C0C725">
      <w:pPr>
        <w:snapToGrid w:val="0"/>
        <w:spacing w:line="288" w:lineRule="auto"/>
        <w:ind w:firstLine="350" w:firstLineChars="175"/>
        <w:rPr>
          <w:sz w:val="20"/>
          <w:szCs w:val="20"/>
        </w:rPr>
      </w:pPr>
      <w:r>
        <w:rPr>
          <w:rFonts w:hAnsi="宋体"/>
          <w:b/>
          <w:sz w:val="20"/>
          <w:szCs w:val="20"/>
        </w:rPr>
        <w:t xml:space="preserve">4 </w:t>
      </w:r>
      <w:r>
        <w:rPr>
          <w:rFonts w:hint="eastAsia"/>
          <w:sz w:val="20"/>
          <w:szCs w:val="20"/>
        </w:rPr>
        <w:t>顶铁与</w:t>
      </w:r>
      <w:r>
        <w:rPr>
          <w:sz w:val="20"/>
          <w:szCs w:val="20"/>
        </w:rPr>
        <w:t>管节之间应采用缓冲</w:t>
      </w:r>
      <w:r>
        <w:rPr>
          <w:rFonts w:hint="eastAsia"/>
          <w:sz w:val="20"/>
          <w:szCs w:val="20"/>
        </w:rPr>
        <w:t>材料</w:t>
      </w:r>
      <w:r>
        <w:rPr>
          <w:sz w:val="20"/>
          <w:szCs w:val="20"/>
        </w:rPr>
        <w:t>衬垫</w:t>
      </w:r>
      <w:r>
        <w:rPr>
          <w:rFonts w:hint="eastAsia"/>
          <w:sz w:val="20"/>
          <w:szCs w:val="20"/>
        </w:rPr>
        <w:t>，顶铁与导轨、管节、油缸之间的接触面不得有异物；</w:t>
      </w:r>
    </w:p>
    <w:p w14:paraId="56B9DEC9">
      <w:pPr>
        <w:snapToGrid w:val="0"/>
        <w:spacing w:line="288" w:lineRule="auto"/>
        <w:ind w:firstLine="350" w:firstLineChars="175"/>
        <w:rPr>
          <w:sz w:val="20"/>
          <w:szCs w:val="20"/>
        </w:rPr>
      </w:pPr>
      <w:r>
        <w:rPr>
          <w:rFonts w:hAnsi="宋体"/>
          <w:b/>
          <w:sz w:val="20"/>
          <w:szCs w:val="20"/>
        </w:rPr>
        <w:t>5</w:t>
      </w:r>
      <w:r>
        <w:rPr>
          <w:rFonts w:hint="eastAsia"/>
          <w:sz w:val="20"/>
          <w:szCs w:val="20"/>
        </w:rPr>
        <w:t xml:space="preserve"> 顶铁与主顶油缸连接端可配置顶推油缸向后拖拽装置。</w:t>
      </w:r>
    </w:p>
    <w:p w14:paraId="26CA68EB">
      <w:pPr>
        <w:snapToGrid w:val="0"/>
        <w:spacing w:line="288" w:lineRule="auto"/>
        <w:outlineLvl w:val="2"/>
        <w:rPr>
          <w:rFonts w:hAnsi="宋体"/>
          <w:bCs/>
          <w:sz w:val="20"/>
          <w:szCs w:val="20"/>
        </w:rPr>
      </w:pPr>
      <w:r>
        <w:rPr>
          <w:rFonts w:hAnsi="宋体"/>
          <w:b/>
          <w:sz w:val="20"/>
          <w:szCs w:val="20"/>
        </w:rPr>
        <w:t xml:space="preserve">4.8.4  </w:t>
      </w:r>
      <w:r>
        <w:rPr>
          <w:rFonts w:hint="eastAsia" w:hAnsi="宋体"/>
          <w:bCs/>
          <w:sz w:val="20"/>
          <w:szCs w:val="20"/>
        </w:rPr>
        <w:t>止退装置安装应符合下列规定：</w:t>
      </w:r>
    </w:p>
    <w:p w14:paraId="2806461F">
      <w:pPr>
        <w:snapToGrid w:val="0"/>
        <w:spacing w:line="288" w:lineRule="auto"/>
        <w:ind w:firstLine="350" w:firstLineChars="175"/>
        <w:rPr>
          <w:rFonts w:hAnsi="宋体"/>
          <w:bCs/>
          <w:sz w:val="20"/>
          <w:szCs w:val="20"/>
        </w:rPr>
      </w:pPr>
      <w:r>
        <w:rPr>
          <w:rFonts w:hint="eastAsia" w:hAnsi="宋体"/>
          <w:b/>
          <w:sz w:val="20"/>
          <w:szCs w:val="20"/>
        </w:rPr>
        <w:t>1</w:t>
      </w:r>
      <w:r>
        <w:rPr>
          <w:rFonts w:hAnsi="宋体"/>
          <w:bCs/>
          <w:sz w:val="20"/>
          <w:szCs w:val="20"/>
        </w:rPr>
        <w:t xml:space="preserve"> </w:t>
      </w:r>
      <w:r>
        <w:rPr>
          <w:rFonts w:hint="eastAsia"/>
          <w:sz w:val="20"/>
          <w:szCs w:val="20"/>
        </w:rPr>
        <w:t>止退装置应满足抵抗顶管机掌子面水土压力及结构后退的能力；</w:t>
      </w:r>
    </w:p>
    <w:p w14:paraId="7A169ACA">
      <w:pPr>
        <w:snapToGrid w:val="0"/>
        <w:spacing w:line="288" w:lineRule="auto"/>
        <w:ind w:firstLine="350" w:firstLineChars="175"/>
        <w:rPr>
          <w:rFonts w:hAnsi="宋体"/>
          <w:bCs/>
          <w:sz w:val="20"/>
          <w:szCs w:val="20"/>
        </w:rPr>
      </w:pPr>
      <w:r>
        <w:rPr>
          <w:rFonts w:hint="eastAsia" w:hAnsi="宋体"/>
          <w:b/>
          <w:sz w:val="20"/>
          <w:szCs w:val="20"/>
        </w:rPr>
        <w:t>2</w:t>
      </w:r>
      <w:r>
        <w:rPr>
          <w:rFonts w:hAnsi="宋体"/>
          <w:b/>
          <w:sz w:val="20"/>
          <w:szCs w:val="20"/>
        </w:rPr>
        <w:t xml:space="preserve"> </w:t>
      </w:r>
      <w:r>
        <w:rPr>
          <w:rFonts w:hint="eastAsia" w:hAnsi="宋体"/>
          <w:bCs/>
          <w:sz w:val="20"/>
          <w:szCs w:val="20"/>
        </w:rPr>
        <w:t>工作井底板宜预埋钢板，止退装置应与预埋钢板焊接牢固。止退装置与顶管机的净距宜为5</w:t>
      </w:r>
      <w:r>
        <w:rPr>
          <w:rFonts w:hAnsi="宋体"/>
          <w:bCs/>
          <w:sz w:val="20"/>
          <w:szCs w:val="20"/>
        </w:rPr>
        <w:t>0</w:t>
      </w:r>
      <w:r>
        <w:rPr>
          <w:rFonts w:hint="eastAsia" w:hAnsi="宋体"/>
          <w:bCs/>
          <w:sz w:val="20"/>
          <w:szCs w:val="20"/>
        </w:rPr>
        <w:t>mm</w:t>
      </w:r>
      <w:r>
        <w:rPr>
          <w:rFonts w:hint="eastAsia"/>
          <w:sz w:val="20"/>
          <w:szCs w:val="20"/>
        </w:rPr>
        <w:t>～</w:t>
      </w:r>
      <w:r>
        <w:rPr>
          <w:rFonts w:hAnsi="宋体"/>
          <w:bCs/>
          <w:sz w:val="20"/>
          <w:szCs w:val="20"/>
        </w:rPr>
        <w:t>100</w:t>
      </w:r>
      <w:r>
        <w:rPr>
          <w:rFonts w:hint="eastAsia" w:hAnsi="宋体"/>
          <w:bCs/>
          <w:sz w:val="20"/>
          <w:szCs w:val="20"/>
        </w:rPr>
        <w:t>mm；</w:t>
      </w:r>
    </w:p>
    <w:p w14:paraId="3E7F3FA0">
      <w:pPr>
        <w:snapToGrid w:val="0"/>
        <w:spacing w:line="288" w:lineRule="auto"/>
        <w:ind w:firstLine="350" w:firstLineChars="175"/>
        <w:rPr>
          <w:rFonts w:hAnsi="宋体"/>
          <w:bCs/>
          <w:sz w:val="20"/>
          <w:szCs w:val="20"/>
        </w:rPr>
      </w:pPr>
      <w:r>
        <w:rPr>
          <w:rFonts w:hAnsi="宋体"/>
          <w:b/>
          <w:sz w:val="20"/>
          <w:szCs w:val="20"/>
        </w:rPr>
        <w:t>3</w:t>
      </w:r>
      <w:r>
        <w:rPr>
          <w:rFonts w:hAnsi="宋体"/>
          <w:bCs/>
          <w:sz w:val="20"/>
          <w:szCs w:val="20"/>
        </w:rPr>
        <w:t xml:space="preserve"> </w:t>
      </w:r>
      <w:r>
        <w:rPr>
          <w:rFonts w:hint="eastAsia" w:hAnsi="宋体"/>
          <w:bCs/>
          <w:sz w:val="20"/>
          <w:szCs w:val="20"/>
        </w:rPr>
        <w:t>止退装置应对称设置在管节两侧，高度应大于管节吊装孔和顶管</w:t>
      </w:r>
      <w:r>
        <w:rPr>
          <w:rFonts w:hAnsi="宋体"/>
          <w:bCs/>
          <w:sz w:val="20"/>
          <w:szCs w:val="20"/>
        </w:rPr>
        <w:t>两侧预留孔</w:t>
      </w:r>
      <w:r>
        <w:rPr>
          <w:rFonts w:hint="eastAsia" w:hAnsi="宋体"/>
          <w:bCs/>
          <w:sz w:val="20"/>
          <w:szCs w:val="20"/>
        </w:rPr>
        <w:t>。</w:t>
      </w:r>
    </w:p>
    <w:bookmarkEnd w:id="60"/>
    <w:bookmarkEnd w:id="70"/>
    <w:bookmarkEnd w:id="71"/>
    <w:bookmarkEnd w:id="72"/>
    <w:bookmarkEnd w:id="73"/>
    <w:bookmarkEnd w:id="74"/>
    <w:bookmarkEnd w:id="75"/>
    <w:bookmarkEnd w:id="76"/>
    <w:bookmarkEnd w:id="77"/>
    <w:bookmarkEnd w:id="78"/>
    <w:bookmarkEnd w:id="79"/>
    <w:bookmarkEnd w:id="80"/>
    <w:bookmarkEnd w:id="81"/>
    <w:p w14:paraId="6B9837B1">
      <w:pPr>
        <w:snapToGrid w:val="0"/>
        <w:spacing w:line="288" w:lineRule="auto"/>
        <w:ind w:firstLine="350" w:firstLineChars="175"/>
        <w:rPr>
          <w:sz w:val="20"/>
          <w:szCs w:val="20"/>
        </w:rPr>
      </w:pPr>
      <w:r>
        <w:rPr>
          <w:sz w:val="20"/>
          <w:szCs w:val="20"/>
        </w:rPr>
        <w:br w:type="page"/>
      </w:r>
      <w:bookmarkStart w:id="189" w:name="_Toc79404399"/>
      <w:bookmarkStart w:id="190" w:name="_Toc91757357"/>
      <w:bookmarkStart w:id="191" w:name="_Toc89420493"/>
      <w:bookmarkStart w:id="192" w:name="_Toc89097042"/>
      <w:bookmarkStart w:id="193" w:name="_Toc89260067"/>
      <w:bookmarkStart w:id="194" w:name="_Toc78789706"/>
      <w:bookmarkStart w:id="195" w:name="_Toc92028686"/>
      <w:bookmarkStart w:id="196" w:name="_Toc76479712"/>
      <w:bookmarkStart w:id="197" w:name="_Toc89096282"/>
      <w:bookmarkStart w:id="198" w:name="_Toc185236582"/>
      <w:bookmarkStart w:id="199" w:name="_Toc164082914"/>
      <w:bookmarkStart w:id="200" w:name="_Toc185235631"/>
      <w:bookmarkStart w:id="201" w:name="_Toc6178"/>
      <w:bookmarkStart w:id="202" w:name="_Toc31371"/>
      <w:bookmarkStart w:id="203" w:name="_Toc3962"/>
      <w:bookmarkStart w:id="204" w:name="_Toc32182"/>
      <w:bookmarkStart w:id="205" w:name="_Toc32038"/>
      <w:bookmarkStart w:id="206" w:name="_Toc17077"/>
    </w:p>
    <w:p w14:paraId="10F2BCB3">
      <w:pPr>
        <w:snapToGrid w:val="0"/>
        <w:spacing w:line="288" w:lineRule="auto"/>
        <w:jc w:val="center"/>
        <w:outlineLvl w:val="0"/>
        <w:rPr>
          <w:rFonts w:eastAsia="黑体"/>
          <w:b/>
          <w:bCs/>
          <w:kern w:val="44"/>
          <w:sz w:val="26"/>
          <w:szCs w:val="26"/>
        </w:rPr>
      </w:pPr>
      <w:bookmarkStart w:id="207" w:name="_Toc188798532"/>
      <w:bookmarkStart w:id="208" w:name="_Toc188612061"/>
      <w:r>
        <w:rPr>
          <w:rFonts w:hint="eastAsia" w:eastAsia="黑体"/>
          <w:b/>
          <w:bCs/>
          <w:kern w:val="44"/>
          <w:sz w:val="26"/>
          <w:szCs w:val="26"/>
        </w:rPr>
        <w:t xml:space="preserve">5  </w:t>
      </w:r>
      <w:bookmarkEnd w:id="189"/>
      <w:bookmarkEnd w:id="190"/>
      <w:bookmarkEnd w:id="191"/>
      <w:bookmarkEnd w:id="192"/>
      <w:bookmarkEnd w:id="193"/>
      <w:bookmarkEnd w:id="194"/>
      <w:bookmarkEnd w:id="195"/>
      <w:bookmarkEnd w:id="196"/>
      <w:bookmarkEnd w:id="197"/>
      <w:r>
        <w:rPr>
          <w:rFonts w:hint="eastAsia" w:eastAsia="黑体"/>
          <w:b/>
          <w:bCs/>
          <w:kern w:val="44"/>
          <w:sz w:val="26"/>
          <w:szCs w:val="26"/>
        </w:rPr>
        <w:t>顶进施工</w:t>
      </w:r>
      <w:bookmarkEnd w:id="198"/>
      <w:bookmarkEnd w:id="199"/>
      <w:bookmarkEnd w:id="200"/>
      <w:bookmarkEnd w:id="207"/>
      <w:bookmarkEnd w:id="208"/>
    </w:p>
    <w:p w14:paraId="017F79A2">
      <w:pPr>
        <w:pStyle w:val="3"/>
        <w:snapToGrid w:val="0"/>
        <w:spacing w:before="312" w:beforeLines="100" w:after="0" w:line="288" w:lineRule="auto"/>
        <w:jc w:val="center"/>
        <w:rPr>
          <w:rFonts w:ascii="Times New Roman" w:hAnsi="Times New Roman"/>
          <w:sz w:val="20"/>
          <w:szCs w:val="21"/>
        </w:rPr>
      </w:pPr>
      <w:bookmarkStart w:id="209" w:name="_Toc92028687"/>
      <w:bookmarkStart w:id="210" w:name="_Toc78789707"/>
      <w:bookmarkStart w:id="211" w:name="_Toc188612062"/>
      <w:bookmarkStart w:id="212" w:name="_Toc89096283"/>
      <w:bookmarkStart w:id="213" w:name="_Toc164082915"/>
      <w:bookmarkStart w:id="214" w:name="_Toc185236583"/>
      <w:bookmarkStart w:id="215" w:name="_Toc89420494"/>
      <w:bookmarkStart w:id="216" w:name="_Toc79404400"/>
      <w:bookmarkStart w:id="217" w:name="_Toc89097043"/>
      <w:bookmarkStart w:id="218" w:name="_Toc76479713"/>
      <w:bookmarkStart w:id="219" w:name="_Toc91757358"/>
      <w:bookmarkStart w:id="220" w:name="_Toc185235632"/>
      <w:bookmarkStart w:id="221" w:name="_Toc188798533"/>
      <w:bookmarkStart w:id="222" w:name="_Toc89260068"/>
      <w:r>
        <w:rPr>
          <w:rFonts w:hint="eastAsia" w:ascii="Times New Roman" w:hAnsi="Times New Roman"/>
          <w:sz w:val="20"/>
          <w:szCs w:val="21"/>
        </w:rPr>
        <w:t>5</w:t>
      </w:r>
      <w:r>
        <w:rPr>
          <w:rFonts w:ascii="Times New Roman" w:hAnsi="Times New Roman"/>
          <w:sz w:val="20"/>
          <w:szCs w:val="21"/>
        </w:rPr>
        <w:t xml:space="preserve">.1  </w:t>
      </w:r>
      <w:r>
        <w:rPr>
          <w:rFonts w:hint="eastAsia" w:ascii="Times New Roman" w:hAnsi="Times New Roman"/>
          <w:sz w:val="20"/>
          <w:szCs w:val="21"/>
        </w:rPr>
        <w:t>一般规定</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34C21F36">
      <w:pPr>
        <w:snapToGrid w:val="0"/>
        <w:spacing w:line="288" w:lineRule="auto"/>
        <w:outlineLvl w:val="2"/>
        <w:rPr>
          <w:rFonts w:hAnsi="Cambria Math"/>
          <w:bCs/>
          <w:sz w:val="20"/>
          <w:szCs w:val="20"/>
        </w:rPr>
      </w:pPr>
      <w:r>
        <w:rPr>
          <w:rFonts w:hint="eastAsia" w:hAnsi="Cambria Math"/>
          <w:b/>
          <w:sz w:val="20"/>
          <w:szCs w:val="20"/>
        </w:rPr>
        <w:t>5.1.</w:t>
      </w:r>
      <w:r>
        <w:rPr>
          <w:rFonts w:hAnsi="Cambria Math"/>
          <w:b/>
          <w:sz w:val="20"/>
          <w:szCs w:val="20"/>
        </w:rPr>
        <w:t xml:space="preserve">1  </w:t>
      </w:r>
      <w:r>
        <w:rPr>
          <w:rFonts w:hint="eastAsia" w:hAnsi="Cambria Math"/>
          <w:sz w:val="20"/>
          <w:szCs w:val="20"/>
        </w:rPr>
        <w:t>顶进施工</w:t>
      </w:r>
      <w:r>
        <w:rPr>
          <w:rFonts w:hint="eastAsia"/>
          <w:sz w:val="20"/>
          <w:szCs w:val="20"/>
        </w:rPr>
        <w:t>应根据工程条件合理规划集土坑</w:t>
      </w:r>
      <w:r>
        <w:rPr>
          <w:rFonts w:hint="eastAsia" w:hAnsi="Cambria Math"/>
          <w:bCs/>
          <w:sz w:val="20"/>
          <w:szCs w:val="20"/>
        </w:rPr>
        <w:t>、管节存放区、大型起重设备等场地布置，并制定总体布局方案。</w:t>
      </w:r>
    </w:p>
    <w:p w14:paraId="75AB6C42">
      <w:pPr>
        <w:snapToGrid w:val="0"/>
        <w:spacing w:line="288" w:lineRule="auto"/>
        <w:outlineLvl w:val="2"/>
        <w:rPr>
          <w:rFonts w:hAnsi="Cambria Math"/>
          <w:bCs/>
          <w:sz w:val="20"/>
          <w:szCs w:val="20"/>
        </w:rPr>
      </w:pPr>
      <w:r>
        <w:rPr>
          <w:rFonts w:hint="eastAsia" w:hAnsi="Cambria Math"/>
          <w:b/>
          <w:sz w:val="20"/>
          <w:szCs w:val="20"/>
        </w:rPr>
        <w:t>5.1.2</w:t>
      </w:r>
      <w:r>
        <w:rPr>
          <w:rFonts w:hAnsi="Cambria Math"/>
          <w:b/>
          <w:sz w:val="20"/>
          <w:szCs w:val="20"/>
        </w:rPr>
        <w:t xml:space="preserve">  </w:t>
      </w:r>
      <w:r>
        <w:rPr>
          <w:rFonts w:hint="eastAsia" w:hAnsi="Cambria Math"/>
          <w:bCs/>
          <w:sz w:val="20"/>
          <w:szCs w:val="20"/>
        </w:rPr>
        <w:t>管节、</w:t>
      </w:r>
      <w:r>
        <w:rPr>
          <w:rFonts w:hint="eastAsia"/>
          <w:sz w:val="20"/>
          <w:szCs w:val="20"/>
        </w:rPr>
        <w:t>密封胶条</w:t>
      </w:r>
      <w:r>
        <w:rPr>
          <w:rFonts w:hint="eastAsia" w:hAnsi="Cambria Math"/>
          <w:bCs/>
          <w:sz w:val="20"/>
          <w:szCs w:val="20"/>
        </w:rPr>
        <w:t>、软木垫板等材料在运输、存放和施工过程中，应采取防止磕碰、锈蚀或变质的措施。</w:t>
      </w:r>
    </w:p>
    <w:p w14:paraId="57F1F30C">
      <w:pPr>
        <w:snapToGrid w:val="0"/>
        <w:spacing w:line="288" w:lineRule="auto"/>
        <w:outlineLvl w:val="2"/>
        <w:rPr>
          <w:rFonts w:hAnsi="Cambria Math"/>
          <w:bCs/>
          <w:sz w:val="20"/>
          <w:szCs w:val="20"/>
        </w:rPr>
      </w:pPr>
      <w:r>
        <w:rPr>
          <w:rFonts w:hint="eastAsia" w:hAnsi="Cambria Math"/>
          <w:b/>
          <w:sz w:val="20"/>
          <w:szCs w:val="20"/>
        </w:rPr>
        <w:t>5.1.</w:t>
      </w:r>
      <w:r>
        <w:rPr>
          <w:rFonts w:hAnsi="Cambria Math"/>
          <w:b/>
          <w:sz w:val="20"/>
          <w:szCs w:val="20"/>
        </w:rPr>
        <w:t xml:space="preserve">3  </w:t>
      </w:r>
      <w:r>
        <w:rPr>
          <w:rFonts w:hint="eastAsia"/>
          <w:sz w:val="20"/>
          <w:szCs w:val="20"/>
        </w:rPr>
        <w:t>应建立顶管机保养与维修台账，保养与维修记录齐全</w:t>
      </w:r>
      <w:r>
        <w:rPr>
          <w:rFonts w:hint="eastAsia" w:hAnsi="Cambria Math"/>
          <w:bCs/>
          <w:sz w:val="20"/>
          <w:szCs w:val="20"/>
        </w:rPr>
        <w:t>。</w:t>
      </w:r>
    </w:p>
    <w:p w14:paraId="773CFA57">
      <w:pPr>
        <w:snapToGrid w:val="0"/>
        <w:spacing w:line="288" w:lineRule="auto"/>
        <w:outlineLvl w:val="2"/>
        <w:rPr>
          <w:rFonts w:hAnsi="Cambria Math"/>
          <w:bCs/>
          <w:sz w:val="20"/>
          <w:szCs w:val="20"/>
        </w:rPr>
      </w:pPr>
      <w:r>
        <w:rPr>
          <w:rFonts w:hint="eastAsia" w:hAnsi="Cambria Math"/>
          <w:b/>
          <w:sz w:val="20"/>
          <w:szCs w:val="20"/>
        </w:rPr>
        <w:t>5</w:t>
      </w:r>
      <w:r>
        <w:rPr>
          <w:rFonts w:hAnsi="Cambria Math"/>
          <w:b/>
          <w:sz w:val="20"/>
          <w:szCs w:val="20"/>
        </w:rPr>
        <w:t>.1.4</w:t>
      </w:r>
      <w:r>
        <w:rPr>
          <w:rFonts w:hAnsi="Cambria Math"/>
          <w:bCs/>
          <w:sz w:val="20"/>
          <w:szCs w:val="20"/>
        </w:rPr>
        <w:t xml:space="preserve">  </w:t>
      </w:r>
      <w:r>
        <w:rPr>
          <w:rFonts w:hint="eastAsia" w:hAnsi="Cambria Math"/>
          <w:bCs/>
          <w:sz w:val="20"/>
          <w:szCs w:val="20"/>
        </w:rPr>
        <w:t>顶管机配电箱应有防护措施，动力电缆接头应安全可靠，应有防淋水措施。</w:t>
      </w:r>
    </w:p>
    <w:p w14:paraId="4950D20C">
      <w:pPr>
        <w:snapToGrid w:val="0"/>
        <w:spacing w:line="288" w:lineRule="auto"/>
        <w:outlineLvl w:val="2"/>
        <w:rPr>
          <w:rFonts w:hAnsi="Cambria Math"/>
          <w:bCs/>
          <w:sz w:val="20"/>
          <w:szCs w:val="20"/>
        </w:rPr>
      </w:pPr>
      <w:r>
        <w:rPr>
          <w:rFonts w:hint="eastAsia" w:hAnsi="Cambria Math"/>
          <w:b/>
          <w:sz w:val="20"/>
          <w:szCs w:val="20"/>
        </w:rPr>
        <w:t>5.1.5</w:t>
      </w:r>
      <w:r>
        <w:rPr>
          <w:rFonts w:hAnsi="Cambria Math"/>
          <w:b/>
          <w:sz w:val="20"/>
          <w:szCs w:val="20"/>
        </w:rPr>
        <w:t xml:space="preserve">  </w:t>
      </w:r>
      <w:r>
        <w:rPr>
          <w:rFonts w:hint="eastAsia"/>
          <w:sz w:val="20"/>
          <w:szCs w:val="20"/>
        </w:rPr>
        <w:t>顶进过程中应建立地上地下通讯和视频监控系统</w:t>
      </w:r>
      <w:r>
        <w:rPr>
          <w:rFonts w:hint="eastAsia" w:hAnsi="Cambria Math"/>
          <w:bCs/>
          <w:sz w:val="20"/>
          <w:szCs w:val="20"/>
        </w:rPr>
        <w:t>，保证控制室、井下、管道内及地面作业区的通讯联络。</w:t>
      </w:r>
    </w:p>
    <w:p w14:paraId="53A631FE">
      <w:pPr>
        <w:snapToGrid w:val="0"/>
        <w:spacing w:line="288" w:lineRule="auto"/>
        <w:outlineLvl w:val="2"/>
        <w:rPr>
          <w:sz w:val="20"/>
        </w:rPr>
      </w:pPr>
      <w:r>
        <w:rPr>
          <w:rFonts w:hAnsi="Cambria Math"/>
          <w:b/>
          <w:sz w:val="20"/>
          <w:szCs w:val="20"/>
        </w:rPr>
        <w:t xml:space="preserve">5.1.6 </w:t>
      </w:r>
      <w:r>
        <w:rPr>
          <w:rFonts w:hint="eastAsia"/>
          <w:sz w:val="20"/>
        </w:rPr>
        <w:t xml:space="preserve"> </w:t>
      </w:r>
      <w:r>
        <w:rPr>
          <w:rFonts w:hint="eastAsia"/>
          <w:sz w:val="20"/>
          <w:szCs w:val="20"/>
        </w:rPr>
        <w:t>顶进施工应</w:t>
      </w:r>
      <w:r>
        <w:rPr>
          <w:rFonts w:hint="eastAsia"/>
          <w:sz w:val="20"/>
        </w:rPr>
        <w:t>做好施工记录，并填写</w:t>
      </w:r>
      <w:r>
        <w:rPr>
          <w:rFonts w:hint="eastAsia"/>
          <w:sz w:val="20"/>
          <w:szCs w:val="20"/>
        </w:rPr>
        <w:t>附录</w:t>
      </w:r>
      <w:r>
        <w:rPr>
          <w:rFonts w:hint="eastAsia"/>
          <w:sz w:val="20"/>
        </w:rPr>
        <w:t>B记录表。</w:t>
      </w:r>
    </w:p>
    <w:p w14:paraId="2C9580F0">
      <w:pPr>
        <w:pStyle w:val="3"/>
        <w:snapToGrid w:val="0"/>
        <w:spacing w:before="312" w:beforeLines="100" w:after="0" w:line="288" w:lineRule="auto"/>
        <w:jc w:val="center"/>
        <w:rPr>
          <w:rFonts w:ascii="Times New Roman" w:hAnsi="Times New Roman"/>
          <w:sz w:val="20"/>
          <w:szCs w:val="21"/>
        </w:rPr>
      </w:pPr>
      <w:bookmarkStart w:id="223" w:name="_Toc89420495"/>
      <w:bookmarkStart w:id="224" w:name="_Toc91757359"/>
      <w:bookmarkStart w:id="225" w:name="_Toc76479714"/>
      <w:bookmarkStart w:id="226" w:name="_Toc89096284"/>
      <w:bookmarkStart w:id="227" w:name="_Toc79404401"/>
      <w:bookmarkStart w:id="228" w:name="_Toc89097044"/>
      <w:bookmarkStart w:id="229" w:name="_Toc89260069"/>
      <w:bookmarkStart w:id="230" w:name="_Toc78789708"/>
      <w:bookmarkStart w:id="231" w:name="_Toc92028688"/>
      <w:bookmarkStart w:id="232" w:name="_Toc164082916"/>
      <w:bookmarkStart w:id="233" w:name="_Toc185235633"/>
      <w:bookmarkStart w:id="234" w:name="_Toc185236584"/>
      <w:bookmarkStart w:id="235" w:name="_Toc188798534"/>
      <w:bookmarkStart w:id="236" w:name="_Toc188612063"/>
      <w:r>
        <w:rPr>
          <w:rFonts w:ascii="Times New Roman" w:hAnsi="Times New Roman"/>
          <w:sz w:val="20"/>
          <w:szCs w:val="21"/>
        </w:rPr>
        <w:t xml:space="preserve">5.2 </w:t>
      </w:r>
      <w:bookmarkEnd w:id="223"/>
      <w:bookmarkEnd w:id="224"/>
      <w:bookmarkEnd w:id="225"/>
      <w:bookmarkEnd w:id="226"/>
      <w:bookmarkEnd w:id="227"/>
      <w:bookmarkEnd w:id="228"/>
      <w:bookmarkEnd w:id="229"/>
      <w:bookmarkEnd w:id="230"/>
      <w:bookmarkEnd w:id="231"/>
      <w:r>
        <w:rPr>
          <w:rFonts w:ascii="Times New Roman" w:hAnsi="Times New Roman"/>
          <w:sz w:val="20"/>
          <w:szCs w:val="21"/>
        </w:rPr>
        <w:t xml:space="preserve"> 始发与接收</w:t>
      </w:r>
      <w:bookmarkEnd w:id="232"/>
      <w:bookmarkEnd w:id="233"/>
      <w:bookmarkEnd w:id="234"/>
      <w:bookmarkEnd w:id="235"/>
      <w:bookmarkEnd w:id="236"/>
    </w:p>
    <w:p w14:paraId="3563E783">
      <w:pPr>
        <w:snapToGrid w:val="0"/>
        <w:spacing w:line="288" w:lineRule="auto"/>
        <w:outlineLvl w:val="2"/>
        <w:rPr>
          <w:rFonts w:hAnsi="Cambria Math"/>
          <w:sz w:val="20"/>
          <w:szCs w:val="20"/>
        </w:rPr>
      </w:pPr>
      <w:bookmarkStart w:id="237" w:name="_Toc164082917"/>
      <w:r>
        <w:rPr>
          <w:rFonts w:hint="eastAsia" w:hAnsi="Cambria Math"/>
          <w:b/>
          <w:sz w:val="20"/>
          <w:szCs w:val="20"/>
        </w:rPr>
        <w:t>5</w:t>
      </w:r>
      <w:r>
        <w:rPr>
          <w:rFonts w:hAnsi="Cambria Math"/>
          <w:b/>
          <w:sz w:val="20"/>
          <w:szCs w:val="20"/>
        </w:rPr>
        <w:t xml:space="preserve">.2.1  </w:t>
      </w:r>
      <w:r>
        <w:rPr>
          <w:rFonts w:hint="eastAsia"/>
          <w:sz w:val="20"/>
          <w:szCs w:val="20"/>
        </w:rPr>
        <w:t>洞口应设置密封止水装置</w:t>
      </w:r>
      <w:r>
        <w:rPr>
          <w:rFonts w:hint="eastAsia" w:hAnsi="Cambria Math"/>
          <w:sz w:val="20"/>
          <w:szCs w:val="20"/>
        </w:rPr>
        <w:t>，根据结构覆土、土质及地下水情况确定止水装置构造形式，如</w:t>
      </w:r>
      <w:r>
        <w:rPr>
          <w:rFonts w:hint="eastAsia" w:hAnsi="Cambria Math"/>
          <w:bCs/>
          <w:sz w:val="20"/>
          <w:szCs w:val="20"/>
        </w:rPr>
        <w:t>橡胶</w:t>
      </w:r>
      <w:r>
        <w:rPr>
          <w:rFonts w:hint="eastAsia" w:hAnsi="Cambria Math"/>
          <w:sz w:val="20"/>
          <w:szCs w:val="20"/>
        </w:rPr>
        <w:t>法兰、帘布橡胶板、气囊、钢丝刷压注油脂等。</w:t>
      </w:r>
    </w:p>
    <w:p w14:paraId="25A8134C">
      <w:pPr>
        <w:snapToGrid w:val="0"/>
        <w:spacing w:line="288" w:lineRule="auto"/>
        <w:outlineLvl w:val="2"/>
        <w:rPr>
          <w:rFonts w:hAnsi="Cambria Math"/>
          <w:bCs/>
          <w:sz w:val="20"/>
          <w:szCs w:val="20"/>
        </w:rPr>
      </w:pPr>
      <w:r>
        <w:rPr>
          <w:rFonts w:hint="eastAsia" w:hAnsi="Cambria Math"/>
          <w:b/>
          <w:sz w:val="20"/>
          <w:szCs w:val="20"/>
        </w:rPr>
        <w:t>5.2.</w:t>
      </w:r>
      <w:r>
        <w:rPr>
          <w:rFonts w:hAnsi="Cambria Math"/>
          <w:b/>
          <w:sz w:val="20"/>
          <w:szCs w:val="20"/>
        </w:rPr>
        <w:t>2</w:t>
      </w:r>
      <w:r>
        <w:rPr>
          <w:rFonts w:hint="eastAsia" w:hAnsi="Cambria Math"/>
          <w:sz w:val="20"/>
          <w:szCs w:val="20"/>
        </w:rPr>
        <w:t xml:space="preserve"> </w:t>
      </w:r>
      <w:r>
        <w:rPr>
          <w:rFonts w:hAnsi="Cambria Math"/>
          <w:sz w:val="20"/>
          <w:szCs w:val="20"/>
        </w:rPr>
        <w:t xml:space="preserve"> </w:t>
      </w:r>
      <w:r>
        <w:rPr>
          <w:rFonts w:hint="eastAsia"/>
          <w:bCs/>
          <w:sz w:val="20"/>
          <w:szCs w:val="20"/>
        </w:rPr>
        <w:t>洞口破除应符合下列规定</w:t>
      </w:r>
      <w:r>
        <w:rPr>
          <w:rFonts w:hint="eastAsia" w:hAnsi="Cambria Math"/>
          <w:bCs/>
          <w:sz w:val="20"/>
          <w:szCs w:val="20"/>
        </w:rPr>
        <w:t>：</w:t>
      </w:r>
    </w:p>
    <w:p w14:paraId="780B198D">
      <w:pPr>
        <w:snapToGrid w:val="0"/>
        <w:spacing w:line="288" w:lineRule="auto"/>
        <w:ind w:firstLine="300" w:firstLineChars="150"/>
        <w:rPr>
          <w:rFonts w:hAnsi="Cambria Math"/>
          <w:bCs/>
          <w:sz w:val="20"/>
          <w:szCs w:val="20"/>
        </w:rPr>
      </w:pPr>
      <w:r>
        <w:rPr>
          <w:rFonts w:hint="eastAsia" w:hAnsi="Cambria Math"/>
          <w:b/>
          <w:bCs/>
          <w:sz w:val="20"/>
          <w:szCs w:val="20"/>
        </w:rPr>
        <w:t>1</w:t>
      </w:r>
      <w:r>
        <w:rPr>
          <w:rFonts w:hAnsi="Cambria Math"/>
          <w:bCs/>
          <w:sz w:val="20"/>
          <w:szCs w:val="20"/>
        </w:rPr>
        <w:t xml:space="preserve"> </w:t>
      </w:r>
      <w:r>
        <w:rPr>
          <w:rFonts w:hint="eastAsia"/>
          <w:sz w:val="20"/>
          <w:szCs w:val="20"/>
        </w:rPr>
        <w:t>始发</w:t>
      </w:r>
      <w:r>
        <w:rPr>
          <w:rFonts w:hint="eastAsia"/>
          <w:bCs/>
          <w:sz w:val="20"/>
          <w:szCs w:val="20"/>
        </w:rPr>
        <w:t>洞口破除应在</w:t>
      </w:r>
      <w:r>
        <w:rPr>
          <w:rFonts w:hint="eastAsia" w:hAnsi="Cambria Math"/>
          <w:bCs/>
          <w:sz w:val="20"/>
          <w:szCs w:val="20"/>
        </w:rPr>
        <w:t>顶管机及顶进设备调试完成，且止退装置安装完成；</w:t>
      </w:r>
    </w:p>
    <w:p w14:paraId="11DB5622">
      <w:pPr>
        <w:snapToGrid w:val="0"/>
        <w:spacing w:line="288" w:lineRule="auto"/>
        <w:ind w:firstLine="300" w:firstLineChars="150"/>
        <w:rPr>
          <w:rFonts w:hAnsi="Cambria Math"/>
          <w:bCs/>
          <w:sz w:val="20"/>
          <w:szCs w:val="20"/>
        </w:rPr>
      </w:pPr>
      <w:r>
        <w:rPr>
          <w:rFonts w:hint="eastAsia" w:hAnsi="Cambria Math"/>
          <w:b/>
          <w:bCs/>
          <w:sz w:val="20"/>
          <w:szCs w:val="20"/>
        </w:rPr>
        <w:t>2</w:t>
      </w:r>
      <w:r>
        <w:rPr>
          <w:rFonts w:hAnsi="Cambria Math"/>
          <w:b/>
          <w:bCs/>
          <w:sz w:val="20"/>
          <w:szCs w:val="20"/>
        </w:rPr>
        <w:t xml:space="preserve"> </w:t>
      </w:r>
      <w:r>
        <w:rPr>
          <w:rFonts w:hint="eastAsia" w:hAnsi="Cambria Math"/>
          <w:bCs/>
          <w:sz w:val="20"/>
          <w:szCs w:val="20"/>
        </w:rPr>
        <w:t>洞口密封止水装置安装完成；</w:t>
      </w:r>
    </w:p>
    <w:p w14:paraId="7E9FDFEA">
      <w:pPr>
        <w:snapToGrid w:val="0"/>
        <w:spacing w:line="288" w:lineRule="auto"/>
        <w:ind w:firstLine="300" w:firstLineChars="150"/>
        <w:rPr>
          <w:rFonts w:hAnsi="Cambria Math"/>
          <w:bCs/>
          <w:sz w:val="20"/>
          <w:szCs w:val="20"/>
        </w:rPr>
      </w:pPr>
      <w:r>
        <w:rPr>
          <w:rFonts w:hAnsi="Cambria Math"/>
          <w:b/>
          <w:bCs/>
          <w:sz w:val="20"/>
          <w:szCs w:val="20"/>
        </w:rPr>
        <w:t>3</w:t>
      </w:r>
      <w:r>
        <w:rPr>
          <w:rFonts w:hAnsi="Cambria Math"/>
          <w:bCs/>
          <w:sz w:val="20"/>
          <w:szCs w:val="20"/>
        </w:rPr>
        <w:t xml:space="preserve"> </w:t>
      </w:r>
      <w:r>
        <w:rPr>
          <w:rFonts w:hint="eastAsia" w:hAnsi="Cambria Math"/>
          <w:bCs/>
          <w:sz w:val="20"/>
          <w:szCs w:val="20"/>
        </w:rPr>
        <w:t>检查加固土体的强度和渗漏水情况，满足设计要求；</w:t>
      </w:r>
    </w:p>
    <w:p w14:paraId="0CC51A14">
      <w:pPr>
        <w:snapToGrid w:val="0"/>
        <w:spacing w:line="288" w:lineRule="auto"/>
        <w:ind w:firstLine="300" w:firstLineChars="150"/>
        <w:rPr>
          <w:rFonts w:hAnsi="Cambria Math"/>
          <w:bCs/>
          <w:sz w:val="20"/>
          <w:szCs w:val="20"/>
        </w:rPr>
      </w:pPr>
      <w:r>
        <w:rPr>
          <w:rFonts w:hAnsi="Cambria Math"/>
          <w:b/>
          <w:bCs/>
          <w:sz w:val="20"/>
          <w:szCs w:val="20"/>
        </w:rPr>
        <w:t>4</w:t>
      </w:r>
      <w:r>
        <w:rPr>
          <w:rFonts w:hAnsi="Cambria Math"/>
          <w:bCs/>
          <w:sz w:val="20"/>
          <w:szCs w:val="20"/>
        </w:rPr>
        <w:t xml:space="preserve"> </w:t>
      </w:r>
      <w:r>
        <w:rPr>
          <w:rFonts w:hint="eastAsia" w:hAnsi="Cambria Math"/>
          <w:bCs/>
          <w:sz w:val="20"/>
          <w:szCs w:val="20"/>
        </w:rPr>
        <w:t>根据围护结构形式采用分层剥离、分区凿除等方式进行破除；</w:t>
      </w:r>
    </w:p>
    <w:p w14:paraId="0CC03941">
      <w:pPr>
        <w:snapToGrid w:val="0"/>
        <w:spacing w:line="288" w:lineRule="auto"/>
        <w:ind w:firstLine="300" w:firstLineChars="150"/>
        <w:rPr>
          <w:rFonts w:hAnsi="Cambria Math"/>
          <w:bCs/>
          <w:sz w:val="20"/>
          <w:szCs w:val="20"/>
        </w:rPr>
      </w:pPr>
      <w:r>
        <w:rPr>
          <w:rFonts w:hAnsi="Cambria Math"/>
          <w:b/>
          <w:bCs/>
          <w:sz w:val="20"/>
          <w:szCs w:val="20"/>
        </w:rPr>
        <w:t>5</w:t>
      </w:r>
      <w:r>
        <w:rPr>
          <w:rFonts w:hAnsi="Cambria Math"/>
          <w:bCs/>
          <w:sz w:val="20"/>
          <w:szCs w:val="20"/>
        </w:rPr>
        <w:t xml:space="preserve"> </w:t>
      </w:r>
      <w:r>
        <w:rPr>
          <w:rFonts w:hint="eastAsia" w:hAnsi="Cambria Math"/>
          <w:bCs/>
          <w:sz w:val="20"/>
          <w:szCs w:val="20"/>
        </w:rPr>
        <w:t>洞口凿除完毕后，应及时安装洞口内过渡导轨。</w:t>
      </w:r>
    </w:p>
    <w:p w14:paraId="64E4057D">
      <w:pPr>
        <w:snapToGrid w:val="0"/>
        <w:spacing w:line="288" w:lineRule="auto"/>
        <w:outlineLvl w:val="2"/>
        <w:rPr>
          <w:rFonts w:hAnsi="Cambria Math"/>
          <w:bCs/>
          <w:sz w:val="20"/>
          <w:szCs w:val="20"/>
        </w:rPr>
      </w:pPr>
      <w:r>
        <w:rPr>
          <w:rFonts w:hint="eastAsia" w:hAnsi="Cambria Math"/>
          <w:b/>
          <w:sz w:val="20"/>
          <w:szCs w:val="20"/>
        </w:rPr>
        <w:t>5.2.</w:t>
      </w:r>
      <w:r>
        <w:rPr>
          <w:rFonts w:hAnsi="Cambria Math"/>
          <w:b/>
          <w:sz w:val="20"/>
          <w:szCs w:val="20"/>
        </w:rPr>
        <w:t>3</w:t>
      </w:r>
      <w:r>
        <w:rPr>
          <w:rFonts w:hint="eastAsia" w:hAnsi="Cambria Math"/>
          <w:b/>
          <w:sz w:val="20"/>
          <w:szCs w:val="20"/>
        </w:rPr>
        <w:t xml:space="preserve"> </w:t>
      </w:r>
      <w:r>
        <w:rPr>
          <w:rFonts w:hAnsi="Cambria Math"/>
          <w:b/>
          <w:sz w:val="20"/>
          <w:szCs w:val="20"/>
        </w:rPr>
        <w:t xml:space="preserve"> </w:t>
      </w:r>
      <w:r>
        <w:rPr>
          <w:rFonts w:hint="eastAsia"/>
          <w:sz w:val="20"/>
          <w:szCs w:val="20"/>
        </w:rPr>
        <w:t>矩形顶管始发应符合下列规定</w:t>
      </w:r>
      <w:r>
        <w:rPr>
          <w:rFonts w:hint="eastAsia" w:hAnsi="Cambria Math"/>
          <w:bCs/>
          <w:sz w:val="20"/>
          <w:szCs w:val="20"/>
        </w:rPr>
        <w:t>：</w:t>
      </w:r>
    </w:p>
    <w:p w14:paraId="5FB2AB20">
      <w:pPr>
        <w:snapToGrid w:val="0"/>
        <w:spacing w:line="288" w:lineRule="auto"/>
        <w:ind w:firstLine="300" w:firstLineChars="150"/>
        <w:rPr>
          <w:rFonts w:hAnsi="Cambria Math"/>
          <w:bCs/>
          <w:sz w:val="20"/>
          <w:szCs w:val="20"/>
        </w:rPr>
      </w:pPr>
      <w:r>
        <w:rPr>
          <w:rFonts w:hint="eastAsia" w:hAnsi="Cambria Math"/>
          <w:b/>
          <w:bCs/>
          <w:sz w:val="20"/>
          <w:szCs w:val="20"/>
        </w:rPr>
        <w:t>1</w:t>
      </w:r>
      <w:r>
        <w:rPr>
          <w:rFonts w:hAnsi="Cambria Math"/>
          <w:bCs/>
          <w:sz w:val="20"/>
          <w:szCs w:val="20"/>
        </w:rPr>
        <w:t xml:space="preserve"> </w:t>
      </w:r>
      <w:r>
        <w:rPr>
          <w:rFonts w:hint="eastAsia" w:hAnsi="Cambria Math"/>
          <w:bCs/>
          <w:sz w:val="20"/>
          <w:szCs w:val="20"/>
        </w:rPr>
        <w:t>顶管机顶入密封装置过程中，应做好密封装置的保护；</w:t>
      </w:r>
    </w:p>
    <w:p w14:paraId="6147F43D">
      <w:pPr>
        <w:snapToGrid w:val="0"/>
        <w:spacing w:line="288" w:lineRule="auto"/>
        <w:ind w:firstLine="300" w:firstLineChars="150"/>
        <w:rPr>
          <w:rFonts w:hAnsi="Cambria Math"/>
          <w:bCs/>
          <w:sz w:val="20"/>
          <w:szCs w:val="20"/>
        </w:rPr>
      </w:pPr>
      <w:r>
        <w:rPr>
          <w:rFonts w:hAnsi="Cambria Math"/>
          <w:b/>
          <w:bCs/>
          <w:sz w:val="20"/>
          <w:szCs w:val="20"/>
        </w:rPr>
        <w:t xml:space="preserve">2 </w:t>
      </w:r>
      <w:r>
        <w:rPr>
          <w:rFonts w:hint="eastAsia" w:hAnsi="Cambria Math"/>
          <w:bCs/>
          <w:sz w:val="20"/>
          <w:szCs w:val="20"/>
        </w:rPr>
        <w:t>顶管机刀盘接触土层时，关闭螺旋输送机后转动刀盘切土；</w:t>
      </w:r>
    </w:p>
    <w:p w14:paraId="30A5B2E5">
      <w:pPr>
        <w:snapToGrid w:val="0"/>
        <w:spacing w:line="288" w:lineRule="auto"/>
        <w:ind w:firstLine="300" w:firstLineChars="150"/>
        <w:rPr>
          <w:sz w:val="20"/>
          <w:szCs w:val="20"/>
        </w:rPr>
      </w:pPr>
      <w:r>
        <w:rPr>
          <w:rFonts w:hAnsi="Cambria Math"/>
          <w:b/>
          <w:bCs/>
          <w:sz w:val="20"/>
          <w:szCs w:val="20"/>
        </w:rPr>
        <w:t>3</w:t>
      </w:r>
      <w:r>
        <w:rPr>
          <w:rFonts w:hint="eastAsia" w:hAnsi="Cambria Math"/>
          <w:bCs/>
          <w:sz w:val="20"/>
          <w:szCs w:val="20"/>
        </w:rPr>
        <w:t xml:space="preserve"> 洞口上方存在重要地下管线时，可</w:t>
      </w:r>
      <w:r>
        <w:rPr>
          <w:rFonts w:hint="eastAsia" w:ascii="Cambria Math" w:hAnsi="Cambria Math"/>
          <w:sz w:val="20"/>
          <w:szCs w:val="20"/>
        </w:rPr>
        <w:t>通过土仓面板的检修孔向土仓内装填砂、泥、土、膨润土等，提前建立初始土压力；</w:t>
      </w:r>
    </w:p>
    <w:p w14:paraId="7143712B">
      <w:pPr>
        <w:snapToGrid w:val="0"/>
        <w:spacing w:line="288" w:lineRule="auto"/>
        <w:ind w:firstLine="300" w:firstLineChars="150"/>
        <w:rPr>
          <w:rFonts w:hAnsi="Cambria Math"/>
          <w:bCs/>
          <w:sz w:val="20"/>
          <w:szCs w:val="20"/>
        </w:rPr>
      </w:pPr>
      <w:r>
        <w:rPr>
          <w:rFonts w:hAnsi="Cambria Math"/>
          <w:b/>
          <w:bCs/>
          <w:sz w:val="20"/>
          <w:szCs w:val="20"/>
        </w:rPr>
        <w:t>4</w:t>
      </w:r>
      <w:r>
        <w:rPr>
          <w:sz w:val="20"/>
          <w:szCs w:val="20"/>
        </w:rPr>
        <w:t xml:space="preserve"> </w:t>
      </w:r>
      <w:r>
        <w:rPr>
          <w:rFonts w:hint="eastAsia" w:hAnsi="Cambria Math"/>
          <w:bCs/>
          <w:sz w:val="20"/>
          <w:szCs w:val="20"/>
        </w:rPr>
        <w:t>转动刀盘和顶进，添加渣土改良剂，逐步提升土压至设定值；</w:t>
      </w:r>
    </w:p>
    <w:p w14:paraId="41076E55">
      <w:pPr>
        <w:snapToGrid w:val="0"/>
        <w:spacing w:line="288" w:lineRule="auto"/>
        <w:ind w:firstLine="300" w:firstLineChars="150"/>
        <w:rPr>
          <w:sz w:val="20"/>
          <w:szCs w:val="20"/>
        </w:rPr>
      </w:pPr>
      <w:r>
        <w:rPr>
          <w:rFonts w:hint="eastAsia" w:hAnsi="Cambria Math"/>
          <w:b/>
          <w:bCs/>
          <w:sz w:val="20"/>
          <w:szCs w:val="20"/>
        </w:rPr>
        <w:t>5</w:t>
      </w:r>
      <w:r>
        <w:rPr>
          <w:rFonts w:hint="eastAsia"/>
          <w:sz w:val="20"/>
          <w:szCs w:val="20"/>
        </w:rPr>
        <w:t xml:space="preserve"> 回撤顶进油缸、下放顶铁前应启动止退装置锁止顶管机，每次下管或回收顶进油缸均应启动止退装置；</w:t>
      </w:r>
    </w:p>
    <w:p w14:paraId="79033A64">
      <w:pPr>
        <w:snapToGrid w:val="0"/>
        <w:spacing w:line="288" w:lineRule="auto"/>
        <w:ind w:firstLine="300" w:firstLineChars="150"/>
        <w:rPr>
          <w:rFonts w:hAnsi="Cambria Math"/>
          <w:bCs/>
          <w:sz w:val="20"/>
          <w:szCs w:val="20"/>
        </w:rPr>
      </w:pPr>
      <w:r>
        <w:rPr>
          <w:rFonts w:hint="eastAsia" w:hAnsi="Cambria Math"/>
          <w:b/>
          <w:bCs/>
          <w:sz w:val="20"/>
          <w:szCs w:val="20"/>
        </w:rPr>
        <w:t>6</w:t>
      </w:r>
      <w:r>
        <w:rPr>
          <w:rFonts w:hAnsi="Cambria Math"/>
          <w:b/>
          <w:bCs/>
          <w:sz w:val="20"/>
          <w:szCs w:val="20"/>
        </w:rPr>
        <w:t xml:space="preserve"> </w:t>
      </w:r>
      <w:r>
        <w:rPr>
          <w:rFonts w:hint="eastAsia"/>
          <w:sz w:val="20"/>
          <w:szCs w:val="20"/>
        </w:rPr>
        <w:t>穿越</w:t>
      </w:r>
      <w:r>
        <w:rPr>
          <w:rFonts w:hint="eastAsia" w:hAnsi="Cambria Math"/>
          <w:bCs/>
          <w:sz w:val="20"/>
          <w:szCs w:val="20"/>
        </w:rPr>
        <w:t>洞口加固区时，</w:t>
      </w:r>
      <w:r>
        <w:rPr>
          <w:rFonts w:hint="eastAsia"/>
          <w:sz w:val="20"/>
          <w:szCs w:val="20"/>
        </w:rPr>
        <w:t>顶进速度宜控制在2mm/min～3mm/min</w:t>
      </w:r>
    </w:p>
    <w:p w14:paraId="73F71B77">
      <w:pPr>
        <w:snapToGrid w:val="0"/>
        <w:spacing w:line="288" w:lineRule="auto"/>
        <w:ind w:firstLine="300" w:firstLineChars="150"/>
        <w:rPr>
          <w:rFonts w:hAnsi="Cambria Math"/>
          <w:bCs/>
          <w:sz w:val="20"/>
          <w:szCs w:val="20"/>
        </w:rPr>
      </w:pPr>
      <w:r>
        <w:rPr>
          <w:rFonts w:hAnsi="Cambria Math"/>
          <w:b/>
          <w:bCs/>
          <w:sz w:val="20"/>
          <w:szCs w:val="20"/>
        </w:rPr>
        <w:t>7</w:t>
      </w:r>
      <w:r>
        <w:rPr>
          <w:rFonts w:hint="eastAsia" w:hAnsi="Cambria Math"/>
          <w:b/>
          <w:bCs/>
          <w:sz w:val="20"/>
          <w:szCs w:val="20"/>
        </w:rPr>
        <w:t xml:space="preserve"> </w:t>
      </w:r>
      <w:r>
        <w:rPr>
          <w:rFonts w:hint="eastAsia"/>
          <w:sz w:val="20"/>
          <w:szCs w:val="20"/>
        </w:rPr>
        <w:t>初始顶进</w:t>
      </w:r>
      <w:r>
        <w:rPr>
          <w:sz w:val="20"/>
          <w:szCs w:val="20"/>
        </w:rPr>
        <w:t>应</w:t>
      </w:r>
      <w:r>
        <w:rPr>
          <w:rFonts w:hint="eastAsia"/>
          <w:sz w:val="20"/>
          <w:szCs w:val="20"/>
        </w:rPr>
        <w:t>严格</w:t>
      </w:r>
      <w:r>
        <w:rPr>
          <w:sz w:val="20"/>
          <w:szCs w:val="20"/>
        </w:rPr>
        <w:t>控制</w:t>
      </w:r>
      <w:r>
        <w:rPr>
          <w:rFonts w:hint="eastAsia"/>
          <w:sz w:val="20"/>
          <w:szCs w:val="20"/>
        </w:rPr>
        <w:t>顶管机</w:t>
      </w:r>
      <w:r>
        <w:rPr>
          <w:sz w:val="20"/>
          <w:szCs w:val="20"/>
        </w:rPr>
        <w:t>姿态</w:t>
      </w:r>
      <w:r>
        <w:rPr>
          <w:rFonts w:hint="eastAsia"/>
          <w:sz w:val="20"/>
          <w:szCs w:val="20"/>
        </w:rPr>
        <w:t>，根据测量结果及时调整；</w:t>
      </w:r>
    </w:p>
    <w:p w14:paraId="39F13BB0">
      <w:pPr>
        <w:snapToGrid w:val="0"/>
        <w:spacing w:line="288" w:lineRule="auto"/>
        <w:ind w:firstLine="300" w:firstLineChars="150"/>
        <w:rPr>
          <w:rFonts w:hAnsi="Cambria Math"/>
          <w:bCs/>
          <w:sz w:val="20"/>
          <w:szCs w:val="20"/>
        </w:rPr>
      </w:pPr>
      <w:r>
        <w:rPr>
          <w:rFonts w:hAnsi="Cambria Math"/>
          <w:b/>
          <w:bCs/>
          <w:sz w:val="20"/>
          <w:szCs w:val="20"/>
        </w:rPr>
        <w:t>8</w:t>
      </w:r>
      <w:r>
        <w:rPr>
          <w:rFonts w:hint="eastAsia" w:hAnsi="Cambria Math"/>
          <w:bCs/>
          <w:sz w:val="20"/>
          <w:szCs w:val="20"/>
        </w:rPr>
        <w:t xml:space="preserve"> 顶管机与后面 3~5 节管节应进行有效的有效连接；</w:t>
      </w:r>
    </w:p>
    <w:p w14:paraId="3433B6AB">
      <w:pPr>
        <w:snapToGrid w:val="0"/>
        <w:spacing w:line="288" w:lineRule="auto"/>
        <w:ind w:firstLine="300" w:firstLineChars="150"/>
        <w:rPr>
          <w:rFonts w:hAnsi="Cambria Math"/>
          <w:bCs/>
          <w:sz w:val="20"/>
          <w:szCs w:val="20"/>
        </w:rPr>
      </w:pPr>
      <w:r>
        <w:rPr>
          <w:rFonts w:hAnsi="Cambria Math"/>
          <w:b/>
          <w:bCs/>
          <w:sz w:val="20"/>
          <w:szCs w:val="20"/>
        </w:rPr>
        <w:t>9</w:t>
      </w:r>
      <w:r>
        <w:rPr>
          <w:rFonts w:hAnsi="Cambria Math"/>
          <w:bCs/>
          <w:sz w:val="20"/>
          <w:szCs w:val="20"/>
        </w:rPr>
        <w:t xml:space="preserve"> </w:t>
      </w:r>
      <w:r>
        <w:rPr>
          <w:rFonts w:hint="eastAsia" w:hAnsi="Cambria Math"/>
          <w:bCs/>
          <w:sz w:val="20"/>
          <w:szCs w:val="20"/>
        </w:rPr>
        <w:t>第1节管节进入密封装置后，应开启触变泥浆注入系统，注浆压力应达到设定值，若出现漏浆应及时封堵。</w:t>
      </w:r>
    </w:p>
    <w:p w14:paraId="043D219E">
      <w:pPr>
        <w:snapToGrid w:val="0"/>
        <w:spacing w:line="288" w:lineRule="auto"/>
        <w:outlineLvl w:val="2"/>
        <w:rPr>
          <w:rFonts w:hAnsi="Cambria Math"/>
          <w:bCs/>
          <w:sz w:val="20"/>
          <w:szCs w:val="20"/>
        </w:rPr>
      </w:pPr>
      <w:r>
        <w:rPr>
          <w:rFonts w:hint="eastAsia" w:hAnsi="Cambria Math"/>
          <w:b/>
          <w:sz w:val="20"/>
          <w:szCs w:val="20"/>
        </w:rPr>
        <w:t>5.2.</w:t>
      </w:r>
      <w:r>
        <w:rPr>
          <w:rFonts w:hAnsi="Cambria Math"/>
          <w:b/>
          <w:sz w:val="20"/>
          <w:szCs w:val="20"/>
        </w:rPr>
        <w:t>4</w:t>
      </w:r>
      <w:r>
        <w:rPr>
          <w:rFonts w:hint="eastAsia" w:hAnsi="Cambria Math"/>
          <w:bCs/>
          <w:sz w:val="20"/>
          <w:szCs w:val="20"/>
        </w:rPr>
        <w:t xml:space="preserve"> </w:t>
      </w:r>
      <w:r>
        <w:rPr>
          <w:rFonts w:hAnsi="Cambria Math"/>
          <w:bCs/>
          <w:sz w:val="20"/>
          <w:szCs w:val="20"/>
        </w:rPr>
        <w:t xml:space="preserve"> </w:t>
      </w:r>
      <w:r>
        <w:rPr>
          <w:rFonts w:hint="eastAsia"/>
          <w:sz w:val="20"/>
          <w:szCs w:val="20"/>
        </w:rPr>
        <w:t>顶管机接收应符合下列规定</w:t>
      </w:r>
      <w:r>
        <w:rPr>
          <w:rFonts w:hint="eastAsia" w:hAnsi="Cambria Math"/>
          <w:bCs/>
          <w:sz w:val="20"/>
          <w:szCs w:val="20"/>
        </w:rPr>
        <w:t>：</w:t>
      </w:r>
    </w:p>
    <w:p w14:paraId="5940C3C5">
      <w:pPr>
        <w:snapToGrid w:val="0"/>
        <w:spacing w:line="288" w:lineRule="auto"/>
        <w:ind w:firstLine="300" w:firstLineChars="150"/>
        <w:rPr>
          <w:rFonts w:hAnsi="Cambria Math"/>
          <w:bCs/>
          <w:sz w:val="20"/>
          <w:szCs w:val="20"/>
        </w:rPr>
      </w:pPr>
      <w:r>
        <w:rPr>
          <w:rFonts w:hint="eastAsia" w:hAnsi="Cambria Math"/>
          <w:b/>
          <w:bCs/>
          <w:sz w:val="20"/>
          <w:szCs w:val="20"/>
        </w:rPr>
        <w:t xml:space="preserve">1 </w:t>
      </w:r>
      <w:r>
        <w:rPr>
          <w:rFonts w:hint="eastAsia" w:hAnsi="Cambria Math"/>
          <w:bCs/>
          <w:sz w:val="20"/>
          <w:szCs w:val="20"/>
        </w:rPr>
        <w:t>顶管机接近接收井洞口加固区前10m，应加强测量轴线偏差及控制顶管机姿态；</w:t>
      </w:r>
    </w:p>
    <w:p w14:paraId="0FDF95AB">
      <w:pPr>
        <w:snapToGrid w:val="0"/>
        <w:spacing w:line="288" w:lineRule="auto"/>
        <w:ind w:firstLine="300" w:firstLineChars="150"/>
        <w:rPr>
          <w:rFonts w:hAnsi="Cambria Math"/>
          <w:bCs/>
          <w:sz w:val="20"/>
          <w:szCs w:val="20"/>
        </w:rPr>
      </w:pPr>
      <w:r>
        <w:rPr>
          <w:rFonts w:hint="eastAsia" w:hAnsi="Cambria Math"/>
          <w:b/>
          <w:bCs/>
          <w:sz w:val="20"/>
          <w:szCs w:val="20"/>
        </w:rPr>
        <w:t xml:space="preserve">2 </w:t>
      </w:r>
      <w:r>
        <w:rPr>
          <w:rFonts w:hint="eastAsia" w:hAnsi="Cambria Math"/>
          <w:bCs/>
          <w:sz w:val="20"/>
          <w:szCs w:val="20"/>
        </w:rPr>
        <w:t>穿越洞口加固区时，应均匀低速顶进；</w:t>
      </w:r>
    </w:p>
    <w:p w14:paraId="586A613C">
      <w:pPr>
        <w:snapToGrid w:val="0"/>
        <w:spacing w:line="288" w:lineRule="auto"/>
        <w:ind w:firstLine="300" w:firstLineChars="150"/>
        <w:rPr>
          <w:rFonts w:hAnsi="Cambria Math"/>
          <w:bCs/>
          <w:sz w:val="20"/>
          <w:szCs w:val="20"/>
        </w:rPr>
      </w:pPr>
      <w:r>
        <w:rPr>
          <w:rFonts w:hint="eastAsia" w:hAnsi="Cambria Math"/>
          <w:b/>
          <w:bCs/>
          <w:sz w:val="20"/>
          <w:szCs w:val="20"/>
        </w:rPr>
        <w:t>3</w:t>
      </w:r>
      <w:r>
        <w:rPr>
          <w:rFonts w:hint="eastAsia" w:hAnsi="Cambria Math"/>
          <w:bCs/>
          <w:sz w:val="20"/>
          <w:szCs w:val="20"/>
        </w:rPr>
        <w:t xml:space="preserve"> 刀盘接触到围护结构后破除洞门，洞门破除前应在顶管机与土体之间的空隙注入浓泥保证触变泥浆套的封闭</w:t>
      </w:r>
      <w:r>
        <w:rPr>
          <w:rFonts w:hint="eastAsia"/>
          <w:sz w:val="20"/>
          <w:szCs w:val="20"/>
        </w:rPr>
        <w:t>；</w:t>
      </w:r>
    </w:p>
    <w:p w14:paraId="2ED2CB5E">
      <w:pPr>
        <w:snapToGrid w:val="0"/>
        <w:spacing w:line="288" w:lineRule="auto"/>
        <w:ind w:firstLine="300" w:firstLineChars="150"/>
        <w:rPr>
          <w:rFonts w:hAnsi="Cambria Math"/>
          <w:bCs/>
          <w:sz w:val="20"/>
          <w:szCs w:val="20"/>
        </w:rPr>
      </w:pPr>
      <w:r>
        <w:rPr>
          <w:rFonts w:hint="eastAsia" w:hAnsi="Cambria Math"/>
          <w:b/>
          <w:bCs/>
          <w:sz w:val="20"/>
          <w:szCs w:val="20"/>
        </w:rPr>
        <w:t>4</w:t>
      </w:r>
      <w:r>
        <w:rPr>
          <w:rFonts w:hAnsi="Cambria Math"/>
          <w:bCs/>
          <w:sz w:val="20"/>
          <w:szCs w:val="20"/>
        </w:rPr>
        <w:t xml:space="preserve"> </w:t>
      </w:r>
      <w:r>
        <w:rPr>
          <w:rFonts w:hint="eastAsia" w:hAnsi="Cambria Math"/>
          <w:bCs/>
          <w:sz w:val="20"/>
          <w:szCs w:val="20"/>
        </w:rPr>
        <w:t>顶管接收时刀盘进入加固区后应控制土仓压力</w:t>
      </w:r>
      <w:r>
        <w:rPr>
          <w:rFonts w:hAnsi="Cambria Math"/>
          <w:bCs/>
          <w:sz w:val="20"/>
          <w:szCs w:val="20"/>
        </w:rPr>
        <w:t>，并应根据监测结果调整</w:t>
      </w:r>
      <w:r>
        <w:rPr>
          <w:rFonts w:hint="eastAsia" w:hAnsi="Cambria Math"/>
          <w:bCs/>
          <w:sz w:val="20"/>
          <w:szCs w:val="20"/>
        </w:rPr>
        <w:t>。</w:t>
      </w:r>
    </w:p>
    <w:p w14:paraId="4BDD331C">
      <w:pPr>
        <w:snapToGrid w:val="0"/>
        <w:spacing w:line="288" w:lineRule="auto"/>
        <w:rPr>
          <w:rFonts w:hAnsi="Cambria Math"/>
          <w:sz w:val="20"/>
          <w:szCs w:val="20"/>
        </w:rPr>
      </w:pPr>
      <w:r>
        <w:rPr>
          <w:rFonts w:hint="eastAsia" w:hAnsi="Cambria Math"/>
          <w:b/>
          <w:sz w:val="20"/>
          <w:szCs w:val="20"/>
        </w:rPr>
        <w:t>5</w:t>
      </w:r>
      <w:r>
        <w:rPr>
          <w:rFonts w:hAnsi="Cambria Math"/>
          <w:b/>
          <w:sz w:val="20"/>
          <w:szCs w:val="20"/>
        </w:rPr>
        <w:t>.</w:t>
      </w:r>
      <w:r>
        <w:rPr>
          <w:rFonts w:hint="eastAsia" w:hAnsi="Cambria Math"/>
          <w:b/>
          <w:sz w:val="20"/>
          <w:szCs w:val="20"/>
        </w:rPr>
        <w:t>2</w:t>
      </w:r>
      <w:r>
        <w:rPr>
          <w:rFonts w:hAnsi="Cambria Math"/>
          <w:b/>
          <w:sz w:val="20"/>
          <w:szCs w:val="20"/>
        </w:rPr>
        <w:t xml:space="preserve">.5  </w:t>
      </w:r>
      <w:r>
        <w:rPr>
          <w:rFonts w:hint="eastAsia" w:hAnsi="Cambria Math"/>
          <w:sz w:val="20"/>
          <w:szCs w:val="20"/>
        </w:rPr>
        <w:t>顶管完成后，管道与洞口之间的间隙应及时有效地进行封堵，封堵结构应牢固可靠。</w:t>
      </w:r>
    </w:p>
    <w:p w14:paraId="198277E0">
      <w:pPr>
        <w:pStyle w:val="3"/>
        <w:snapToGrid w:val="0"/>
        <w:spacing w:before="312" w:beforeLines="100" w:after="0" w:line="288" w:lineRule="auto"/>
        <w:jc w:val="center"/>
        <w:rPr>
          <w:rFonts w:ascii="Times New Roman" w:hAnsi="Times New Roman"/>
          <w:sz w:val="20"/>
          <w:szCs w:val="21"/>
        </w:rPr>
      </w:pPr>
      <w:bookmarkStart w:id="238" w:name="_Toc185235634"/>
      <w:bookmarkStart w:id="239" w:name="_Toc188612064"/>
      <w:bookmarkStart w:id="240" w:name="_Toc185236585"/>
      <w:bookmarkStart w:id="241" w:name="_Toc188798535"/>
      <w:r>
        <w:rPr>
          <w:rFonts w:ascii="Times New Roman" w:hAnsi="Times New Roman"/>
          <w:sz w:val="20"/>
          <w:szCs w:val="21"/>
        </w:rPr>
        <w:t>5.3  顶</w:t>
      </w:r>
      <w:r>
        <w:rPr>
          <w:rFonts w:hint="eastAsia" w:ascii="Times New Roman" w:hAnsi="Times New Roman"/>
          <w:sz w:val="20"/>
          <w:szCs w:val="21"/>
        </w:rPr>
        <w:t xml:space="preserve"> </w:t>
      </w:r>
      <w:r>
        <w:rPr>
          <w:rFonts w:ascii="Times New Roman" w:hAnsi="Times New Roman"/>
          <w:sz w:val="20"/>
          <w:szCs w:val="21"/>
        </w:rPr>
        <w:t xml:space="preserve"> 进</w:t>
      </w:r>
      <w:bookmarkEnd w:id="237"/>
      <w:bookmarkEnd w:id="238"/>
      <w:bookmarkEnd w:id="239"/>
      <w:bookmarkEnd w:id="240"/>
      <w:bookmarkEnd w:id="241"/>
    </w:p>
    <w:p w14:paraId="04E545D3">
      <w:pPr>
        <w:snapToGrid w:val="0"/>
        <w:spacing w:line="288" w:lineRule="auto"/>
        <w:outlineLvl w:val="2"/>
        <w:rPr>
          <w:rFonts w:hAnsi="Cambria Math"/>
          <w:bCs/>
          <w:sz w:val="20"/>
          <w:szCs w:val="20"/>
        </w:rPr>
      </w:pPr>
      <w:r>
        <w:rPr>
          <w:rFonts w:hint="eastAsia" w:hAnsi="Cambria Math"/>
          <w:b/>
          <w:sz w:val="20"/>
          <w:szCs w:val="20"/>
        </w:rPr>
        <w:t xml:space="preserve">5.3.1 </w:t>
      </w:r>
      <w:r>
        <w:rPr>
          <w:rFonts w:hAnsi="Cambria Math"/>
          <w:b/>
          <w:sz w:val="20"/>
          <w:szCs w:val="20"/>
        </w:rPr>
        <w:t xml:space="preserve"> </w:t>
      </w:r>
      <w:r>
        <w:rPr>
          <w:rFonts w:hint="eastAsia"/>
          <w:sz w:val="20"/>
          <w:szCs w:val="20"/>
        </w:rPr>
        <w:t>矩形顶管顶进应符合下列规定</w:t>
      </w:r>
      <w:r>
        <w:rPr>
          <w:rFonts w:hint="eastAsia" w:hAnsi="Cambria Math"/>
          <w:bCs/>
          <w:sz w:val="20"/>
          <w:szCs w:val="20"/>
        </w:rPr>
        <w:t>：增加对土压的控制</w:t>
      </w:r>
    </w:p>
    <w:p w14:paraId="23C849A7">
      <w:pPr>
        <w:snapToGrid w:val="0"/>
        <w:spacing w:line="288" w:lineRule="auto"/>
        <w:ind w:firstLine="300" w:firstLineChars="150"/>
        <w:rPr>
          <w:rFonts w:hAnsi="Cambria Math"/>
          <w:bCs/>
          <w:sz w:val="20"/>
          <w:szCs w:val="20"/>
        </w:rPr>
      </w:pPr>
      <w:r>
        <w:rPr>
          <w:rFonts w:hint="eastAsia" w:hAnsi="Cambria Math"/>
          <w:b/>
          <w:bCs/>
          <w:sz w:val="20"/>
          <w:szCs w:val="20"/>
        </w:rPr>
        <w:t xml:space="preserve">1 </w:t>
      </w:r>
      <w:r>
        <w:rPr>
          <w:rFonts w:hint="eastAsia" w:hAnsi="Cambria Math"/>
          <w:bCs/>
          <w:sz w:val="20"/>
          <w:szCs w:val="20"/>
        </w:rPr>
        <w:t>顶进应根据顶管覆土厚度、土体性质、地下水埋深、地上建（构）筑物等因素确定施工参数；</w:t>
      </w:r>
    </w:p>
    <w:p w14:paraId="58C0E681">
      <w:pPr>
        <w:snapToGrid w:val="0"/>
        <w:spacing w:line="288" w:lineRule="auto"/>
        <w:ind w:firstLine="300" w:firstLineChars="150"/>
        <w:rPr>
          <w:rFonts w:hAnsi="Cambria Math"/>
          <w:bCs/>
          <w:sz w:val="20"/>
          <w:szCs w:val="20"/>
        </w:rPr>
      </w:pPr>
      <w:r>
        <w:rPr>
          <w:rFonts w:hint="eastAsia" w:hAnsi="Cambria Math"/>
          <w:b/>
          <w:bCs/>
          <w:sz w:val="20"/>
          <w:szCs w:val="20"/>
        </w:rPr>
        <w:t xml:space="preserve">2 </w:t>
      </w:r>
      <w:r>
        <w:rPr>
          <w:rFonts w:hint="eastAsia" w:hAnsi="Cambria Math"/>
          <w:bCs/>
          <w:sz w:val="20"/>
          <w:szCs w:val="20"/>
        </w:rPr>
        <w:t>开顶时，应先启动刀盘转动，再启动油缸推进；停顶时，应先停止油缸推进，再停止刀盘转动；</w:t>
      </w:r>
    </w:p>
    <w:p w14:paraId="28EB780F">
      <w:pPr>
        <w:snapToGrid w:val="0"/>
        <w:spacing w:line="288" w:lineRule="auto"/>
        <w:ind w:firstLine="300" w:firstLineChars="150"/>
        <w:rPr>
          <w:rFonts w:hAnsi="Cambria Math"/>
          <w:bCs/>
          <w:sz w:val="20"/>
          <w:szCs w:val="20"/>
        </w:rPr>
      </w:pPr>
      <w:r>
        <w:rPr>
          <w:rFonts w:hint="eastAsia" w:hAnsi="Cambria Math"/>
          <w:b/>
          <w:bCs/>
          <w:sz w:val="20"/>
          <w:szCs w:val="20"/>
        </w:rPr>
        <w:t>3</w:t>
      </w:r>
      <w:r>
        <w:rPr>
          <w:rFonts w:hAnsi="Cambria Math"/>
          <w:b/>
          <w:bCs/>
          <w:sz w:val="20"/>
          <w:szCs w:val="20"/>
        </w:rPr>
        <w:t xml:space="preserve"> </w:t>
      </w:r>
      <w:r>
        <w:rPr>
          <w:rFonts w:hint="eastAsia" w:hAnsi="Cambria Math"/>
          <w:bCs/>
          <w:sz w:val="20"/>
          <w:szCs w:val="20"/>
        </w:rPr>
        <w:t>根据不同的土质采取不同的渣土改良方法；</w:t>
      </w:r>
    </w:p>
    <w:p w14:paraId="572A0157">
      <w:pPr>
        <w:snapToGrid w:val="0"/>
        <w:spacing w:line="288" w:lineRule="auto"/>
        <w:ind w:firstLine="300" w:firstLineChars="150"/>
        <w:rPr>
          <w:rFonts w:hAnsi="Cambria Math"/>
          <w:bCs/>
          <w:sz w:val="20"/>
          <w:szCs w:val="20"/>
        </w:rPr>
      </w:pPr>
      <w:r>
        <w:rPr>
          <w:rFonts w:hAnsi="Cambria Math"/>
          <w:b/>
          <w:bCs/>
          <w:sz w:val="20"/>
          <w:szCs w:val="20"/>
        </w:rPr>
        <w:t>4</w:t>
      </w:r>
      <w:r>
        <w:rPr>
          <w:rFonts w:hint="eastAsia" w:hAnsi="Cambria Math"/>
          <w:b/>
          <w:bCs/>
          <w:sz w:val="20"/>
          <w:szCs w:val="20"/>
        </w:rPr>
        <w:t xml:space="preserve"> </w:t>
      </w:r>
      <w:r>
        <w:rPr>
          <w:rFonts w:hint="eastAsia" w:hAnsi="Cambria Math"/>
          <w:bCs/>
          <w:sz w:val="20"/>
          <w:szCs w:val="20"/>
        </w:rPr>
        <w:t>顶进中，应同步向管外壁注入减阻泥浆，并应根据泥浆的损失及时补浆；</w:t>
      </w:r>
    </w:p>
    <w:p w14:paraId="75B771B8">
      <w:pPr>
        <w:snapToGrid w:val="0"/>
        <w:spacing w:line="288" w:lineRule="auto"/>
        <w:ind w:firstLine="300" w:firstLineChars="150"/>
        <w:rPr>
          <w:rFonts w:hAnsi="Cambria Math"/>
          <w:bCs/>
          <w:sz w:val="20"/>
          <w:szCs w:val="20"/>
        </w:rPr>
      </w:pPr>
      <w:r>
        <w:rPr>
          <w:rFonts w:hint="eastAsia" w:hAnsi="Cambria Math"/>
          <w:b/>
          <w:bCs/>
          <w:sz w:val="20"/>
          <w:szCs w:val="20"/>
        </w:rPr>
        <w:t xml:space="preserve">5 </w:t>
      </w:r>
      <w:r>
        <w:rPr>
          <w:rFonts w:hint="eastAsia" w:hAnsi="Cambria Math"/>
          <w:bCs/>
          <w:sz w:val="20"/>
          <w:szCs w:val="20"/>
        </w:rPr>
        <w:t>顶进过程中应对顶管机的姿态和顶进轴线进行测量，及时发现偏差随时纠偏；</w:t>
      </w:r>
    </w:p>
    <w:p w14:paraId="080A494D">
      <w:pPr>
        <w:snapToGrid w:val="0"/>
        <w:spacing w:line="288" w:lineRule="auto"/>
        <w:ind w:firstLine="300" w:firstLineChars="150"/>
        <w:rPr>
          <w:rFonts w:hAnsi="Cambria Math"/>
          <w:bCs/>
          <w:sz w:val="20"/>
          <w:szCs w:val="20"/>
        </w:rPr>
      </w:pPr>
      <w:r>
        <w:rPr>
          <w:rFonts w:hint="eastAsia" w:hAnsi="Cambria Math"/>
          <w:b/>
          <w:bCs/>
          <w:sz w:val="20"/>
          <w:szCs w:val="20"/>
        </w:rPr>
        <w:t>6</w:t>
      </w:r>
      <w:r>
        <w:rPr>
          <w:rFonts w:hAnsi="Cambria Math"/>
          <w:bCs/>
          <w:sz w:val="20"/>
          <w:szCs w:val="20"/>
        </w:rPr>
        <w:t xml:space="preserve"> </w:t>
      </w:r>
      <w:r>
        <w:rPr>
          <w:rFonts w:hint="eastAsia" w:hAnsi="Cambria Math"/>
          <w:bCs/>
          <w:sz w:val="20"/>
          <w:szCs w:val="20"/>
        </w:rPr>
        <w:t>统计每节管节的出渣量，实际出渣量应与理论出渣量相匹配；</w:t>
      </w:r>
    </w:p>
    <w:p w14:paraId="3F343204">
      <w:pPr>
        <w:snapToGrid w:val="0"/>
        <w:spacing w:line="288" w:lineRule="auto"/>
        <w:ind w:firstLine="300" w:firstLineChars="150"/>
        <w:rPr>
          <w:rFonts w:hAnsi="Cambria Math"/>
          <w:bCs/>
          <w:sz w:val="20"/>
          <w:szCs w:val="20"/>
        </w:rPr>
      </w:pPr>
      <w:r>
        <w:rPr>
          <w:rFonts w:hint="eastAsia" w:hAnsi="Cambria Math"/>
          <w:b/>
          <w:bCs/>
          <w:sz w:val="20"/>
          <w:szCs w:val="20"/>
        </w:rPr>
        <w:t>7</w:t>
      </w:r>
      <w:r>
        <w:rPr>
          <w:rFonts w:hAnsi="Cambria Math"/>
          <w:b/>
          <w:bCs/>
          <w:sz w:val="20"/>
          <w:szCs w:val="20"/>
        </w:rPr>
        <w:t xml:space="preserve"> </w:t>
      </w:r>
      <w:r>
        <w:rPr>
          <w:rFonts w:hint="eastAsia" w:hAnsi="Cambria Math"/>
          <w:bCs/>
          <w:sz w:val="20"/>
          <w:szCs w:val="20"/>
        </w:rPr>
        <w:t>加接管节时，主顶油缸在缩回前应对已顶进的管节采取止退措施；</w:t>
      </w:r>
    </w:p>
    <w:p w14:paraId="0944A53A">
      <w:pPr>
        <w:snapToGrid w:val="0"/>
        <w:spacing w:line="288" w:lineRule="auto"/>
        <w:ind w:firstLine="300" w:firstLineChars="150"/>
        <w:rPr>
          <w:sz w:val="20"/>
          <w:szCs w:val="20"/>
        </w:rPr>
      </w:pPr>
      <w:r>
        <w:rPr>
          <w:rFonts w:hAnsi="Cambria Math"/>
          <w:b/>
          <w:bCs/>
          <w:sz w:val="20"/>
          <w:szCs w:val="20"/>
        </w:rPr>
        <w:t>8</w:t>
      </w:r>
      <w:r>
        <w:rPr>
          <w:rFonts w:hint="eastAsia" w:hAnsi="Cambria Math"/>
          <w:b/>
          <w:bCs/>
          <w:sz w:val="20"/>
          <w:szCs w:val="20"/>
        </w:rPr>
        <w:t xml:space="preserve"> </w:t>
      </w:r>
      <w:r>
        <w:rPr>
          <w:rFonts w:hint="eastAsia" w:hAnsi="Cambria Math"/>
          <w:bCs/>
          <w:sz w:val="20"/>
          <w:szCs w:val="20"/>
        </w:rPr>
        <w:t>当周边环境对土体变形要求严格时，应进行土体变形监测，根据监测数据随时调整顶进参数。</w:t>
      </w:r>
    </w:p>
    <w:p w14:paraId="11A57FFF">
      <w:pPr>
        <w:snapToGrid w:val="0"/>
        <w:spacing w:line="288" w:lineRule="auto"/>
        <w:outlineLvl w:val="2"/>
        <w:rPr>
          <w:rFonts w:hAnsi="Cambria Math"/>
          <w:b/>
          <w:bCs/>
          <w:sz w:val="20"/>
          <w:szCs w:val="20"/>
        </w:rPr>
      </w:pPr>
      <w:r>
        <w:rPr>
          <w:rFonts w:hint="eastAsia" w:hAnsi="Cambria Math"/>
          <w:b/>
          <w:bCs/>
          <w:sz w:val="20"/>
          <w:szCs w:val="20"/>
        </w:rPr>
        <w:t>5</w:t>
      </w:r>
      <w:r>
        <w:rPr>
          <w:rFonts w:hAnsi="Cambria Math"/>
          <w:b/>
          <w:bCs/>
          <w:sz w:val="20"/>
          <w:szCs w:val="20"/>
        </w:rPr>
        <w:t xml:space="preserve">.3.2  </w:t>
      </w:r>
      <w:r>
        <w:rPr>
          <w:rFonts w:hint="eastAsia"/>
          <w:sz w:val="20"/>
          <w:szCs w:val="20"/>
        </w:rPr>
        <w:t>顶管刀盘出始发井加固区</w:t>
      </w:r>
      <w:r>
        <w:rPr>
          <w:rFonts w:hint="eastAsia" w:hAnsi="Cambria Math"/>
          <w:bCs/>
          <w:sz w:val="20"/>
          <w:szCs w:val="20"/>
        </w:rPr>
        <w:t>10m</w:t>
      </w:r>
      <w:r>
        <w:rPr>
          <w:rFonts w:hint="eastAsia"/>
          <w:sz w:val="20"/>
          <w:szCs w:val="20"/>
        </w:rPr>
        <w:t>～</w:t>
      </w:r>
      <w:r>
        <w:rPr>
          <w:rFonts w:hint="eastAsia" w:hAnsi="Cambria Math"/>
          <w:bCs/>
          <w:sz w:val="20"/>
          <w:szCs w:val="20"/>
        </w:rPr>
        <w:t>15m宜作为试验段</w:t>
      </w:r>
      <w:r>
        <w:rPr>
          <w:rFonts w:hint="eastAsia" w:hAnsi="Cambria Math"/>
          <w:b/>
          <w:bCs/>
          <w:sz w:val="20"/>
          <w:szCs w:val="20"/>
        </w:rPr>
        <w:t>，</w:t>
      </w:r>
      <w:r>
        <w:rPr>
          <w:rFonts w:hint="eastAsia" w:hAnsi="Cambria Math"/>
          <w:bCs/>
          <w:sz w:val="20"/>
          <w:szCs w:val="20"/>
        </w:rPr>
        <w:t>通过现场实测调整施工参数和匹配关系。</w:t>
      </w:r>
    </w:p>
    <w:p w14:paraId="1A31AB4B">
      <w:pPr>
        <w:snapToGrid w:val="0"/>
        <w:spacing w:line="288" w:lineRule="auto"/>
        <w:outlineLvl w:val="2"/>
        <w:rPr>
          <w:rFonts w:hAnsi="Cambria Math"/>
          <w:bCs/>
          <w:sz w:val="20"/>
          <w:szCs w:val="20"/>
        </w:rPr>
      </w:pPr>
      <w:r>
        <w:rPr>
          <w:rFonts w:hint="eastAsia" w:hAnsi="Cambria Math"/>
          <w:b/>
          <w:sz w:val="20"/>
          <w:szCs w:val="20"/>
        </w:rPr>
        <w:t>5.3.</w:t>
      </w:r>
      <w:r>
        <w:rPr>
          <w:rFonts w:hAnsi="Cambria Math"/>
          <w:b/>
          <w:sz w:val="20"/>
          <w:szCs w:val="20"/>
        </w:rPr>
        <w:t>3</w:t>
      </w:r>
      <w:r>
        <w:rPr>
          <w:rFonts w:hint="eastAsia" w:hAnsi="Cambria Math"/>
          <w:b/>
          <w:sz w:val="20"/>
          <w:szCs w:val="20"/>
        </w:rPr>
        <w:t xml:space="preserve"> </w:t>
      </w:r>
      <w:r>
        <w:rPr>
          <w:rFonts w:hAnsi="Cambria Math"/>
          <w:b/>
          <w:sz w:val="20"/>
          <w:szCs w:val="20"/>
        </w:rPr>
        <w:t xml:space="preserve"> </w:t>
      </w:r>
      <w:r>
        <w:rPr>
          <w:rFonts w:hint="eastAsia" w:hAnsi="Cambria Math"/>
          <w:bCs/>
          <w:sz w:val="20"/>
          <w:szCs w:val="20"/>
        </w:rPr>
        <w:t>正常顶进时，顶进速度宜控制在</w:t>
      </w:r>
      <w:r>
        <w:rPr>
          <w:rFonts w:hAnsi="Cambria Math"/>
          <w:bCs/>
          <w:sz w:val="20"/>
          <w:szCs w:val="20"/>
        </w:rPr>
        <w:t>2</w:t>
      </w:r>
      <w:r>
        <w:rPr>
          <w:rFonts w:hint="eastAsia" w:hAnsi="Cambria Math"/>
          <w:bCs/>
          <w:sz w:val="20"/>
          <w:szCs w:val="20"/>
        </w:rPr>
        <w:t>0mm/min</w:t>
      </w:r>
      <w:r>
        <w:rPr>
          <w:rFonts w:hint="eastAsia"/>
          <w:sz w:val="20"/>
          <w:szCs w:val="20"/>
        </w:rPr>
        <w:t>～</w:t>
      </w:r>
      <w:r>
        <w:rPr>
          <w:rFonts w:hAnsi="Cambria Math"/>
          <w:bCs/>
          <w:sz w:val="20"/>
          <w:szCs w:val="20"/>
        </w:rPr>
        <w:t>3</w:t>
      </w:r>
      <w:r>
        <w:rPr>
          <w:rFonts w:hint="eastAsia" w:hAnsi="Cambria Math"/>
          <w:bCs/>
          <w:sz w:val="20"/>
          <w:szCs w:val="20"/>
        </w:rPr>
        <w:t>0mm/min；顶进时应不断调整顶进速度，优选顶进速度、正面土压力、出渣量的最佳匹配值。</w:t>
      </w:r>
    </w:p>
    <w:p w14:paraId="19EF7F93">
      <w:pPr>
        <w:snapToGrid w:val="0"/>
        <w:spacing w:line="288" w:lineRule="auto"/>
        <w:outlineLvl w:val="2"/>
        <w:rPr>
          <w:rFonts w:hAnsi="Cambria Math"/>
          <w:bCs/>
          <w:sz w:val="20"/>
          <w:szCs w:val="20"/>
        </w:rPr>
      </w:pPr>
      <w:r>
        <w:rPr>
          <w:rFonts w:hAnsi="Cambria Math"/>
          <w:b/>
          <w:bCs/>
          <w:sz w:val="20"/>
          <w:szCs w:val="20"/>
        </w:rPr>
        <w:t>5.3.4</w:t>
      </w:r>
      <w:r>
        <w:rPr>
          <w:rFonts w:hint="eastAsia" w:hAnsi="Cambria Math"/>
          <w:b/>
          <w:bCs/>
          <w:sz w:val="20"/>
          <w:szCs w:val="20"/>
        </w:rPr>
        <w:t xml:space="preserve"> </w:t>
      </w:r>
      <w:r>
        <w:rPr>
          <w:rFonts w:hAnsi="Cambria Math"/>
          <w:b/>
          <w:bCs/>
          <w:sz w:val="20"/>
          <w:szCs w:val="20"/>
        </w:rPr>
        <w:t xml:space="preserve"> </w:t>
      </w:r>
      <w:r>
        <w:rPr>
          <w:rFonts w:hint="eastAsia"/>
          <w:sz w:val="20"/>
          <w:szCs w:val="20"/>
        </w:rPr>
        <w:t>顶管土仓内的土压力应控制在顶管所处土层的主动土压力与被动土压力之间</w:t>
      </w:r>
      <w:r>
        <w:rPr>
          <w:rFonts w:hint="eastAsia" w:hAnsi="Cambria Math"/>
          <w:bCs/>
          <w:sz w:val="20"/>
          <w:szCs w:val="20"/>
        </w:rPr>
        <w:t>，在顶进时土压力实测值与计算值做比较</w:t>
      </w:r>
      <w:r>
        <w:rPr>
          <w:rFonts w:hint="eastAsia"/>
          <w:sz w:val="20"/>
          <w:szCs w:val="20"/>
        </w:rPr>
        <w:t>，</w:t>
      </w:r>
      <w:r>
        <w:rPr>
          <w:rFonts w:hint="eastAsia" w:hAnsi="Cambria Math"/>
          <w:bCs/>
          <w:sz w:val="20"/>
          <w:szCs w:val="20"/>
        </w:rPr>
        <w:t>修正计算值。</w:t>
      </w:r>
    </w:p>
    <w:p w14:paraId="569CB4A6">
      <w:pPr>
        <w:snapToGrid w:val="0"/>
        <w:spacing w:line="288" w:lineRule="auto"/>
        <w:outlineLvl w:val="2"/>
        <w:rPr>
          <w:rFonts w:hAnsi="Cambria Math"/>
          <w:bCs/>
          <w:sz w:val="20"/>
          <w:szCs w:val="20"/>
        </w:rPr>
      </w:pPr>
      <w:r>
        <w:rPr>
          <w:rFonts w:hint="eastAsia" w:hAnsi="Cambria Math"/>
          <w:b/>
          <w:sz w:val="20"/>
          <w:szCs w:val="20"/>
        </w:rPr>
        <w:t>5.3.</w:t>
      </w:r>
      <w:r>
        <w:rPr>
          <w:rFonts w:hAnsi="Cambria Math"/>
          <w:b/>
          <w:sz w:val="20"/>
          <w:szCs w:val="20"/>
        </w:rPr>
        <w:t xml:space="preserve">5  </w:t>
      </w:r>
      <w:r>
        <w:rPr>
          <w:rFonts w:hint="eastAsia"/>
          <w:sz w:val="20"/>
          <w:szCs w:val="20"/>
        </w:rPr>
        <w:t>顶进</w:t>
      </w:r>
      <w:r>
        <w:rPr>
          <w:rFonts w:hint="eastAsia"/>
          <w:bCs/>
          <w:sz w:val="20"/>
          <w:szCs w:val="20"/>
        </w:rPr>
        <w:t>过程应连续进行</w:t>
      </w:r>
      <w:r>
        <w:rPr>
          <w:rFonts w:hint="eastAsia" w:hAnsi="Cambria Math"/>
          <w:bCs/>
          <w:sz w:val="20"/>
          <w:szCs w:val="20"/>
        </w:rPr>
        <w:t>，如遇下列情况之一时，应暂停顶进，及时处理：</w:t>
      </w:r>
    </w:p>
    <w:p w14:paraId="124C1555">
      <w:pPr>
        <w:snapToGrid w:val="0"/>
        <w:spacing w:line="288" w:lineRule="auto"/>
        <w:ind w:firstLine="300" w:firstLineChars="150"/>
        <w:rPr>
          <w:rFonts w:hAnsi="Cambria Math"/>
          <w:bCs/>
          <w:sz w:val="20"/>
          <w:szCs w:val="20"/>
        </w:rPr>
      </w:pPr>
      <w:r>
        <w:rPr>
          <w:rFonts w:hint="eastAsia" w:hAnsi="Cambria Math"/>
          <w:b/>
          <w:bCs/>
          <w:sz w:val="20"/>
          <w:szCs w:val="20"/>
        </w:rPr>
        <w:t xml:space="preserve">1 </w:t>
      </w:r>
      <w:r>
        <w:rPr>
          <w:rFonts w:hint="eastAsia" w:hAnsi="Cambria Math"/>
          <w:bCs/>
          <w:sz w:val="20"/>
          <w:szCs w:val="20"/>
        </w:rPr>
        <w:t>顶管机前方遇到不明障碍物；</w:t>
      </w:r>
    </w:p>
    <w:p w14:paraId="56D6B12C">
      <w:pPr>
        <w:snapToGrid w:val="0"/>
        <w:spacing w:line="288" w:lineRule="auto"/>
        <w:ind w:firstLine="300" w:firstLineChars="150"/>
        <w:rPr>
          <w:rFonts w:hAnsi="Cambria Math"/>
          <w:bCs/>
          <w:sz w:val="20"/>
          <w:szCs w:val="20"/>
        </w:rPr>
      </w:pPr>
      <w:r>
        <w:rPr>
          <w:rFonts w:hint="eastAsia" w:hAnsi="Cambria Math"/>
          <w:b/>
          <w:bCs/>
          <w:sz w:val="20"/>
          <w:szCs w:val="20"/>
        </w:rPr>
        <w:t xml:space="preserve">2 </w:t>
      </w:r>
      <w:r>
        <w:rPr>
          <w:rFonts w:hint="eastAsia" w:hAnsi="Cambria Math"/>
          <w:bCs/>
          <w:sz w:val="20"/>
          <w:szCs w:val="20"/>
        </w:rPr>
        <w:t>后背墙变形严重；</w:t>
      </w:r>
    </w:p>
    <w:p w14:paraId="0AA1F627">
      <w:pPr>
        <w:snapToGrid w:val="0"/>
        <w:spacing w:line="288" w:lineRule="auto"/>
        <w:ind w:firstLine="300" w:firstLineChars="150"/>
        <w:rPr>
          <w:rFonts w:hAnsi="Cambria Math"/>
          <w:bCs/>
          <w:sz w:val="20"/>
          <w:szCs w:val="20"/>
        </w:rPr>
      </w:pPr>
      <w:r>
        <w:rPr>
          <w:rFonts w:hint="eastAsia" w:hAnsi="Cambria Math"/>
          <w:b/>
          <w:bCs/>
          <w:sz w:val="20"/>
          <w:szCs w:val="20"/>
        </w:rPr>
        <w:t xml:space="preserve">3 </w:t>
      </w:r>
      <w:r>
        <w:rPr>
          <w:rFonts w:hint="eastAsia" w:hAnsi="Cambria Math"/>
          <w:bCs/>
          <w:sz w:val="20"/>
          <w:szCs w:val="20"/>
        </w:rPr>
        <w:t>顶铁发生扭曲现象；</w:t>
      </w:r>
    </w:p>
    <w:p w14:paraId="6FBA134C">
      <w:pPr>
        <w:snapToGrid w:val="0"/>
        <w:spacing w:line="288" w:lineRule="auto"/>
        <w:ind w:firstLine="300" w:firstLineChars="150"/>
        <w:rPr>
          <w:rFonts w:hAnsi="Cambria Math"/>
          <w:bCs/>
          <w:sz w:val="20"/>
          <w:szCs w:val="20"/>
        </w:rPr>
      </w:pPr>
      <w:r>
        <w:rPr>
          <w:rFonts w:hint="eastAsia" w:hAnsi="Cambria Math"/>
          <w:b/>
          <w:bCs/>
          <w:sz w:val="20"/>
          <w:szCs w:val="20"/>
        </w:rPr>
        <w:t xml:space="preserve">4 </w:t>
      </w:r>
      <w:r>
        <w:rPr>
          <w:rFonts w:hint="eastAsia" w:hAnsi="Cambria Math"/>
          <w:bCs/>
          <w:sz w:val="20"/>
          <w:szCs w:val="20"/>
        </w:rPr>
        <w:t>管位偏差过大且纠偏无效；</w:t>
      </w:r>
    </w:p>
    <w:p w14:paraId="79D6D319">
      <w:pPr>
        <w:snapToGrid w:val="0"/>
        <w:spacing w:line="288" w:lineRule="auto"/>
        <w:ind w:firstLine="300" w:firstLineChars="150"/>
        <w:rPr>
          <w:rFonts w:hAnsi="Cambria Math"/>
          <w:bCs/>
          <w:sz w:val="20"/>
          <w:szCs w:val="20"/>
        </w:rPr>
      </w:pPr>
      <w:r>
        <w:rPr>
          <w:rFonts w:hint="eastAsia" w:hAnsi="Cambria Math"/>
          <w:b/>
          <w:bCs/>
          <w:strike/>
          <w:sz w:val="20"/>
          <w:szCs w:val="20"/>
        </w:rPr>
        <w:t>5</w:t>
      </w:r>
      <w:r>
        <w:rPr>
          <w:rFonts w:hint="eastAsia" w:hAnsi="Cambria Math"/>
          <w:b/>
          <w:bCs/>
          <w:sz w:val="20"/>
          <w:szCs w:val="20"/>
        </w:rPr>
        <w:t xml:space="preserve"> </w:t>
      </w:r>
      <w:r>
        <w:rPr>
          <w:rFonts w:hint="eastAsia" w:hAnsi="Cambria Math"/>
          <w:bCs/>
          <w:sz w:val="20"/>
          <w:szCs w:val="20"/>
        </w:rPr>
        <w:t>顶管机发生故障；</w:t>
      </w:r>
      <w:r>
        <w:rPr>
          <w:rFonts w:hAnsi="Cambria Math"/>
          <w:bCs/>
          <w:sz w:val="20"/>
          <w:szCs w:val="20"/>
        </w:rPr>
        <w:t xml:space="preserve"> </w:t>
      </w:r>
    </w:p>
    <w:p w14:paraId="7525113B">
      <w:pPr>
        <w:snapToGrid w:val="0"/>
        <w:spacing w:line="288" w:lineRule="auto"/>
        <w:ind w:firstLine="300" w:firstLineChars="150"/>
        <w:rPr>
          <w:rFonts w:hAnsi="Cambria Math"/>
          <w:bCs/>
          <w:sz w:val="20"/>
          <w:szCs w:val="20"/>
        </w:rPr>
      </w:pPr>
      <w:r>
        <w:rPr>
          <w:rFonts w:hint="eastAsia" w:hAnsi="Cambria Math"/>
          <w:b/>
          <w:bCs/>
          <w:sz w:val="20"/>
          <w:szCs w:val="20"/>
        </w:rPr>
        <w:t xml:space="preserve">6 </w:t>
      </w:r>
      <w:r>
        <w:rPr>
          <w:rFonts w:hint="eastAsia" w:hAnsi="Cambria Math"/>
          <w:bCs/>
          <w:sz w:val="20"/>
          <w:szCs w:val="20"/>
        </w:rPr>
        <w:t>中继间渗漏泥水、泥浆；</w:t>
      </w:r>
    </w:p>
    <w:p w14:paraId="4DBC3BD3">
      <w:pPr>
        <w:snapToGrid w:val="0"/>
        <w:spacing w:line="288" w:lineRule="auto"/>
        <w:ind w:firstLine="300" w:firstLineChars="150"/>
        <w:rPr>
          <w:rFonts w:hAnsi="Cambria Math"/>
          <w:bCs/>
          <w:sz w:val="20"/>
          <w:szCs w:val="20"/>
        </w:rPr>
      </w:pPr>
      <w:r>
        <w:rPr>
          <w:rFonts w:hint="eastAsia" w:hAnsi="Cambria Math"/>
          <w:b/>
          <w:bCs/>
          <w:sz w:val="20"/>
          <w:szCs w:val="20"/>
        </w:rPr>
        <w:t xml:space="preserve">8 </w:t>
      </w:r>
      <w:r>
        <w:rPr>
          <w:rFonts w:hint="eastAsia" w:hAnsi="Cambria Math"/>
          <w:bCs/>
          <w:sz w:val="20"/>
          <w:szCs w:val="20"/>
        </w:rPr>
        <w:t>监测项目的累计变形量、变形速率超出控制值；</w:t>
      </w:r>
    </w:p>
    <w:p w14:paraId="0E073A3E">
      <w:pPr>
        <w:snapToGrid w:val="0"/>
        <w:spacing w:line="288" w:lineRule="auto"/>
        <w:ind w:firstLine="300" w:firstLineChars="150"/>
        <w:rPr>
          <w:sz w:val="20"/>
          <w:szCs w:val="20"/>
        </w:rPr>
      </w:pPr>
      <w:r>
        <w:rPr>
          <w:rFonts w:hint="eastAsia" w:hAnsi="Cambria Math"/>
          <w:b/>
          <w:bCs/>
          <w:sz w:val="20"/>
          <w:szCs w:val="20"/>
        </w:rPr>
        <w:t>9</w:t>
      </w:r>
      <w:r>
        <w:rPr>
          <w:rFonts w:hint="eastAsia" w:hAnsi="Cambria Math"/>
          <w:bCs/>
          <w:sz w:val="20"/>
          <w:szCs w:val="20"/>
        </w:rPr>
        <w:t xml:space="preserve"> 其他异常。</w:t>
      </w:r>
    </w:p>
    <w:p w14:paraId="6A5E119B">
      <w:pPr>
        <w:pStyle w:val="3"/>
        <w:snapToGrid w:val="0"/>
        <w:spacing w:before="312" w:beforeLines="100" w:after="0" w:line="288" w:lineRule="auto"/>
        <w:jc w:val="center"/>
        <w:rPr>
          <w:rFonts w:ascii="Times New Roman" w:hAnsi="Times New Roman"/>
          <w:sz w:val="20"/>
          <w:szCs w:val="21"/>
        </w:rPr>
      </w:pPr>
      <w:bookmarkStart w:id="242" w:name="_Toc188798536"/>
      <w:bookmarkStart w:id="243" w:name="_Toc164082918"/>
      <w:bookmarkStart w:id="244" w:name="_Toc185236586"/>
      <w:bookmarkStart w:id="245" w:name="_Toc185235635"/>
      <w:bookmarkStart w:id="246" w:name="_Toc188612065"/>
      <w:r>
        <w:rPr>
          <w:rFonts w:hint="eastAsia" w:ascii="Times New Roman" w:hAnsi="Times New Roman"/>
          <w:sz w:val="20"/>
          <w:szCs w:val="21"/>
        </w:rPr>
        <w:t>5</w:t>
      </w:r>
      <w:r>
        <w:rPr>
          <w:rFonts w:ascii="Times New Roman" w:hAnsi="Times New Roman"/>
          <w:sz w:val="20"/>
          <w:szCs w:val="21"/>
        </w:rPr>
        <w:t>.</w:t>
      </w:r>
      <w:r>
        <w:rPr>
          <w:rFonts w:hint="eastAsia" w:ascii="Times New Roman" w:hAnsi="Times New Roman"/>
          <w:sz w:val="20"/>
          <w:szCs w:val="21"/>
        </w:rPr>
        <w:t>4</w:t>
      </w:r>
      <w:r>
        <w:rPr>
          <w:rFonts w:ascii="Times New Roman" w:hAnsi="Times New Roman"/>
          <w:sz w:val="20"/>
          <w:szCs w:val="21"/>
        </w:rPr>
        <w:t xml:space="preserve"> </w:t>
      </w:r>
      <w:r>
        <w:rPr>
          <w:rFonts w:hint="eastAsia" w:ascii="Times New Roman" w:hAnsi="Times New Roman"/>
          <w:sz w:val="20"/>
          <w:szCs w:val="21"/>
        </w:rPr>
        <w:t xml:space="preserve"> 管节安装</w:t>
      </w:r>
      <w:bookmarkEnd w:id="242"/>
      <w:bookmarkEnd w:id="243"/>
      <w:bookmarkEnd w:id="244"/>
      <w:bookmarkEnd w:id="245"/>
      <w:bookmarkEnd w:id="246"/>
    </w:p>
    <w:p w14:paraId="620B5215">
      <w:pPr>
        <w:snapToGrid w:val="0"/>
        <w:spacing w:line="288" w:lineRule="auto"/>
        <w:outlineLvl w:val="2"/>
        <w:rPr>
          <w:rFonts w:hAnsi="Cambria Math"/>
          <w:b/>
          <w:sz w:val="20"/>
          <w:szCs w:val="20"/>
        </w:rPr>
      </w:pPr>
      <w:r>
        <w:rPr>
          <w:rFonts w:hAnsi="Cambria Math"/>
          <w:b/>
          <w:sz w:val="20"/>
          <w:szCs w:val="20"/>
        </w:rPr>
        <w:t>5.4.</w:t>
      </w:r>
      <w:r>
        <w:rPr>
          <w:rFonts w:hint="eastAsia" w:hAnsi="Cambria Math"/>
          <w:b/>
          <w:sz w:val="20"/>
          <w:szCs w:val="20"/>
        </w:rPr>
        <w:t>1</w:t>
      </w:r>
      <w:r>
        <w:rPr>
          <w:rFonts w:hAnsi="Cambria Math"/>
          <w:b/>
          <w:sz w:val="20"/>
          <w:szCs w:val="20"/>
        </w:rPr>
        <w:t xml:space="preserve">  </w:t>
      </w:r>
      <w:r>
        <w:rPr>
          <w:rFonts w:hint="eastAsia"/>
          <w:sz w:val="20"/>
          <w:szCs w:val="20"/>
        </w:rPr>
        <w:t>管节吊装下放应根据管节重量</w:t>
      </w:r>
      <w:r>
        <w:rPr>
          <w:rFonts w:hint="eastAsia" w:hAnsi="Cambria Math"/>
          <w:sz w:val="20"/>
          <w:szCs w:val="20"/>
        </w:rPr>
        <w:t>、尺寸选用吊装设备。</w:t>
      </w:r>
    </w:p>
    <w:p w14:paraId="036AA58F">
      <w:pPr>
        <w:snapToGrid w:val="0"/>
        <w:spacing w:line="288" w:lineRule="auto"/>
        <w:outlineLvl w:val="2"/>
        <w:rPr>
          <w:rFonts w:hAnsi="Cambria Math"/>
          <w:b/>
          <w:sz w:val="20"/>
          <w:szCs w:val="20"/>
        </w:rPr>
      </w:pPr>
      <w:r>
        <w:rPr>
          <w:rFonts w:hAnsi="Cambria Math"/>
          <w:b/>
          <w:sz w:val="20"/>
          <w:szCs w:val="20"/>
        </w:rPr>
        <w:t>5.4.</w:t>
      </w:r>
      <w:r>
        <w:rPr>
          <w:rFonts w:hint="eastAsia" w:hAnsi="Cambria Math"/>
          <w:b/>
          <w:sz w:val="20"/>
          <w:szCs w:val="20"/>
        </w:rPr>
        <w:t xml:space="preserve">2 </w:t>
      </w:r>
      <w:r>
        <w:rPr>
          <w:rFonts w:hAnsi="Cambria Math"/>
          <w:b/>
          <w:sz w:val="20"/>
          <w:szCs w:val="20"/>
        </w:rPr>
        <w:t xml:space="preserve"> </w:t>
      </w:r>
      <w:r>
        <w:rPr>
          <w:rFonts w:hint="eastAsia"/>
          <w:sz w:val="20"/>
          <w:szCs w:val="20"/>
        </w:rPr>
        <w:t>管节应采用专用吊具进行吊装</w:t>
      </w:r>
      <w:r>
        <w:rPr>
          <w:rFonts w:hint="eastAsia" w:hAnsi="Cambria Math"/>
          <w:sz w:val="20"/>
          <w:szCs w:val="20"/>
        </w:rPr>
        <w:t>，在吊装前应检查吊具销子的固定情况、钢丝绳的完好情况，吊装时插销应完全插入到吊装孔里面。</w:t>
      </w:r>
    </w:p>
    <w:p w14:paraId="7A8BAF6C">
      <w:pPr>
        <w:snapToGrid w:val="0"/>
        <w:spacing w:line="288" w:lineRule="auto"/>
        <w:outlineLvl w:val="2"/>
        <w:rPr>
          <w:rFonts w:hAnsi="Cambria Math"/>
          <w:b/>
          <w:sz w:val="20"/>
          <w:szCs w:val="20"/>
        </w:rPr>
      </w:pPr>
      <w:r>
        <w:rPr>
          <w:rFonts w:hint="eastAsia" w:hAnsi="Cambria Math"/>
          <w:b/>
          <w:sz w:val="20"/>
          <w:szCs w:val="20"/>
        </w:rPr>
        <w:t>5</w:t>
      </w:r>
      <w:r>
        <w:rPr>
          <w:rFonts w:hAnsi="Cambria Math"/>
          <w:b/>
          <w:sz w:val="20"/>
          <w:szCs w:val="20"/>
        </w:rPr>
        <w:t xml:space="preserve">.4.3  </w:t>
      </w:r>
      <w:r>
        <w:rPr>
          <w:rFonts w:hint="eastAsia"/>
          <w:sz w:val="20"/>
          <w:szCs w:val="20"/>
        </w:rPr>
        <w:t>管节安装前</w:t>
      </w:r>
      <w:r>
        <w:rPr>
          <w:rFonts w:hint="eastAsia" w:hAnsi="Cambria Math"/>
          <w:sz w:val="20"/>
          <w:szCs w:val="20"/>
        </w:rPr>
        <w:t>，应检查木衬垫、橡胶密封圈、注浆口单向阀，不应有移位、翻转及脱落。</w:t>
      </w:r>
    </w:p>
    <w:p w14:paraId="249A8A85">
      <w:pPr>
        <w:snapToGrid w:val="0"/>
        <w:spacing w:line="288" w:lineRule="auto"/>
        <w:outlineLvl w:val="2"/>
        <w:rPr>
          <w:rFonts w:hAnsi="Cambria Math"/>
          <w:b/>
          <w:sz w:val="20"/>
          <w:szCs w:val="20"/>
        </w:rPr>
      </w:pPr>
      <w:r>
        <w:rPr>
          <w:rFonts w:hAnsi="Cambria Math"/>
          <w:b/>
          <w:sz w:val="20"/>
          <w:szCs w:val="20"/>
        </w:rPr>
        <w:t>5.4.4</w:t>
      </w:r>
      <w:r>
        <w:rPr>
          <w:rFonts w:hint="eastAsia" w:hAnsi="Cambria Math"/>
          <w:b/>
          <w:sz w:val="20"/>
          <w:szCs w:val="20"/>
        </w:rPr>
        <w:t xml:space="preserve"> </w:t>
      </w:r>
      <w:r>
        <w:rPr>
          <w:rFonts w:hAnsi="Cambria Math"/>
          <w:b/>
          <w:sz w:val="20"/>
          <w:szCs w:val="20"/>
        </w:rPr>
        <w:t xml:space="preserve"> </w:t>
      </w:r>
      <w:r>
        <w:rPr>
          <w:rFonts w:hint="eastAsia"/>
          <w:sz w:val="20"/>
          <w:szCs w:val="20"/>
        </w:rPr>
        <w:t>管节安装前</w:t>
      </w:r>
      <w:r>
        <w:rPr>
          <w:rFonts w:hint="eastAsia" w:hAnsi="Cambria Math"/>
          <w:sz w:val="20"/>
          <w:szCs w:val="20"/>
        </w:rPr>
        <w:t>，应在钢套环与橡胶圈表面涂抹润滑剂，承插时外力应均匀。</w:t>
      </w:r>
    </w:p>
    <w:p w14:paraId="41687CAA">
      <w:pPr>
        <w:snapToGrid w:val="0"/>
        <w:spacing w:line="288" w:lineRule="auto"/>
        <w:outlineLvl w:val="2"/>
        <w:rPr>
          <w:sz w:val="20"/>
          <w:szCs w:val="20"/>
        </w:rPr>
      </w:pPr>
      <w:r>
        <w:rPr>
          <w:rFonts w:hAnsi="Cambria Math"/>
          <w:b/>
          <w:sz w:val="20"/>
          <w:szCs w:val="20"/>
        </w:rPr>
        <w:t>5.4.5</w:t>
      </w:r>
      <w:r>
        <w:rPr>
          <w:rFonts w:hint="eastAsia" w:hAnsi="Cambria Math"/>
          <w:b/>
          <w:sz w:val="20"/>
          <w:szCs w:val="20"/>
        </w:rPr>
        <w:t xml:space="preserve"> </w:t>
      </w:r>
      <w:r>
        <w:rPr>
          <w:rFonts w:hAnsi="Cambria Math"/>
          <w:b/>
          <w:sz w:val="20"/>
          <w:szCs w:val="20"/>
        </w:rPr>
        <w:t xml:space="preserve"> </w:t>
      </w:r>
      <w:r>
        <w:rPr>
          <w:rFonts w:hint="eastAsia"/>
          <w:sz w:val="20"/>
          <w:szCs w:val="20"/>
        </w:rPr>
        <w:t>管节安装时</w:t>
      </w:r>
      <w:r>
        <w:rPr>
          <w:rFonts w:hint="eastAsia" w:hAnsi="Cambria Math"/>
          <w:bCs/>
          <w:sz w:val="20"/>
          <w:szCs w:val="20"/>
        </w:rPr>
        <w:t>，应采用止退装置对已顶进的管节进行临时固定。</w:t>
      </w:r>
    </w:p>
    <w:p w14:paraId="1EE2D8A3">
      <w:pPr>
        <w:pStyle w:val="3"/>
        <w:snapToGrid w:val="0"/>
        <w:spacing w:before="312" w:beforeLines="100" w:after="0" w:line="288" w:lineRule="auto"/>
        <w:jc w:val="center"/>
        <w:rPr>
          <w:rFonts w:ascii="Times New Roman" w:hAnsi="Times New Roman"/>
          <w:sz w:val="20"/>
          <w:szCs w:val="21"/>
        </w:rPr>
      </w:pPr>
      <w:bookmarkStart w:id="247" w:name="_Toc188798537"/>
      <w:bookmarkStart w:id="248" w:name="_Toc170810200"/>
      <w:bookmarkStart w:id="249" w:name="_Toc185235636"/>
      <w:bookmarkStart w:id="250" w:name="_Toc188612066"/>
      <w:bookmarkStart w:id="251" w:name="_Toc185236587"/>
      <w:r>
        <w:rPr>
          <w:rFonts w:ascii="Times New Roman" w:hAnsi="Times New Roman"/>
          <w:sz w:val="20"/>
          <w:szCs w:val="21"/>
        </w:rPr>
        <w:t>5.5  注浆减阻</w:t>
      </w:r>
      <w:bookmarkEnd w:id="247"/>
      <w:bookmarkEnd w:id="248"/>
      <w:bookmarkEnd w:id="249"/>
      <w:bookmarkEnd w:id="250"/>
      <w:bookmarkEnd w:id="251"/>
    </w:p>
    <w:p w14:paraId="08C22E0D">
      <w:pPr>
        <w:snapToGrid w:val="0"/>
        <w:spacing w:line="288" w:lineRule="auto"/>
        <w:outlineLvl w:val="2"/>
        <w:rPr>
          <w:rFonts w:hAnsi="Cambria Math"/>
          <w:bCs/>
          <w:sz w:val="20"/>
          <w:szCs w:val="20"/>
        </w:rPr>
      </w:pPr>
      <w:r>
        <w:rPr>
          <w:rFonts w:hint="eastAsia" w:hAnsi="Cambria Math"/>
          <w:b/>
          <w:sz w:val="20"/>
          <w:szCs w:val="20"/>
        </w:rPr>
        <w:t>5.5.1</w:t>
      </w:r>
      <w:r>
        <w:rPr>
          <w:rFonts w:hAnsi="Cambria Math"/>
          <w:b/>
          <w:sz w:val="20"/>
          <w:szCs w:val="20"/>
        </w:rPr>
        <w:t xml:space="preserve">  </w:t>
      </w:r>
      <w:bookmarkStart w:id="252" w:name="OLE_LINK6"/>
      <w:r>
        <w:rPr>
          <w:rFonts w:hint="eastAsia"/>
          <w:sz w:val="20"/>
          <w:szCs w:val="20"/>
        </w:rPr>
        <w:t>顶进过程中应向管外壁与土体间压注触变泥浆进行减阻</w:t>
      </w:r>
      <w:r>
        <w:rPr>
          <w:rFonts w:hint="eastAsia" w:hAnsi="Cambria Math"/>
          <w:bCs/>
          <w:sz w:val="20"/>
          <w:szCs w:val="20"/>
        </w:rPr>
        <w:t>，</w:t>
      </w:r>
      <w:bookmarkEnd w:id="252"/>
      <w:r>
        <w:rPr>
          <w:rFonts w:hint="eastAsia" w:hAnsi="Cambria Math"/>
          <w:bCs/>
          <w:sz w:val="20"/>
          <w:szCs w:val="20"/>
        </w:rPr>
        <w:t>注浆减阻应符合下列要求：</w:t>
      </w:r>
    </w:p>
    <w:p w14:paraId="081C38B9">
      <w:pPr>
        <w:snapToGrid w:val="0"/>
        <w:spacing w:line="288" w:lineRule="auto"/>
        <w:ind w:firstLine="300" w:firstLineChars="150"/>
        <w:rPr>
          <w:rFonts w:hAnsi="Cambria Math"/>
          <w:sz w:val="20"/>
          <w:szCs w:val="20"/>
        </w:rPr>
      </w:pPr>
      <w:r>
        <w:rPr>
          <w:rFonts w:hint="eastAsia" w:hAnsi="Cambria Math"/>
          <w:b/>
          <w:bCs/>
          <w:sz w:val="20"/>
          <w:szCs w:val="20"/>
        </w:rPr>
        <w:t>1</w:t>
      </w:r>
      <w:r>
        <w:rPr>
          <w:rFonts w:hAnsi="Cambria Math"/>
          <w:b/>
          <w:bCs/>
          <w:sz w:val="20"/>
          <w:szCs w:val="20"/>
        </w:rPr>
        <w:t xml:space="preserve"> </w:t>
      </w:r>
      <w:r>
        <w:rPr>
          <w:rFonts w:hint="eastAsia" w:hAnsi="Cambria Math"/>
          <w:bCs/>
          <w:sz w:val="20"/>
          <w:szCs w:val="20"/>
        </w:rPr>
        <w:t>管节壁</w:t>
      </w:r>
      <w:r>
        <w:rPr>
          <w:rFonts w:hint="eastAsia" w:hAnsi="Cambria Math"/>
          <w:sz w:val="20"/>
          <w:szCs w:val="20"/>
        </w:rPr>
        <w:t>应设压浆孔压入泥浆，保证顶进时管外壁和土体之间的间隙能形成稳定、连续的泥浆套；</w:t>
      </w:r>
    </w:p>
    <w:p w14:paraId="71EB5212">
      <w:pPr>
        <w:snapToGrid w:val="0"/>
        <w:spacing w:line="288" w:lineRule="auto"/>
        <w:ind w:firstLine="300" w:firstLineChars="150"/>
        <w:rPr>
          <w:rFonts w:hAnsi="Cambria Math"/>
          <w:bCs/>
          <w:sz w:val="20"/>
          <w:szCs w:val="20"/>
        </w:rPr>
      </w:pPr>
      <w:r>
        <w:rPr>
          <w:rFonts w:hint="eastAsia" w:hAnsi="Cambria Math"/>
          <w:b/>
          <w:bCs/>
          <w:sz w:val="20"/>
          <w:szCs w:val="20"/>
        </w:rPr>
        <w:t xml:space="preserve">2 </w:t>
      </w:r>
      <w:r>
        <w:rPr>
          <w:rFonts w:hint="eastAsia" w:hAnsi="Cambria Math"/>
          <w:bCs/>
          <w:sz w:val="20"/>
          <w:szCs w:val="20"/>
        </w:rPr>
        <w:t>注浆应遵循“同步注浆与补浆相结合”和“先压后顶、随顶随压、及时补浆”的原则；</w:t>
      </w:r>
    </w:p>
    <w:p w14:paraId="7881E5B3">
      <w:pPr>
        <w:snapToGrid w:val="0"/>
        <w:spacing w:line="288" w:lineRule="auto"/>
        <w:ind w:firstLine="300" w:firstLineChars="150"/>
        <w:rPr>
          <w:rFonts w:hAnsi="Cambria Math"/>
          <w:bCs/>
          <w:sz w:val="20"/>
          <w:szCs w:val="20"/>
        </w:rPr>
      </w:pPr>
      <w:r>
        <w:rPr>
          <w:rFonts w:hint="eastAsia" w:hAnsi="Cambria Math"/>
          <w:b/>
          <w:bCs/>
          <w:sz w:val="20"/>
          <w:szCs w:val="20"/>
        </w:rPr>
        <w:t xml:space="preserve">3 </w:t>
      </w:r>
      <w:r>
        <w:rPr>
          <w:rFonts w:hint="eastAsia" w:hAnsi="Cambria Math"/>
          <w:sz w:val="20"/>
          <w:szCs w:val="20"/>
        </w:rPr>
        <w:t>顶管的注浆与补浆应分别设独立的注浆系统，</w:t>
      </w:r>
      <w:r>
        <w:rPr>
          <w:rFonts w:hint="eastAsia" w:hAnsi="Cambria Math"/>
          <w:bCs/>
          <w:sz w:val="20"/>
          <w:szCs w:val="20"/>
        </w:rPr>
        <w:t>注浆宜采用低压力、大流量，补浆宜采用高压力、小流量的注浆方式。</w:t>
      </w:r>
    </w:p>
    <w:p w14:paraId="46E0857F">
      <w:pPr>
        <w:snapToGrid w:val="0"/>
        <w:spacing w:line="288" w:lineRule="auto"/>
        <w:outlineLvl w:val="2"/>
        <w:rPr>
          <w:rFonts w:hAnsi="Cambria Math"/>
          <w:bCs/>
          <w:sz w:val="20"/>
          <w:szCs w:val="20"/>
        </w:rPr>
      </w:pPr>
      <w:r>
        <w:rPr>
          <w:rFonts w:hint="eastAsia" w:hAnsi="Cambria Math"/>
          <w:b/>
          <w:bCs/>
          <w:sz w:val="20"/>
          <w:szCs w:val="20"/>
        </w:rPr>
        <w:t>5.5.</w:t>
      </w:r>
      <w:r>
        <w:rPr>
          <w:rFonts w:hAnsi="Cambria Math"/>
          <w:b/>
          <w:bCs/>
          <w:sz w:val="20"/>
          <w:szCs w:val="20"/>
        </w:rPr>
        <w:t>2</w:t>
      </w:r>
      <w:r>
        <w:rPr>
          <w:rFonts w:hint="eastAsia" w:hAnsi="Cambria Math"/>
          <w:b/>
          <w:bCs/>
          <w:sz w:val="20"/>
          <w:szCs w:val="20"/>
        </w:rPr>
        <w:t xml:space="preserve"> </w:t>
      </w:r>
      <w:r>
        <w:rPr>
          <w:rFonts w:hAnsi="Cambria Math"/>
          <w:b/>
          <w:bCs/>
          <w:sz w:val="20"/>
          <w:szCs w:val="20"/>
        </w:rPr>
        <w:t xml:space="preserve"> </w:t>
      </w:r>
      <w:r>
        <w:rPr>
          <w:rFonts w:hint="eastAsia"/>
          <w:sz w:val="20"/>
          <w:szCs w:val="20"/>
        </w:rPr>
        <w:t>触变泥浆宜采用钠基或钠化膨润土</w:t>
      </w:r>
      <w:r>
        <w:rPr>
          <w:rFonts w:hint="eastAsia" w:hAnsi="Cambria Math"/>
          <w:bCs/>
          <w:sz w:val="20"/>
          <w:szCs w:val="20"/>
        </w:rPr>
        <w:t>，配合比应根据顶管周围土层的特性、地下水条件、触变泥浆的技术指标确定，参考表 5.</w:t>
      </w:r>
      <w:r>
        <w:rPr>
          <w:rFonts w:hAnsi="Cambria Math"/>
          <w:bCs/>
          <w:sz w:val="20"/>
          <w:szCs w:val="20"/>
        </w:rPr>
        <w:t>5</w:t>
      </w:r>
      <w:r>
        <w:rPr>
          <w:rFonts w:hint="eastAsia" w:hAnsi="Cambria Math"/>
          <w:bCs/>
          <w:sz w:val="20"/>
          <w:szCs w:val="20"/>
        </w:rPr>
        <w:t>.</w:t>
      </w:r>
      <w:r>
        <w:rPr>
          <w:rFonts w:hAnsi="Cambria Math"/>
          <w:bCs/>
          <w:sz w:val="20"/>
          <w:szCs w:val="20"/>
        </w:rPr>
        <w:t>2</w:t>
      </w:r>
      <w:r>
        <w:rPr>
          <w:rFonts w:hint="eastAsia" w:hAnsi="Cambria Math"/>
          <w:bCs/>
          <w:sz w:val="20"/>
          <w:szCs w:val="20"/>
        </w:rPr>
        <w:t>。</w:t>
      </w:r>
    </w:p>
    <w:p w14:paraId="29E0116B">
      <w:pPr>
        <w:snapToGrid w:val="0"/>
        <w:spacing w:line="288" w:lineRule="auto"/>
        <w:jc w:val="center"/>
        <w:rPr>
          <w:rFonts w:ascii="黑体" w:hAnsi="黑体" w:eastAsia="黑体"/>
          <w:bCs/>
          <w:sz w:val="18"/>
          <w:szCs w:val="18"/>
        </w:rPr>
      </w:pPr>
      <w:r>
        <w:rPr>
          <w:rFonts w:hint="eastAsia" w:ascii="黑体" w:hAnsi="黑体" w:eastAsia="黑体"/>
          <w:bCs/>
          <w:sz w:val="18"/>
          <w:szCs w:val="18"/>
        </w:rPr>
        <w:t>表</w:t>
      </w:r>
      <w:r>
        <w:rPr>
          <w:rFonts w:eastAsia="黑体"/>
          <w:bCs/>
          <w:sz w:val="18"/>
          <w:szCs w:val="18"/>
        </w:rPr>
        <w:t>5.5.2</w:t>
      </w:r>
      <w:r>
        <w:rPr>
          <w:rFonts w:ascii="黑体" w:hAnsi="黑体" w:eastAsia="黑体"/>
          <w:bCs/>
          <w:sz w:val="18"/>
          <w:szCs w:val="18"/>
        </w:rPr>
        <w:t xml:space="preserve"> </w:t>
      </w:r>
      <w:r>
        <w:rPr>
          <w:rFonts w:hint="eastAsia" w:ascii="黑体" w:hAnsi="黑体" w:eastAsia="黑体"/>
          <w:bCs/>
          <w:sz w:val="18"/>
          <w:szCs w:val="18"/>
        </w:rPr>
        <w:t xml:space="preserve"> 触变泥浆性能指标</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306"/>
        <w:gridCol w:w="1360"/>
        <w:gridCol w:w="1724"/>
        <w:gridCol w:w="3075"/>
      </w:tblGrid>
      <w:tr w14:paraId="0D45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9" w:type="dxa"/>
            <w:vAlign w:val="center"/>
          </w:tcPr>
          <w:p w14:paraId="777B38C9">
            <w:pPr>
              <w:adjustRightInd w:val="0"/>
              <w:snapToGrid w:val="0"/>
              <w:jc w:val="center"/>
              <w:rPr>
                <w:bCs/>
                <w:sz w:val="15"/>
                <w:szCs w:val="15"/>
              </w:rPr>
            </w:pPr>
            <w:r>
              <w:rPr>
                <w:rFonts w:hint="eastAsia"/>
                <w:bCs/>
                <w:sz w:val="15"/>
                <w:szCs w:val="15"/>
              </w:rPr>
              <w:t>序号</w:t>
            </w:r>
          </w:p>
        </w:tc>
        <w:tc>
          <w:tcPr>
            <w:tcW w:w="1306" w:type="dxa"/>
            <w:vAlign w:val="center"/>
          </w:tcPr>
          <w:p w14:paraId="228B5275">
            <w:pPr>
              <w:adjustRightInd w:val="0"/>
              <w:snapToGrid w:val="0"/>
              <w:jc w:val="center"/>
              <w:rPr>
                <w:bCs/>
                <w:sz w:val="15"/>
                <w:szCs w:val="15"/>
              </w:rPr>
            </w:pPr>
            <w:r>
              <w:rPr>
                <w:bCs/>
                <w:sz w:val="15"/>
                <w:szCs w:val="15"/>
              </w:rPr>
              <w:t>指标</w:t>
            </w:r>
          </w:p>
        </w:tc>
        <w:tc>
          <w:tcPr>
            <w:tcW w:w="1360" w:type="dxa"/>
            <w:vAlign w:val="center"/>
          </w:tcPr>
          <w:p w14:paraId="5F36F7DC">
            <w:pPr>
              <w:adjustRightInd w:val="0"/>
              <w:snapToGrid w:val="0"/>
              <w:jc w:val="center"/>
              <w:rPr>
                <w:bCs/>
                <w:sz w:val="15"/>
                <w:szCs w:val="15"/>
              </w:rPr>
            </w:pPr>
            <w:r>
              <w:rPr>
                <w:bCs/>
                <w:sz w:val="15"/>
                <w:szCs w:val="15"/>
              </w:rPr>
              <w:t>单位</w:t>
            </w:r>
          </w:p>
        </w:tc>
        <w:tc>
          <w:tcPr>
            <w:tcW w:w="1724" w:type="dxa"/>
            <w:vAlign w:val="center"/>
          </w:tcPr>
          <w:p w14:paraId="2CDF5D56">
            <w:pPr>
              <w:adjustRightInd w:val="0"/>
              <w:snapToGrid w:val="0"/>
              <w:jc w:val="center"/>
              <w:rPr>
                <w:bCs/>
                <w:sz w:val="15"/>
                <w:szCs w:val="15"/>
              </w:rPr>
            </w:pPr>
            <w:r>
              <w:rPr>
                <w:bCs/>
                <w:sz w:val="15"/>
                <w:szCs w:val="15"/>
              </w:rPr>
              <w:t>计数器</w:t>
            </w:r>
          </w:p>
        </w:tc>
        <w:tc>
          <w:tcPr>
            <w:tcW w:w="3075" w:type="dxa"/>
            <w:vAlign w:val="center"/>
          </w:tcPr>
          <w:p w14:paraId="1C0F708A">
            <w:pPr>
              <w:adjustRightInd w:val="0"/>
              <w:snapToGrid w:val="0"/>
              <w:jc w:val="center"/>
              <w:rPr>
                <w:bCs/>
                <w:sz w:val="15"/>
                <w:szCs w:val="15"/>
              </w:rPr>
            </w:pPr>
            <w:r>
              <w:rPr>
                <w:bCs/>
                <w:sz w:val="15"/>
                <w:szCs w:val="15"/>
              </w:rPr>
              <w:t>测试方法</w:t>
            </w:r>
          </w:p>
        </w:tc>
      </w:tr>
      <w:tr w14:paraId="0A63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9" w:type="dxa"/>
            <w:tcBorders>
              <w:bottom w:val="single" w:color="auto" w:sz="4" w:space="0"/>
            </w:tcBorders>
            <w:vAlign w:val="center"/>
          </w:tcPr>
          <w:p w14:paraId="323A855E">
            <w:pPr>
              <w:adjustRightInd w:val="0"/>
              <w:snapToGrid w:val="0"/>
              <w:jc w:val="center"/>
              <w:rPr>
                <w:bCs/>
                <w:sz w:val="15"/>
                <w:szCs w:val="15"/>
              </w:rPr>
            </w:pPr>
            <w:r>
              <w:rPr>
                <w:rFonts w:hint="eastAsia"/>
                <w:bCs/>
                <w:sz w:val="15"/>
                <w:szCs w:val="15"/>
              </w:rPr>
              <w:t>1</w:t>
            </w:r>
          </w:p>
        </w:tc>
        <w:tc>
          <w:tcPr>
            <w:tcW w:w="1306" w:type="dxa"/>
            <w:tcBorders>
              <w:bottom w:val="single" w:color="auto" w:sz="4" w:space="0"/>
            </w:tcBorders>
            <w:vAlign w:val="center"/>
          </w:tcPr>
          <w:p w14:paraId="3ADD79F9">
            <w:pPr>
              <w:adjustRightInd w:val="0"/>
              <w:snapToGrid w:val="0"/>
              <w:jc w:val="center"/>
              <w:rPr>
                <w:bCs/>
                <w:sz w:val="15"/>
                <w:szCs w:val="15"/>
              </w:rPr>
            </w:pPr>
            <w:r>
              <w:rPr>
                <w:bCs/>
                <w:sz w:val="15"/>
                <w:szCs w:val="15"/>
              </w:rPr>
              <w:t>动力粘度</w:t>
            </w:r>
          </w:p>
        </w:tc>
        <w:tc>
          <w:tcPr>
            <w:tcW w:w="1360" w:type="dxa"/>
            <w:tcBorders>
              <w:bottom w:val="single" w:color="auto" w:sz="4" w:space="0"/>
            </w:tcBorders>
            <w:vAlign w:val="center"/>
          </w:tcPr>
          <w:p w14:paraId="242E2B72">
            <w:pPr>
              <w:adjustRightInd w:val="0"/>
              <w:snapToGrid w:val="0"/>
              <w:jc w:val="center"/>
              <w:rPr>
                <w:bCs/>
                <w:sz w:val="15"/>
                <w:szCs w:val="15"/>
              </w:rPr>
            </w:pPr>
            <w:r>
              <w:rPr>
                <w:bCs/>
                <w:sz w:val="15"/>
                <w:szCs w:val="15"/>
              </w:rPr>
              <w:t>Pa·s</w:t>
            </w:r>
          </w:p>
        </w:tc>
        <w:tc>
          <w:tcPr>
            <w:tcW w:w="1724" w:type="dxa"/>
            <w:tcBorders>
              <w:bottom w:val="single" w:color="auto" w:sz="4" w:space="0"/>
            </w:tcBorders>
            <w:vAlign w:val="center"/>
          </w:tcPr>
          <w:p w14:paraId="0F8CB50A">
            <w:pPr>
              <w:adjustRightInd w:val="0"/>
              <w:snapToGrid w:val="0"/>
              <w:jc w:val="center"/>
              <w:rPr>
                <w:bCs/>
                <w:sz w:val="15"/>
                <w:szCs w:val="15"/>
              </w:rPr>
            </w:pPr>
            <w:r>
              <w:rPr>
                <w:bCs/>
                <w:sz w:val="15"/>
                <w:szCs w:val="15"/>
              </w:rPr>
              <w:t>＞30</w:t>
            </w:r>
          </w:p>
        </w:tc>
        <w:tc>
          <w:tcPr>
            <w:tcW w:w="3075" w:type="dxa"/>
            <w:tcBorders>
              <w:bottom w:val="single" w:color="auto" w:sz="4" w:space="0"/>
            </w:tcBorders>
            <w:vAlign w:val="center"/>
          </w:tcPr>
          <w:p w14:paraId="474CBAF9">
            <w:pPr>
              <w:adjustRightInd w:val="0"/>
              <w:snapToGrid w:val="0"/>
              <w:jc w:val="left"/>
              <w:rPr>
                <w:bCs/>
                <w:sz w:val="15"/>
                <w:szCs w:val="15"/>
              </w:rPr>
            </w:pPr>
            <w:r>
              <w:rPr>
                <w:bCs/>
                <w:sz w:val="15"/>
                <w:szCs w:val="15"/>
              </w:rPr>
              <w:t>旋转式黏度计测定</w:t>
            </w:r>
          </w:p>
        </w:tc>
      </w:tr>
      <w:tr w14:paraId="12A2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79" w:type="dxa"/>
            <w:tcBorders>
              <w:left w:val="nil"/>
              <w:bottom w:val="nil"/>
              <w:right w:val="nil"/>
            </w:tcBorders>
            <w:vAlign w:val="center"/>
          </w:tcPr>
          <w:p w14:paraId="2D1A6B0B">
            <w:pPr>
              <w:adjustRightInd w:val="0"/>
              <w:snapToGrid w:val="0"/>
              <w:jc w:val="center"/>
              <w:rPr>
                <w:rFonts w:hint="eastAsia"/>
                <w:bCs/>
                <w:sz w:val="15"/>
                <w:szCs w:val="15"/>
              </w:rPr>
            </w:pPr>
          </w:p>
        </w:tc>
        <w:tc>
          <w:tcPr>
            <w:tcW w:w="1306" w:type="dxa"/>
            <w:tcBorders>
              <w:left w:val="nil"/>
              <w:bottom w:val="nil"/>
              <w:right w:val="nil"/>
            </w:tcBorders>
            <w:vAlign w:val="center"/>
          </w:tcPr>
          <w:p w14:paraId="7169FCC9">
            <w:pPr>
              <w:adjustRightInd w:val="0"/>
              <w:snapToGrid w:val="0"/>
              <w:jc w:val="center"/>
              <w:rPr>
                <w:bCs/>
                <w:sz w:val="15"/>
                <w:szCs w:val="15"/>
              </w:rPr>
            </w:pPr>
          </w:p>
        </w:tc>
        <w:tc>
          <w:tcPr>
            <w:tcW w:w="1360" w:type="dxa"/>
            <w:tcBorders>
              <w:left w:val="nil"/>
              <w:bottom w:val="nil"/>
              <w:right w:val="nil"/>
            </w:tcBorders>
            <w:vAlign w:val="center"/>
          </w:tcPr>
          <w:p w14:paraId="262FAB3B">
            <w:pPr>
              <w:adjustRightInd w:val="0"/>
              <w:snapToGrid w:val="0"/>
              <w:jc w:val="center"/>
              <w:rPr>
                <w:bCs/>
                <w:sz w:val="15"/>
                <w:szCs w:val="15"/>
              </w:rPr>
            </w:pPr>
          </w:p>
        </w:tc>
        <w:tc>
          <w:tcPr>
            <w:tcW w:w="1724" w:type="dxa"/>
            <w:tcBorders>
              <w:left w:val="nil"/>
              <w:bottom w:val="nil"/>
              <w:right w:val="nil"/>
            </w:tcBorders>
            <w:vAlign w:val="center"/>
          </w:tcPr>
          <w:p w14:paraId="482B8D09">
            <w:pPr>
              <w:adjustRightInd w:val="0"/>
              <w:snapToGrid w:val="0"/>
              <w:jc w:val="center"/>
              <w:rPr>
                <w:bCs/>
                <w:sz w:val="15"/>
                <w:szCs w:val="15"/>
              </w:rPr>
            </w:pPr>
          </w:p>
        </w:tc>
        <w:tc>
          <w:tcPr>
            <w:tcW w:w="3075" w:type="dxa"/>
            <w:tcBorders>
              <w:left w:val="nil"/>
              <w:bottom w:val="nil"/>
              <w:right w:val="nil"/>
            </w:tcBorders>
            <w:vAlign w:val="center"/>
          </w:tcPr>
          <w:p w14:paraId="4323FC37">
            <w:pPr>
              <w:adjustRightInd w:val="0"/>
              <w:snapToGrid w:val="0"/>
              <w:jc w:val="left"/>
              <w:rPr>
                <w:bCs/>
                <w:sz w:val="15"/>
                <w:szCs w:val="15"/>
              </w:rPr>
            </w:pPr>
          </w:p>
        </w:tc>
      </w:tr>
      <w:tr w14:paraId="0D59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44" w:type="dxa"/>
            <w:gridSpan w:val="5"/>
            <w:tcBorders>
              <w:top w:val="nil"/>
              <w:left w:val="nil"/>
              <w:right w:val="nil"/>
            </w:tcBorders>
            <w:vAlign w:val="center"/>
          </w:tcPr>
          <w:p w14:paraId="0CCC656C">
            <w:pPr>
              <w:adjustRightInd w:val="0"/>
              <w:snapToGrid w:val="0"/>
              <w:jc w:val="center"/>
              <w:rPr>
                <w:bCs/>
                <w:sz w:val="15"/>
                <w:szCs w:val="15"/>
              </w:rPr>
            </w:pPr>
            <w:r>
              <w:rPr>
                <w:rFonts w:hint="eastAsia"/>
                <w:bCs/>
                <w:sz w:val="15"/>
                <w:szCs w:val="15"/>
              </w:rPr>
              <w:t>续表5.5.2</w:t>
            </w:r>
          </w:p>
        </w:tc>
      </w:tr>
      <w:tr w14:paraId="3976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9" w:type="dxa"/>
            <w:vAlign w:val="center"/>
          </w:tcPr>
          <w:p w14:paraId="55C71F54">
            <w:pPr>
              <w:adjustRightInd w:val="0"/>
              <w:snapToGrid w:val="0"/>
              <w:jc w:val="center"/>
              <w:rPr>
                <w:bCs/>
                <w:sz w:val="15"/>
                <w:szCs w:val="15"/>
              </w:rPr>
            </w:pPr>
            <w:r>
              <w:rPr>
                <w:rFonts w:hint="eastAsia"/>
                <w:bCs/>
                <w:sz w:val="15"/>
                <w:szCs w:val="15"/>
              </w:rPr>
              <w:t>序号</w:t>
            </w:r>
          </w:p>
        </w:tc>
        <w:tc>
          <w:tcPr>
            <w:tcW w:w="1306" w:type="dxa"/>
            <w:vAlign w:val="center"/>
          </w:tcPr>
          <w:p w14:paraId="539BD024">
            <w:pPr>
              <w:adjustRightInd w:val="0"/>
              <w:snapToGrid w:val="0"/>
              <w:jc w:val="center"/>
              <w:rPr>
                <w:bCs/>
                <w:sz w:val="15"/>
                <w:szCs w:val="15"/>
              </w:rPr>
            </w:pPr>
            <w:r>
              <w:rPr>
                <w:bCs/>
                <w:sz w:val="15"/>
                <w:szCs w:val="15"/>
              </w:rPr>
              <w:t>指标</w:t>
            </w:r>
          </w:p>
        </w:tc>
        <w:tc>
          <w:tcPr>
            <w:tcW w:w="1360" w:type="dxa"/>
            <w:vAlign w:val="center"/>
          </w:tcPr>
          <w:p w14:paraId="169D5E29">
            <w:pPr>
              <w:adjustRightInd w:val="0"/>
              <w:snapToGrid w:val="0"/>
              <w:jc w:val="center"/>
              <w:rPr>
                <w:bCs/>
                <w:sz w:val="15"/>
                <w:szCs w:val="15"/>
              </w:rPr>
            </w:pPr>
            <w:r>
              <w:rPr>
                <w:bCs/>
                <w:sz w:val="15"/>
                <w:szCs w:val="15"/>
              </w:rPr>
              <w:t>单位</w:t>
            </w:r>
          </w:p>
        </w:tc>
        <w:tc>
          <w:tcPr>
            <w:tcW w:w="1724" w:type="dxa"/>
            <w:vAlign w:val="center"/>
          </w:tcPr>
          <w:p w14:paraId="1CE2368A">
            <w:pPr>
              <w:adjustRightInd w:val="0"/>
              <w:snapToGrid w:val="0"/>
              <w:jc w:val="center"/>
              <w:rPr>
                <w:bCs/>
                <w:sz w:val="15"/>
                <w:szCs w:val="15"/>
              </w:rPr>
            </w:pPr>
            <w:r>
              <w:rPr>
                <w:bCs/>
                <w:sz w:val="15"/>
                <w:szCs w:val="15"/>
              </w:rPr>
              <w:t>计数器</w:t>
            </w:r>
          </w:p>
        </w:tc>
        <w:tc>
          <w:tcPr>
            <w:tcW w:w="3075" w:type="dxa"/>
            <w:vAlign w:val="center"/>
          </w:tcPr>
          <w:p w14:paraId="304CA2A2">
            <w:pPr>
              <w:adjustRightInd w:val="0"/>
              <w:snapToGrid w:val="0"/>
              <w:jc w:val="center"/>
              <w:rPr>
                <w:bCs/>
                <w:sz w:val="15"/>
                <w:szCs w:val="15"/>
              </w:rPr>
            </w:pPr>
            <w:r>
              <w:rPr>
                <w:bCs/>
                <w:sz w:val="15"/>
                <w:szCs w:val="15"/>
              </w:rPr>
              <w:t>测试方法</w:t>
            </w:r>
          </w:p>
        </w:tc>
      </w:tr>
      <w:tr w14:paraId="6BE5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9" w:type="dxa"/>
            <w:vAlign w:val="center"/>
          </w:tcPr>
          <w:p w14:paraId="542CF66B">
            <w:pPr>
              <w:adjustRightInd w:val="0"/>
              <w:snapToGrid w:val="0"/>
              <w:jc w:val="center"/>
              <w:rPr>
                <w:bCs/>
                <w:sz w:val="15"/>
                <w:szCs w:val="15"/>
              </w:rPr>
            </w:pPr>
            <w:r>
              <w:rPr>
                <w:rFonts w:hint="eastAsia"/>
                <w:bCs/>
                <w:sz w:val="15"/>
                <w:szCs w:val="15"/>
              </w:rPr>
              <w:t>2</w:t>
            </w:r>
          </w:p>
        </w:tc>
        <w:tc>
          <w:tcPr>
            <w:tcW w:w="1306" w:type="dxa"/>
            <w:vAlign w:val="center"/>
          </w:tcPr>
          <w:p w14:paraId="5368ADFF">
            <w:pPr>
              <w:adjustRightInd w:val="0"/>
              <w:snapToGrid w:val="0"/>
              <w:jc w:val="center"/>
              <w:rPr>
                <w:bCs/>
                <w:sz w:val="15"/>
                <w:szCs w:val="15"/>
              </w:rPr>
            </w:pPr>
            <w:r>
              <w:rPr>
                <w:bCs/>
                <w:sz w:val="15"/>
                <w:szCs w:val="15"/>
              </w:rPr>
              <w:t>滤失量</w:t>
            </w:r>
          </w:p>
        </w:tc>
        <w:tc>
          <w:tcPr>
            <w:tcW w:w="1360" w:type="dxa"/>
            <w:vAlign w:val="center"/>
          </w:tcPr>
          <w:p w14:paraId="054C2128">
            <w:pPr>
              <w:adjustRightInd w:val="0"/>
              <w:snapToGrid w:val="0"/>
              <w:jc w:val="center"/>
              <w:rPr>
                <w:bCs/>
                <w:sz w:val="15"/>
                <w:szCs w:val="15"/>
              </w:rPr>
            </w:pPr>
            <w:r>
              <w:rPr>
                <w:bCs/>
                <w:sz w:val="15"/>
                <w:szCs w:val="15"/>
              </w:rPr>
              <w:t>cm</w:t>
            </w:r>
            <w:r>
              <w:rPr>
                <w:bCs/>
                <w:sz w:val="15"/>
                <w:szCs w:val="15"/>
                <w:vertAlign w:val="superscript"/>
              </w:rPr>
              <w:t>3</w:t>
            </w:r>
            <w:r>
              <w:rPr>
                <w:bCs/>
                <w:sz w:val="15"/>
                <w:szCs w:val="15"/>
              </w:rPr>
              <w:t>/30min</w:t>
            </w:r>
          </w:p>
        </w:tc>
        <w:tc>
          <w:tcPr>
            <w:tcW w:w="1724" w:type="dxa"/>
            <w:vAlign w:val="center"/>
          </w:tcPr>
          <w:p w14:paraId="7F50C725">
            <w:pPr>
              <w:adjustRightInd w:val="0"/>
              <w:snapToGrid w:val="0"/>
              <w:jc w:val="center"/>
              <w:rPr>
                <w:bCs/>
                <w:sz w:val="15"/>
                <w:szCs w:val="15"/>
              </w:rPr>
            </w:pPr>
            <w:r>
              <w:rPr>
                <w:bCs/>
                <w:sz w:val="15"/>
                <w:szCs w:val="15"/>
              </w:rPr>
              <w:t>＜25</w:t>
            </w:r>
          </w:p>
        </w:tc>
        <w:tc>
          <w:tcPr>
            <w:tcW w:w="3075" w:type="dxa"/>
            <w:vAlign w:val="center"/>
          </w:tcPr>
          <w:p w14:paraId="1E678E71">
            <w:pPr>
              <w:adjustRightInd w:val="0"/>
              <w:snapToGrid w:val="0"/>
              <w:jc w:val="left"/>
              <w:rPr>
                <w:bCs/>
                <w:sz w:val="15"/>
                <w:szCs w:val="15"/>
              </w:rPr>
            </w:pPr>
            <w:r>
              <w:rPr>
                <w:bCs/>
                <w:sz w:val="15"/>
                <w:szCs w:val="15"/>
              </w:rPr>
              <w:t>滤失量测定仪测定</w:t>
            </w:r>
          </w:p>
        </w:tc>
      </w:tr>
      <w:tr w14:paraId="5C86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9" w:type="dxa"/>
            <w:vAlign w:val="center"/>
          </w:tcPr>
          <w:p w14:paraId="206804AF">
            <w:pPr>
              <w:adjustRightInd w:val="0"/>
              <w:snapToGrid w:val="0"/>
              <w:jc w:val="center"/>
              <w:rPr>
                <w:bCs/>
                <w:sz w:val="15"/>
                <w:szCs w:val="15"/>
              </w:rPr>
            </w:pPr>
            <w:r>
              <w:rPr>
                <w:rFonts w:hint="eastAsia"/>
                <w:bCs/>
                <w:sz w:val="15"/>
                <w:szCs w:val="15"/>
              </w:rPr>
              <w:t>3</w:t>
            </w:r>
          </w:p>
        </w:tc>
        <w:tc>
          <w:tcPr>
            <w:tcW w:w="1306" w:type="dxa"/>
            <w:vAlign w:val="center"/>
          </w:tcPr>
          <w:p w14:paraId="58DC8FB4">
            <w:pPr>
              <w:adjustRightInd w:val="0"/>
              <w:snapToGrid w:val="0"/>
              <w:jc w:val="center"/>
              <w:rPr>
                <w:bCs/>
                <w:sz w:val="15"/>
                <w:szCs w:val="15"/>
              </w:rPr>
            </w:pPr>
            <w:r>
              <w:rPr>
                <w:bCs/>
                <w:sz w:val="15"/>
                <w:szCs w:val="15"/>
              </w:rPr>
              <w:t>比重</w:t>
            </w:r>
          </w:p>
        </w:tc>
        <w:tc>
          <w:tcPr>
            <w:tcW w:w="1360" w:type="dxa"/>
            <w:vAlign w:val="center"/>
          </w:tcPr>
          <w:p w14:paraId="59D6F5A5">
            <w:pPr>
              <w:adjustRightInd w:val="0"/>
              <w:snapToGrid w:val="0"/>
              <w:jc w:val="center"/>
              <w:rPr>
                <w:bCs/>
                <w:sz w:val="15"/>
                <w:szCs w:val="15"/>
              </w:rPr>
            </w:pPr>
            <w:r>
              <w:rPr>
                <w:bCs/>
                <w:sz w:val="15"/>
                <w:szCs w:val="15"/>
              </w:rPr>
              <w:t>g/cm</w:t>
            </w:r>
            <w:r>
              <w:rPr>
                <w:bCs/>
                <w:sz w:val="15"/>
                <w:szCs w:val="15"/>
                <w:vertAlign w:val="superscript"/>
              </w:rPr>
              <w:t>3</w:t>
            </w:r>
          </w:p>
        </w:tc>
        <w:tc>
          <w:tcPr>
            <w:tcW w:w="1724" w:type="dxa"/>
            <w:vAlign w:val="center"/>
          </w:tcPr>
          <w:p w14:paraId="753EC4D7">
            <w:pPr>
              <w:adjustRightInd w:val="0"/>
              <w:snapToGrid w:val="0"/>
              <w:jc w:val="center"/>
              <w:rPr>
                <w:bCs/>
                <w:sz w:val="15"/>
                <w:szCs w:val="15"/>
              </w:rPr>
            </w:pPr>
            <w:r>
              <w:rPr>
                <w:bCs/>
                <w:sz w:val="15"/>
                <w:szCs w:val="15"/>
              </w:rPr>
              <w:t>1.1</w:t>
            </w:r>
            <w:r>
              <w:rPr>
                <w:rFonts w:hint="eastAsia"/>
                <w:sz w:val="15"/>
                <w:szCs w:val="15"/>
              </w:rPr>
              <w:t>～</w:t>
            </w:r>
            <w:r>
              <w:rPr>
                <w:bCs/>
                <w:sz w:val="15"/>
                <w:szCs w:val="15"/>
              </w:rPr>
              <w:t>1.15</w:t>
            </w:r>
          </w:p>
        </w:tc>
        <w:tc>
          <w:tcPr>
            <w:tcW w:w="3075" w:type="dxa"/>
            <w:vAlign w:val="center"/>
          </w:tcPr>
          <w:p w14:paraId="52D2023E">
            <w:pPr>
              <w:adjustRightInd w:val="0"/>
              <w:snapToGrid w:val="0"/>
              <w:jc w:val="left"/>
              <w:rPr>
                <w:bCs/>
                <w:sz w:val="15"/>
                <w:szCs w:val="15"/>
              </w:rPr>
            </w:pPr>
            <w:r>
              <w:rPr>
                <w:bCs/>
                <w:sz w:val="15"/>
                <w:szCs w:val="15"/>
              </w:rPr>
              <w:t>泥浆比重计测定</w:t>
            </w:r>
          </w:p>
        </w:tc>
      </w:tr>
      <w:tr w14:paraId="45FD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9" w:type="dxa"/>
            <w:vAlign w:val="center"/>
          </w:tcPr>
          <w:p w14:paraId="43F7FA1D">
            <w:pPr>
              <w:adjustRightInd w:val="0"/>
              <w:snapToGrid w:val="0"/>
              <w:jc w:val="center"/>
              <w:rPr>
                <w:bCs/>
                <w:sz w:val="15"/>
                <w:szCs w:val="15"/>
              </w:rPr>
            </w:pPr>
            <w:r>
              <w:rPr>
                <w:rFonts w:hint="eastAsia"/>
                <w:bCs/>
                <w:sz w:val="15"/>
                <w:szCs w:val="15"/>
              </w:rPr>
              <w:t>4</w:t>
            </w:r>
          </w:p>
        </w:tc>
        <w:tc>
          <w:tcPr>
            <w:tcW w:w="1306" w:type="dxa"/>
            <w:vAlign w:val="center"/>
          </w:tcPr>
          <w:p w14:paraId="6586F903">
            <w:pPr>
              <w:adjustRightInd w:val="0"/>
              <w:snapToGrid w:val="0"/>
              <w:jc w:val="center"/>
              <w:rPr>
                <w:bCs/>
                <w:sz w:val="15"/>
                <w:szCs w:val="15"/>
              </w:rPr>
            </w:pPr>
            <w:r>
              <w:rPr>
                <w:bCs/>
                <w:sz w:val="15"/>
                <w:szCs w:val="15"/>
              </w:rPr>
              <w:t>pH值</w:t>
            </w:r>
          </w:p>
        </w:tc>
        <w:tc>
          <w:tcPr>
            <w:tcW w:w="1360" w:type="dxa"/>
            <w:vAlign w:val="center"/>
          </w:tcPr>
          <w:p w14:paraId="61C79975">
            <w:pPr>
              <w:adjustRightInd w:val="0"/>
              <w:snapToGrid w:val="0"/>
              <w:jc w:val="center"/>
              <w:rPr>
                <w:bCs/>
                <w:sz w:val="15"/>
                <w:szCs w:val="15"/>
              </w:rPr>
            </w:pPr>
            <w:r>
              <w:rPr>
                <w:bCs/>
                <w:sz w:val="15"/>
                <w:szCs w:val="15"/>
              </w:rPr>
              <w:t>—</w:t>
            </w:r>
          </w:p>
        </w:tc>
        <w:tc>
          <w:tcPr>
            <w:tcW w:w="1724" w:type="dxa"/>
            <w:vAlign w:val="center"/>
          </w:tcPr>
          <w:p w14:paraId="0E8ECB52">
            <w:pPr>
              <w:adjustRightInd w:val="0"/>
              <w:snapToGrid w:val="0"/>
              <w:jc w:val="center"/>
              <w:rPr>
                <w:bCs/>
                <w:sz w:val="15"/>
                <w:szCs w:val="15"/>
              </w:rPr>
            </w:pPr>
            <w:r>
              <w:rPr>
                <w:bCs/>
                <w:sz w:val="15"/>
                <w:szCs w:val="15"/>
              </w:rPr>
              <w:t>8~10</w:t>
            </w:r>
          </w:p>
        </w:tc>
        <w:tc>
          <w:tcPr>
            <w:tcW w:w="3075" w:type="dxa"/>
            <w:vAlign w:val="center"/>
          </w:tcPr>
          <w:p w14:paraId="6D4CEAC5">
            <w:pPr>
              <w:adjustRightInd w:val="0"/>
              <w:snapToGrid w:val="0"/>
              <w:jc w:val="left"/>
              <w:rPr>
                <w:bCs/>
                <w:sz w:val="15"/>
                <w:szCs w:val="15"/>
              </w:rPr>
            </w:pPr>
            <w:r>
              <w:rPr>
                <w:bCs/>
                <w:sz w:val="15"/>
                <w:szCs w:val="15"/>
              </w:rPr>
              <w:t>pH试纸直接测定或取滤液用pH计测定</w:t>
            </w:r>
          </w:p>
        </w:tc>
      </w:tr>
      <w:tr w14:paraId="2C62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9" w:type="dxa"/>
            <w:vAlign w:val="center"/>
          </w:tcPr>
          <w:p w14:paraId="436FBDEF">
            <w:pPr>
              <w:adjustRightInd w:val="0"/>
              <w:snapToGrid w:val="0"/>
              <w:jc w:val="center"/>
              <w:rPr>
                <w:bCs/>
                <w:sz w:val="15"/>
                <w:szCs w:val="15"/>
              </w:rPr>
            </w:pPr>
            <w:r>
              <w:rPr>
                <w:rFonts w:hint="eastAsia"/>
                <w:bCs/>
                <w:sz w:val="15"/>
                <w:szCs w:val="15"/>
              </w:rPr>
              <w:t>5</w:t>
            </w:r>
          </w:p>
        </w:tc>
        <w:tc>
          <w:tcPr>
            <w:tcW w:w="1306" w:type="dxa"/>
            <w:vAlign w:val="center"/>
          </w:tcPr>
          <w:p w14:paraId="7978A66B">
            <w:pPr>
              <w:adjustRightInd w:val="0"/>
              <w:snapToGrid w:val="0"/>
              <w:jc w:val="center"/>
              <w:rPr>
                <w:bCs/>
                <w:sz w:val="15"/>
                <w:szCs w:val="15"/>
              </w:rPr>
            </w:pPr>
            <w:r>
              <w:rPr>
                <w:bCs/>
                <w:sz w:val="15"/>
                <w:szCs w:val="15"/>
              </w:rPr>
              <w:t>含砂量</w:t>
            </w:r>
          </w:p>
        </w:tc>
        <w:tc>
          <w:tcPr>
            <w:tcW w:w="1360" w:type="dxa"/>
            <w:vAlign w:val="center"/>
          </w:tcPr>
          <w:p w14:paraId="3E7D0E95">
            <w:pPr>
              <w:adjustRightInd w:val="0"/>
              <w:snapToGrid w:val="0"/>
              <w:jc w:val="center"/>
              <w:rPr>
                <w:bCs/>
                <w:sz w:val="15"/>
                <w:szCs w:val="15"/>
              </w:rPr>
            </w:pPr>
            <w:r>
              <w:rPr>
                <w:bCs/>
                <w:sz w:val="15"/>
                <w:szCs w:val="15"/>
              </w:rPr>
              <w:t>%</w:t>
            </w:r>
          </w:p>
        </w:tc>
        <w:tc>
          <w:tcPr>
            <w:tcW w:w="1724" w:type="dxa"/>
            <w:vAlign w:val="center"/>
          </w:tcPr>
          <w:p w14:paraId="61F9608B">
            <w:pPr>
              <w:adjustRightInd w:val="0"/>
              <w:snapToGrid w:val="0"/>
              <w:jc w:val="center"/>
              <w:rPr>
                <w:bCs/>
                <w:sz w:val="15"/>
                <w:szCs w:val="15"/>
              </w:rPr>
            </w:pPr>
            <w:r>
              <w:rPr>
                <w:bCs/>
                <w:sz w:val="15"/>
                <w:szCs w:val="15"/>
              </w:rPr>
              <w:t>＜3</w:t>
            </w:r>
          </w:p>
        </w:tc>
        <w:tc>
          <w:tcPr>
            <w:tcW w:w="3075" w:type="dxa"/>
            <w:vAlign w:val="center"/>
          </w:tcPr>
          <w:p w14:paraId="4B997A5B">
            <w:pPr>
              <w:adjustRightInd w:val="0"/>
              <w:snapToGrid w:val="0"/>
              <w:jc w:val="left"/>
              <w:rPr>
                <w:bCs/>
                <w:sz w:val="15"/>
                <w:szCs w:val="15"/>
              </w:rPr>
            </w:pPr>
            <w:r>
              <w:rPr>
                <w:bCs/>
                <w:sz w:val="15"/>
                <w:szCs w:val="15"/>
              </w:rPr>
              <w:t>含砂率计测定</w:t>
            </w:r>
          </w:p>
        </w:tc>
      </w:tr>
      <w:tr w14:paraId="2314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9" w:type="dxa"/>
            <w:vAlign w:val="center"/>
          </w:tcPr>
          <w:p w14:paraId="528EA530">
            <w:pPr>
              <w:adjustRightInd w:val="0"/>
              <w:snapToGrid w:val="0"/>
              <w:jc w:val="center"/>
              <w:rPr>
                <w:bCs/>
                <w:sz w:val="15"/>
                <w:szCs w:val="15"/>
              </w:rPr>
            </w:pPr>
            <w:r>
              <w:rPr>
                <w:rFonts w:hint="eastAsia"/>
                <w:bCs/>
                <w:sz w:val="15"/>
                <w:szCs w:val="15"/>
              </w:rPr>
              <w:t>6</w:t>
            </w:r>
          </w:p>
        </w:tc>
        <w:tc>
          <w:tcPr>
            <w:tcW w:w="1306" w:type="dxa"/>
            <w:vAlign w:val="center"/>
          </w:tcPr>
          <w:p w14:paraId="52507346">
            <w:pPr>
              <w:adjustRightInd w:val="0"/>
              <w:snapToGrid w:val="0"/>
              <w:jc w:val="center"/>
              <w:rPr>
                <w:bCs/>
                <w:sz w:val="15"/>
                <w:szCs w:val="15"/>
              </w:rPr>
            </w:pPr>
            <w:r>
              <w:rPr>
                <w:bCs/>
                <w:sz w:val="15"/>
                <w:szCs w:val="15"/>
              </w:rPr>
              <w:t>稳定性</w:t>
            </w:r>
          </w:p>
        </w:tc>
        <w:tc>
          <w:tcPr>
            <w:tcW w:w="1360" w:type="dxa"/>
            <w:vAlign w:val="center"/>
          </w:tcPr>
          <w:p w14:paraId="6AB50B19">
            <w:pPr>
              <w:adjustRightInd w:val="0"/>
              <w:snapToGrid w:val="0"/>
              <w:jc w:val="center"/>
              <w:rPr>
                <w:bCs/>
                <w:sz w:val="15"/>
                <w:szCs w:val="15"/>
              </w:rPr>
            </w:pPr>
            <w:r>
              <w:rPr>
                <w:bCs/>
                <w:sz w:val="15"/>
                <w:szCs w:val="15"/>
              </w:rPr>
              <w:t>—</w:t>
            </w:r>
          </w:p>
        </w:tc>
        <w:tc>
          <w:tcPr>
            <w:tcW w:w="1724" w:type="dxa"/>
            <w:vAlign w:val="center"/>
          </w:tcPr>
          <w:p w14:paraId="5066795B">
            <w:pPr>
              <w:adjustRightInd w:val="0"/>
              <w:snapToGrid w:val="0"/>
              <w:jc w:val="center"/>
              <w:rPr>
                <w:bCs/>
                <w:sz w:val="15"/>
                <w:szCs w:val="15"/>
              </w:rPr>
            </w:pPr>
            <w:r>
              <w:rPr>
                <w:bCs/>
                <w:sz w:val="15"/>
                <w:szCs w:val="15"/>
              </w:rPr>
              <w:t>静止24h无析水</w:t>
            </w:r>
          </w:p>
        </w:tc>
        <w:tc>
          <w:tcPr>
            <w:tcW w:w="3075" w:type="dxa"/>
            <w:vAlign w:val="center"/>
          </w:tcPr>
          <w:p w14:paraId="7538A0A1">
            <w:pPr>
              <w:adjustRightInd w:val="0"/>
              <w:snapToGrid w:val="0"/>
              <w:jc w:val="left"/>
              <w:rPr>
                <w:bCs/>
                <w:sz w:val="15"/>
                <w:szCs w:val="15"/>
              </w:rPr>
            </w:pPr>
            <w:r>
              <w:rPr>
                <w:bCs/>
                <w:sz w:val="15"/>
                <w:szCs w:val="15"/>
              </w:rPr>
              <w:t>稳定性测定仪测定</w:t>
            </w:r>
          </w:p>
        </w:tc>
      </w:tr>
      <w:tr w14:paraId="0522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9" w:type="dxa"/>
            <w:vAlign w:val="center"/>
          </w:tcPr>
          <w:p w14:paraId="15AAFB67">
            <w:pPr>
              <w:adjustRightInd w:val="0"/>
              <w:snapToGrid w:val="0"/>
              <w:jc w:val="center"/>
              <w:rPr>
                <w:bCs/>
                <w:sz w:val="15"/>
                <w:szCs w:val="15"/>
              </w:rPr>
            </w:pPr>
            <w:r>
              <w:rPr>
                <w:rFonts w:hint="eastAsia"/>
                <w:bCs/>
                <w:sz w:val="15"/>
                <w:szCs w:val="15"/>
              </w:rPr>
              <w:t>7</w:t>
            </w:r>
          </w:p>
        </w:tc>
        <w:tc>
          <w:tcPr>
            <w:tcW w:w="1306" w:type="dxa"/>
            <w:vAlign w:val="center"/>
          </w:tcPr>
          <w:p w14:paraId="02B8B6A5">
            <w:pPr>
              <w:adjustRightInd w:val="0"/>
              <w:snapToGrid w:val="0"/>
              <w:jc w:val="center"/>
              <w:rPr>
                <w:bCs/>
                <w:sz w:val="15"/>
                <w:szCs w:val="15"/>
              </w:rPr>
            </w:pPr>
            <w:r>
              <w:rPr>
                <w:bCs/>
                <w:sz w:val="15"/>
                <w:szCs w:val="15"/>
              </w:rPr>
              <w:t>静切力</w:t>
            </w:r>
          </w:p>
        </w:tc>
        <w:tc>
          <w:tcPr>
            <w:tcW w:w="1360" w:type="dxa"/>
            <w:vAlign w:val="center"/>
          </w:tcPr>
          <w:p w14:paraId="28F2C53C">
            <w:pPr>
              <w:adjustRightInd w:val="0"/>
              <w:snapToGrid w:val="0"/>
              <w:jc w:val="center"/>
              <w:rPr>
                <w:bCs/>
                <w:sz w:val="15"/>
                <w:szCs w:val="15"/>
              </w:rPr>
            </w:pPr>
            <w:r>
              <w:rPr>
                <w:bCs/>
                <w:sz w:val="15"/>
                <w:szCs w:val="15"/>
              </w:rPr>
              <w:t>Pa</w:t>
            </w:r>
          </w:p>
        </w:tc>
        <w:tc>
          <w:tcPr>
            <w:tcW w:w="1724" w:type="dxa"/>
            <w:vAlign w:val="center"/>
          </w:tcPr>
          <w:p w14:paraId="6A06B00A">
            <w:pPr>
              <w:adjustRightInd w:val="0"/>
              <w:snapToGrid w:val="0"/>
              <w:jc w:val="center"/>
              <w:rPr>
                <w:bCs/>
                <w:sz w:val="15"/>
                <w:szCs w:val="15"/>
              </w:rPr>
            </w:pPr>
            <w:r>
              <w:rPr>
                <w:bCs/>
                <w:sz w:val="15"/>
                <w:szCs w:val="15"/>
              </w:rPr>
              <w:t>100左右</w:t>
            </w:r>
          </w:p>
        </w:tc>
        <w:tc>
          <w:tcPr>
            <w:tcW w:w="3075" w:type="dxa"/>
            <w:vAlign w:val="center"/>
          </w:tcPr>
          <w:p w14:paraId="54606B80">
            <w:pPr>
              <w:adjustRightInd w:val="0"/>
              <w:snapToGrid w:val="0"/>
              <w:jc w:val="left"/>
              <w:rPr>
                <w:bCs/>
                <w:sz w:val="15"/>
                <w:szCs w:val="15"/>
              </w:rPr>
            </w:pPr>
            <w:r>
              <w:rPr>
                <w:bCs/>
                <w:sz w:val="15"/>
                <w:szCs w:val="15"/>
              </w:rPr>
              <w:t>浮筒切力计测定</w:t>
            </w:r>
          </w:p>
        </w:tc>
      </w:tr>
    </w:tbl>
    <w:p w14:paraId="70757BBC">
      <w:pPr>
        <w:snapToGrid w:val="0"/>
        <w:spacing w:line="288" w:lineRule="auto"/>
        <w:jc w:val="center"/>
        <w:rPr>
          <w:rFonts w:hAnsi="Cambria Math"/>
          <w:bCs/>
          <w:sz w:val="20"/>
          <w:szCs w:val="20"/>
        </w:rPr>
      </w:pPr>
    </w:p>
    <w:p w14:paraId="5FDF44A2">
      <w:pPr>
        <w:snapToGrid w:val="0"/>
        <w:spacing w:line="288" w:lineRule="auto"/>
        <w:outlineLvl w:val="2"/>
        <w:rPr>
          <w:rFonts w:hAnsi="Cambria Math"/>
          <w:b/>
          <w:bCs/>
          <w:sz w:val="20"/>
          <w:szCs w:val="20"/>
        </w:rPr>
      </w:pPr>
      <w:r>
        <w:rPr>
          <w:rFonts w:hint="eastAsia" w:hAnsi="Cambria Math"/>
          <w:b/>
          <w:bCs/>
          <w:sz w:val="20"/>
          <w:szCs w:val="20"/>
        </w:rPr>
        <w:t>5.5.</w:t>
      </w:r>
      <w:r>
        <w:rPr>
          <w:rFonts w:hAnsi="Cambria Math"/>
          <w:b/>
          <w:bCs/>
          <w:sz w:val="20"/>
          <w:szCs w:val="20"/>
        </w:rPr>
        <w:t xml:space="preserve">3  </w:t>
      </w:r>
      <w:r>
        <w:rPr>
          <w:rFonts w:hint="eastAsia"/>
          <w:sz w:val="20"/>
          <w:szCs w:val="20"/>
        </w:rPr>
        <w:t>触变泥浆注浆系统应满足下列要求</w:t>
      </w:r>
      <w:r>
        <w:rPr>
          <w:rFonts w:hint="eastAsia" w:hAnsi="Cambria Math"/>
          <w:bCs/>
          <w:sz w:val="20"/>
          <w:szCs w:val="20"/>
        </w:rPr>
        <w:t>：</w:t>
      </w:r>
    </w:p>
    <w:p w14:paraId="533B73F2">
      <w:pPr>
        <w:snapToGrid w:val="0"/>
        <w:spacing w:line="288" w:lineRule="auto"/>
        <w:ind w:firstLine="300" w:firstLineChars="150"/>
        <w:rPr>
          <w:sz w:val="20"/>
          <w:szCs w:val="20"/>
        </w:rPr>
      </w:pPr>
      <w:r>
        <w:rPr>
          <w:rFonts w:hint="eastAsia"/>
          <w:b/>
          <w:sz w:val="20"/>
          <w:szCs w:val="20"/>
        </w:rPr>
        <w:t>1</w:t>
      </w:r>
      <w:r>
        <w:rPr>
          <w:rFonts w:hint="eastAsia"/>
          <w:sz w:val="20"/>
          <w:szCs w:val="20"/>
        </w:rPr>
        <w:t xml:space="preserve"> 注浆设备和管路应可靠，应具有足够的耐压和良好的密封性能；</w:t>
      </w:r>
    </w:p>
    <w:p w14:paraId="5F47F496">
      <w:pPr>
        <w:snapToGrid w:val="0"/>
        <w:spacing w:line="288" w:lineRule="auto"/>
        <w:ind w:firstLine="300" w:firstLineChars="150"/>
        <w:rPr>
          <w:sz w:val="20"/>
          <w:szCs w:val="20"/>
        </w:rPr>
      </w:pPr>
      <w:r>
        <w:rPr>
          <w:rFonts w:hint="eastAsia"/>
          <w:b/>
          <w:sz w:val="20"/>
          <w:szCs w:val="20"/>
        </w:rPr>
        <w:t>2</w:t>
      </w:r>
      <w:r>
        <w:rPr>
          <w:sz w:val="20"/>
          <w:szCs w:val="20"/>
        </w:rPr>
        <w:t xml:space="preserve"> </w:t>
      </w:r>
      <w:r>
        <w:rPr>
          <w:rFonts w:hint="eastAsia"/>
          <w:sz w:val="20"/>
          <w:szCs w:val="20"/>
        </w:rPr>
        <w:t>注浆泵宜选用活塞泵；</w:t>
      </w:r>
    </w:p>
    <w:p w14:paraId="7C07F38F">
      <w:pPr>
        <w:snapToGrid w:val="0"/>
        <w:spacing w:line="288" w:lineRule="auto"/>
        <w:ind w:firstLine="300" w:firstLineChars="150"/>
        <w:rPr>
          <w:sz w:val="20"/>
          <w:szCs w:val="20"/>
        </w:rPr>
      </w:pPr>
      <w:r>
        <w:rPr>
          <w:b/>
          <w:sz w:val="20"/>
          <w:szCs w:val="20"/>
        </w:rPr>
        <w:t>3</w:t>
      </w:r>
      <w:r>
        <w:rPr>
          <w:sz w:val="20"/>
          <w:szCs w:val="20"/>
        </w:rPr>
        <w:t xml:space="preserve"> </w:t>
      </w:r>
      <w:r>
        <w:rPr>
          <w:rFonts w:hint="eastAsia"/>
          <w:sz w:val="20"/>
          <w:szCs w:val="20"/>
        </w:rPr>
        <w:t>注浆管可分为主管和支管两种，应根据顶管长度和注浆孔位置酌情设置；主管道宜选用直径为40mm～50mm的钢管，支管可选用25mm～30mm的橡胶管；管接头应拆卸方便且在工作压力下应无渗漏现象；</w:t>
      </w:r>
    </w:p>
    <w:p w14:paraId="1B797F13">
      <w:pPr>
        <w:snapToGrid w:val="0"/>
        <w:spacing w:line="288" w:lineRule="auto"/>
        <w:ind w:firstLine="300" w:firstLineChars="150"/>
        <w:rPr>
          <w:sz w:val="20"/>
          <w:szCs w:val="20"/>
        </w:rPr>
      </w:pPr>
      <w:r>
        <w:rPr>
          <w:rFonts w:hint="eastAsia"/>
          <w:b/>
          <w:sz w:val="20"/>
          <w:szCs w:val="20"/>
        </w:rPr>
        <w:t>4</w:t>
      </w:r>
      <w:r>
        <w:rPr>
          <w:rFonts w:hint="eastAsia"/>
          <w:sz w:val="20"/>
          <w:szCs w:val="20"/>
        </w:rPr>
        <w:t xml:space="preserve"> 每3节~5节管节应设一组补浆孔，每组补浆孔轴向间距宜为10m～25m，可按下式估算；</w:t>
      </w:r>
    </w:p>
    <w:p w14:paraId="233F713E">
      <w:pPr>
        <w:wordWrap w:val="0"/>
        <w:snapToGrid w:val="0"/>
        <w:spacing w:line="288" w:lineRule="auto"/>
        <w:ind w:firstLine="300" w:firstLineChars="150"/>
        <w:jc w:val="right"/>
        <w:rPr>
          <w:sz w:val="20"/>
          <w:szCs w:val="20"/>
        </w:rPr>
      </w:pPr>
      <m:oMath>
        <m:sSub>
          <m:sSubPr>
            <m:ctrlPr>
              <w:rPr>
                <w:rFonts w:ascii="Cambria Math" w:hAnsi="Cambria Math"/>
                <w:sz w:val="20"/>
                <w:szCs w:val="20"/>
              </w:rPr>
            </m:ctrlPr>
          </m:sSubPr>
          <m:e>
            <m:r>
              <m:rPr/>
              <w:rPr>
                <w:rFonts w:ascii="Cambria Math" w:hAnsi="Cambria Math"/>
                <w:sz w:val="20"/>
                <w:szCs w:val="20"/>
              </w:rPr>
              <m:t>L</m:t>
            </m:r>
            <m:ctrlPr>
              <w:rPr>
                <w:rFonts w:ascii="Cambria Math" w:hAnsi="Cambria Math"/>
                <w:sz w:val="20"/>
                <w:szCs w:val="20"/>
              </w:rPr>
            </m:ctrlPr>
          </m:e>
          <m:sub>
            <m:r>
              <m:rPr/>
              <w:rPr>
                <w:rFonts w:ascii="Cambria Math" w:hAnsi="Cambria Math"/>
                <w:sz w:val="20"/>
                <w:szCs w:val="20"/>
              </w:rPr>
              <m:t>m</m:t>
            </m:r>
            <m:ctrlPr>
              <w:rPr>
                <w:rFonts w:ascii="Cambria Math" w:hAnsi="Cambria Math"/>
                <w:sz w:val="20"/>
                <w:szCs w:val="20"/>
              </w:rPr>
            </m:ctrlPr>
          </m:sub>
        </m:sSub>
        <m:r>
          <m:rPr/>
          <w:rPr>
            <w:rFonts w:ascii="Cambria Math" w:hAnsi="Cambria Math"/>
            <w:sz w:val="20"/>
            <w:szCs w:val="20"/>
          </w:rPr>
          <m:t>=</m:t>
        </m:r>
        <m:r>
          <m:rPr>
            <m:sty m:val="p"/>
          </m:rPr>
          <w:rPr>
            <w:rFonts w:ascii="Cambria Math" w:hAnsi="Cambria Math"/>
            <w:sz w:val="20"/>
            <w:szCs w:val="20"/>
          </w:rPr>
          <m:t>T×</m:t>
        </m:r>
        <m:r>
          <m:rPr>
            <m:sty m:val="p"/>
          </m:rPr>
          <w:rPr>
            <w:rFonts w:hint="eastAsia" w:ascii="Cambria Math" w:hAnsi="Cambria Math"/>
            <w:sz w:val="20"/>
            <w:szCs w:val="20"/>
          </w:rPr>
          <m:t>υ</m:t>
        </m:r>
      </m:oMath>
      <w:r>
        <w:rPr>
          <w:rFonts w:hint="eastAsia"/>
          <w:sz w:val="20"/>
          <w:szCs w:val="20"/>
        </w:rPr>
        <w:t xml:space="preserve">   </w:t>
      </w:r>
      <w:r>
        <w:rPr>
          <w:sz w:val="20"/>
          <w:szCs w:val="20"/>
        </w:rPr>
        <w:t xml:space="preserve">  </w:t>
      </w:r>
      <w:r>
        <w:rPr>
          <w:rFonts w:hint="eastAsia"/>
          <w:sz w:val="20"/>
          <w:szCs w:val="20"/>
        </w:rPr>
        <w:t xml:space="preserve">                                 5.5.</w:t>
      </w:r>
      <w:r>
        <w:rPr>
          <w:sz w:val="20"/>
          <w:szCs w:val="20"/>
        </w:rPr>
        <w:t>3</w:t>
      </w:r>
      <w:r>
        <w:rPr>
          <w:rFonts w:hint="eastAsia"/>
          <w:sz w:val="20"/>
          <w:szCs w:val="20"/>
        </w:rPr>
        <w:t xml:space="preserve"> </w:t>
      </w:r>
    </w:p>
    <w:p w14:paraId="6BC4DB09">
      <w:pPr>
        <w:snapToGrid w:val="0"/>
        <w:spacing w:line="288" w:lineRule="auto"/>
        <w:ind w:firstLine="300" w:firstLineChars="150"/>
        <w:rPr>
          <w:sz w:val="20"/>
          <w:szCs w:val="20"/>
        </w:rPr>
      </w:pPr>
      <w:r>
        <w:rPr>
          <w:rFonts w:hint="eastAsia"/>
          <w:sz w:val="20"/>
          <w:szCs w:val="20"/>
        </w:rPr>
        <w:t>式中：</w:t>
      </w:r>
      <m:oMath>
        <m:sSub>
          <m:sSubPr>
            <m:ctrlPr>
              <w:rPr>
                <w:rFonts w:ascii="Cambria Math" w:hAnsi="Cambria Math"/>
                <w:sz w:val="20"/>
                <w:szCs w:val="20"/>
              </w:rPr>
            </m:ctrlPr>
          </m:sSubPr>
          <m:e>
            <m:r>
              <m:rPr/>
              <w:rPr>
                <w:rFonts w:ascii="Cambria Math" w:hAnsi="Cambria Math"/>
                <w:sz w:val="20"/>
                <w:szCs w:val="20"/>
              </w:rPr>
              <m:t>L</m:t>
            </m:r>
            <m:ctrlPr>
              <w:rPr>
                <w:rFonts w:ascii="Cambria Math" w:hAnsi="Cambria Math"/>
                <w:sz w:val="20"/>
                <w:szCs w:val="20"/>
              </w:rPr>
            </m:ctrlPr>
          </m:e>
          <m:sub>
            <m:r>
              <m:rPr/>
              <w:rPr>
                <w:rFonts w:ascii="Cambria Math" w:hAnsi="Cambria Math"/>
                <w:sz w:val="20"/>
                <w:szCs w:val="20"/>
              </w:rPr>
              <m:t>m</m:t>
            </m:r>
            <m:ctrlPr>
              <w:rPr>
                <w:rFonts w:ascii="Cambria Math" w:hAnsi="Cambria Math"/>
                <w:sz w:val="20"/>
                <w:szCs w:val="20"/>
              </w:rPr>
            </m:ctrlPr>
          </m:sub>
        </m:sSub>
      </m:oMath>
      <w:r>
        <w:rPr>
          <w:sz w:val="20"/>
          <w:szCs w:val="20"/>
        </w:rPr>
        <w:t>—</w:t>
      </w:r>
      <w:r>
        <w:rPr>
          <w:rFonts w:hint="eastAsia"/>
          <w:sz w:val="20"/>
          <w:szCs w:val="20"/>
        </w:rPr>
        <w:t>补浆孔间距（m）；</w:t>
      </w:r>
    </w:p>
    <w:p w14:paraId="58BB462C">
      <w:pPr>
        <w:snapToGrid w:val="0"/>
        <w:spacing w:line="288" w:lineRule="auto"/>
        <w:ind w:firstLine="300" w:firstLineChars="150"/>
        <w:rPr>
          <w:sz w:val="20"/>
          <w:szCs w:val="20"/>
        </w:rPr>
      </w:pPr>
      <w:r>
        <w:rPr>
          <w:rFonts w:hint="eastAsia"/>
          <w:sz w:val="20"/>
          <w:szCs w:val="20"/>
        </w:rPr>
        <w:t xml:space="preserve">      T</w:t>
      </w:r>
      <w:r>
        <w:rPr>
          <w:sz w:val="20"/>
          <w:szCs w:val="20"/>
        </w:rPr>
        <w:t>—</w:t>
      </w:r>
      <w:r>
        <w:rPr>
          <w:rFonts w:hint="eastAsia"/>
          <w:sz w:val="20"/>
          <w:szCs w:val="20"/>
        </w:rPr>
        <w:t>触变泥浆失效期（d），取6d～10d；</w:t>
      </w:r>
    </w:p>
    <w:p w14:paraId="141EFD3B">
      <w:pPr>
        <w:snapToGrid w:val="0"/>
        <w:spacing w:line="288" w:lineRule="auto"/>
        <w:ind w:firstLine="300" w:firstLineChars="150"/>
        <w:rPr>
          <w:sz w:val="20"/>
          <w:szCs w:val="20"/>
        </w:rPr>
      </w:pPr>
      <w:r>
        <w:rPr>
          <w:rFonts w:hint="eastAsia"/>
          <w:sz w:val="20"/>
          <w:szCs w:val="20"/>
        </w:rPr>
        <w:t xml:space="preserve">      </w:t>
      </w:r>
      <m:oMath>
        <m:r>
          <m:rPr>
            <m:sty m:val="p"/>
          </m:rPr>
          <w:rPr>
            <w:rFonts w:hint="eastAsia" w:ascii="Cambria Math" w:hAnsi="Cambria Math"/>
            <w:sz w:val="20"/>
            <w:szCs w:val="20"/>
          </w:rPr>
          <m:t>υ</m:t>
        </m:r>
      </m:oMath>
      <w:r>
        <w:rPr>
          <w:sz w:val="20"/>
          <w:szCs w:val="20"/>
        </w:rPr>
        <w:t>—</w:t>
      </w:r>
      <w:r>
        <w:rPr>
          <w:rFonts w:hint="eastAsia"/>
          <w:sz w:val="20"/>
          <w:szCs w:val="20"/>
        </w:rPr>
        <w:t>平均顶进速度（m/d）。</w:t>
      </w:r>
    </w:p>
    <w:p w14:paraId="7DA49601">
      <w:pPr>
        <w:snapToGrid w:val="0"/>
        <w:spacing w:line="288" w:lineRule="auto"/>
        <w:ind w:firstLine="300" w:firstLineChars="150"/>
        <w:rPr>
          <w:sz w:val="20"/>
          <w:szCs w:val="20"/>
        </w:rPr>
      </w:pPr>
      <w:r>
        <w:rPr>
          <w:rFonts w:hint="eastAsia"/>
          <w:b/>
          <w:sz w:val="20"/>
          <w:szCs w:val="20"/>
        </w:rPr>
        <w:t xml:space="preserve">5 </w:t>
      </w:r>
      <w:r>
        <w:rPr>
          <w:rFonts w:hint="eastAsia"/>
          <w:sz w:val="20"/>
          <w:szCs w:val="20"/>
        </w:rPr>
        <w:t>注浆孔的布置应按顶管断面尺寸确定，每个断面可设置8个～10个注浆孔；相邻断面上的注浆孔可平行布置或交错布置；注浆孔宜有排气功能，每个注浆孔宜安装单向阀，在顶管机尾部和其他位置的注浆孔管道上应设置压力表；</w:t>
      </w:r>
    </w:p>
    <w:p w14:paraId="7C52E493">
      <w:pPr>
        <w:snapToGrid w:val="0"/>
        <w:spacing w:line="288" w:lineRule="auto"/>
        <w:ind w:firstLine="300" w:firstLineChars="150"/>
        <w:rPr>
          <w:sz w:val="20"/>
          <w:szCs w:val="20"/>
        </w:rPr>
      </w:pPr>
      <w:r>
        <w:rPr>
          <w:rFonts w:hint="eastAsia"/>
          <w:b/>
          <w:sz w:val="20"/>
          <w:szCs w:val="20"/>
        </w:rPr>
        <w:t>6</w:t>
      </w:r>
      <w:r>
        <w:rPr>
          <w:rFonts w:hint="eastAsia"/>
          <w:sz w:val="20"/>
          <w:szCs w:val="20"/>
        </w:rPr>
        <w:t xml:space="preserve"> 每套中继间应单独设置注浆孔，中继间的注浆应与中继间启动同步，运行中应连续注浆；</w:t>
      </w:r>
    </w:p>
    <w:p w14:paraId="6B80ADBC">
      <w:pPr>
        <w:snapToGrid w:val="0"/>
        <w:spacing w:line="288" w:lineRule="auto"/>
        <w:ind w:firstLine="300" w:firstLineChars="150"/>
        <w:rPr>
          <w:sz w:val="20"/>
          <w:szCs w:val="20"/>
        </w:rPr>
      </w:pPr>
      <w:r>
        <w:rPr>
          <w:rFonts w:hint="eastAsia"/>
          <w:b/>
          <w:sz w:val="20"/>
          <w:szCs w:val="20"/>
        </w:rPr>
        <w:t>7</w:t>
      </w:r>
      <w:r>
        <w:rPr>
          <w:rFonts w:hint="eastAsia"/>
          <w:sz w:val="20"/>
          <w:szCs w:val="20"/>
        </w:rPr>
        <w:t xml:space="preserve"> 注浆前应检查注浆装置的水密性，注浆时压力应逐步升至控制压力；</w:t>
      </w:r>
    </w:p>
    <w:p w14:paraId="6FCE9CFC">
      <w:pPr>
        <w:snapToGrid w:val="0"/>
        <w:spacing w:line="288" w:lineRule="auto"/>
        <w:ind w:firstLine="300" w:firstLineChars="150"/>
        <w:rPr>
          <w:sz w:val="20"/>
          <w:szCs w:val="20"/>
        </w:rPr>
      </w:pPr>
      <w:r>
        <w:rPr>
          <w:rFonts w:hint="eastAsia"/>
          <w:b/>
          <w:sz w:val="20"/>
          <w:szCs w:val="20"/>
        </w:rPr>
        <w:t>8</w:t>
      </w:r>
      <w:r>
        <w:rPr>
          <w:rFonts w:hint="eastAsia"/>
          <w:sz w:val="20"/>
          <w:szCs w:val="20"/>
        </w:rPr>
        <w:t xml:space="preserve"> 注浆遇有机械故障、管路堵塞、接头渗漏等情况时，应经处理后方可继续顶进。</w:t>
      </w:r>
    </w:p>
    <w:p w14:paraId="1CB6CB9E">
      <w:pPr>
        <w:snapToGrid w:val="0"/>
        <w:spacing w:line="288" w:lineRule="auto"/>
        <w:outlineLvl w:val="2"/>
        <w:rPr>
          <w:rFonts w:hAnsi="Cambria Math"/>
          <w:bCs/>
          <w:sz w:val="20"/>
          <w:szCs w:val="20"/>
        </w:rPr>
      </w:pPr>
      <w:r>
        <w:rPr>
          <w:rFonts w:hint="eastAsia" w:hAnsi="Cambria Math"/>
          <w:b/>
          <w:bCs/>
          <w:sz w:val="20"/>
          <w:szCs w:val="20"/>
        </w:rPr>
        <w:t>5.5.</w:t>
      </w:r>
      <w:r>
        <w:rPr>
          <w:rFonts w:hAnsi="Cambria Math"/>
          <w:b/>
          <w:bCs/>
          <w:sz w:val="20"/>
          <w:szCs w:val="20"/>
        </w:rPr>
        <w:t>4</w:t>
      </w:r>
      <w:r>
        <w:rPr>
          <w:rFonts w:hint="eastAsia" w:hAnsi="Cambria Math"/>
          <w:b/>
          <w:bCs/>
          <w:sz w:val="20"/>
          <w:szCs w:val="20"/>
        </w:rPr>
        <w:t xml:space="preserve">  </w:t>
      </w:r>
      <w:r>
        <w:rPr>
          <w:rFonts w:hint="eastAsia" w:hAnsi="Cambria Math"/>
          <w:bCs/>
          <w:sz w:val="20"/>
          <w:szCs w:val="20"/>
        </w:rPr>
        <w:t>在注浆过程中，应根据减阻效果及时调整注浆量和注浆压力等工艺参数。</w:t>
      </w:r>
    </w:p>
    <w:p w14:paraId="4FA29BEC">
      <w:pPr>
        <w:pStyle w:val="3"/>
        <w:snapToGrid w:val="0"/>
        <w:spacing w:before="312" w:beforeLines="100" w:after="0" w:line="288" w:lineRule="auto"/>
        <w:jc w:val="center"/>
        <w:rPr>
          <w:rFonts w:ascii="Times New Roman" w:hAnsi="Times New Roman"/>
          <w:sz w:val="20"/>
          <w:szCs w:val="21"/>
        </w:rPr>
      </w:pPr>
      <w:bookmarkStart w:id="253" w:name="_Toc185236588"/>
      <w:bookmarkStart w:id="254" w:name="_Toc185235637"/>
      <w:bookmarkStart w:id="255" w:name="_Toc188612067"/>
      <w:bookmarkStart w:id="256" w:name="_Toc170810201"/>
      <w:bookmarkStart w:id="257" w:name="_Toc188798538"/>
      <w:r>
        <w:rPr>
          <w:rFonts w:ascii="Times New Roman" w:hAnsi="Times New Roman"/>
          <w:sz w:val="20"/>
          <w:szCs w:val="21"/>
        </w:rPr>
        <w:t xml:space="preserve">5.6 </w:t>
      </w:r>
      <w:r>
        <w:rPr>
          <w:rFonts w:hint="eastAsia" w:ascii="Times New Roman" w:hAnsi="Times New Roman"/>
          <w:sz w:val="20"/>
          <w:szCs w:val="21"/>
        </w:rPr>
        <w:t xml:space="preserve"> </w:t>
      </w:r>
      <w:r>
        <w:rPr>
          <w:rFonts w:ascii="Times New Roman" w:hAnsi="Times New Roman"/>
          <w:sz w:val="20"/>
          <w:szCs w:val="21"/>
        </w:rPr>
        <w:t>浓泥注入</w:t>
      </w:r>
      <w:bookmarkEnd w:id="253"/>
      <w:bookmarkEnd w:id="254"/>
      <w:bookmarkEnd w:id="255"/>
      <w:bookmarkEnd w:id="256"/>
      <w:bookmarkEnd w:id="257"/>
    </w:p>
    <w:p w14:paraId="16289721">
      <w:pPr>
        <w:snapToGrid w:val="0"/>
        <w:spacing w:line="288" w:lineRule="auto"/>
        <w:outlineLvl w:val="2"/>
        <w:rPr>
          <w:sz w:val="20"/>
          <w:szCs w:val="20"/>
          <w:lang w:bidi="ar"/>
        </w:rPr>
      </w:pPr>
      <w:r>
        <w:rPr>
          <w:rFonts w:hint="eastAsia" w:hAnsi="Cambria Math"/>
          <w:b/>
          <w:sz w:val="20"/>
          <w:szCs w:val="20"/>
        </w:rPr>
        <w:t xml:space="preserve">5.6.1  </w:t>
      </w:r>
      <w:r>
        <w:rPr>
          <w:rFonts w:hint="eastAsia"/>
          <w:sz w:val="20"/>
          <w:szCs w:val="20"/>
        </w:rPr>
        <w:t>顶进过程中可向管节外壁</w:t>
      </w:r>
      <w:r>
        <w:rPr>
          <w:rFonts w:hint="eastAsia" w:hAnsi="Cambria Math"/>
          <w:bCs/>
          <w:sz w:val="20"/>
          <w:szCs w:val="20"/>
        </w:rPr>
        <w:t>、顶管机外壁与土体间压注浓泥进行</w:t>
      </w:r>
      <w:r>
        <w:rPr>
          <w:rFonts w:hint="eastAsia"/>
          <w:sz w:val="20"/>
          <w:szCs w:val="20"/>
          <w:lang w:bidi="ar"/>
        </w:rPr>
        <w:t>平抑地层沉降或调整姿态。</w:t>
      </w:r>
    </w:p>
    <w:p w14:paraId="0F8FD1AA">
      <w:pPr>
        <w:snapToGrid w:val="0"/>
        <w:spacing w:line="288" w:lineRule="auto"/>
        <w:outlineLvl w:val="2"/>
        <w:rPr>
          <w:rFonts w:hAnsi="Cambria Math"/>
          <w:sz w:val="20"/>
          <w:szCs w:val="20"/>
        </w:rPr>
      </w:pPr>
      <w:r>
        <w:rPr>
          <w:rFonts w:hint="eastAsia" w:hAnsi="Cambria Math"/>
          <w:b/>
          <w:sz w:val="20"/>
          <w:szCs w:val="20"/>
        </w:rPr>
        <w:t>5.6.</w:t>
      </w:r>
      <w:r>
        <w:rPr>
          <w:rFonts w:hAnsi="Cambria Math"/>
          <w:b/>
          <w:sz w:val="20"/>
          <w:szCs w:val="20"/>
        </w:rPr>
        <w:t>2</w:t>
      </w:r>
      <w:r>
        <w:rPr>
          <w:rFonts w:hAnsi="Cambria Math"/>
          <w:bCs/>
          <w:sz w:val="20"/>
          <w:szCs w:val="20"/>
        </w:rPr>
        <w:t xml:space="preserve"> </w:t>
      </w:r>
      <w:r>
        <w:rPr>
          <w:rFonts w:hint="eastAsia" w:hAnsi="Cambria Math"/>
          <w:b/>
          <w:bCs/>
          <w:sz w:val="20"/>
          <w:szCs w:val="20"/>
        </w:rPr>
        <w:t xml:space="preserve"> </w:t>
      </w:r>
      <w:r>
        <w:rPr>
          <w:rFonts w:hint="eastAsia"/>
          <w:sz w:val="20"/>
          <w:szCs w:val="20"/>
        </w:rPr>
        <w:t>注浆设备和管路应独立、可靠，应具有足够的耐压和良好的密封性能</w:t>
      </w:r>
      <w:r>
        <w:rPr>
          <w:rFonts w:hint="eastAsia" w:hAnsi="Cambria Math"/>
          <w:sz w:val="20"/>
          <w:szCs w:val="20"/>
        </w:rPr>
        <w:t>。</w:t>
      </w:r>
    </w:p>
    <w:p w14:paraId="25D8EBA9">
      <w:pPr>
        <w:snapToGrid w:val="0"/>
        <w:spacing w:line="288" w:lineRule="auto"/>
        <w:outlineLvl w:val="2"/>
        <w:rPr>
          <w:rFonts w:hAnsi="Cambria Math"/>
          <w:bCs/>
          <w:sz w:val="20"/>
          <w:szCs w:val="20"/>
        </w:rPr>
      </w:pPr>
      <w:r>
        <w:rPr>
          <w:rFonts w:hint="eastAsia" w:hAnsi="Cambria Math"/>
          <w:b/>
          <w:sz w:val="20"/>
          <w:szCs w:val="20"/>
        </w:rPr>
        <w:t>5.6.</w:t>
      </w:r>
      <w:r>
        <w:rPr>
          <w:rFonts w:hAnsi="Cambria Math"/>
          <w:b/>
          <w:sz w:val="20"/>
          <w:szCs w:val="20"/>
        </w:rPr>
        <w:t>3</w:t>
      </w:r>
      <w:r>
        <w:rPr>
          <w:rFonts w:hAnsi="Cambria Math"/>
          <w:bCs/>
          <w:sz w:val="20"/>
          <w:szCs w:val="20"/>
        </w:rPr>
        <w:t xml:space="preserve"> </w:t>
      </w:r>
      <w:r>
        <w:rPr>
          <w:rFonts w:hint="eastAsia" w:hAnsi="Cambria Math"/>
          <w:b/>
          <w:bCs/>
          <w:sz w:val="20"/>
          <w:szCs w:val="20"/>
        </w:rPr>
        <w:t xml:space="preserve"> </w:t>
      </w:r>
      <w:r>
        <w:rPr>
          <w:rFonts w:hint="eastAsia"/>
          <w:sz w:val="20"/>
          <w:szCs w:val="20"/>
        </w:rPr>
        <w:t>浓泥注入应利用顶管上的预设注浆孔注浆</w:t>
      </w:r>
      <w:r>
        <w:rPr>
          <w:rFonts w:hint="eastAsia" w:hAnsi="Cambria Math"/>
          <w:sz w:val="20"/>
          <w:szCs w:val="20"/>
        </w:rPr>
        <w:t>，</w:t>
      </w:r>
      <w:r>
        <w:rPr>
          <w:rFonts w:hint="eastAsia" w:hAnsi="Cambria Math"/>
          <w:bCs/>
          <w:sz w:val="20"/>
          <w:szCs w:val="20"/>
        </w:rPr>
        <w:t>采取</w:t>
      </w:r>
      <w:r>
        <w:rPr>
          <w:rFonts w:hint="eastAsia"/>
          <w:sz w:val="20"/>
          <w:szCs w:val="20"/>
          <w:lang w:bidi="ar"/>
        </w:rPr>
        <w:t>分阶段、分批次、勤注、少注的注浆方式</w:t>
      </w:r>
      <w:r>
        <w:rPr>
          <w:rFonts w:hint="eastAsia" w:hAnsi="Cambria Math"/>
          <w:bCs/>
          <w:sz w:val="20"/>
          <w:szCs w:val="20"/>
        </w:rPr>
        <w:t>。</w:t>
      </w:r>
    </w:p>
    <w:p w14:paraId="3D8FB2F2">
      <w:pPr>
        <w:snapToGrid w:val="0"/>
        <w:spacing w:line="288" w:lineRule="auto"/>
        <w:outlineLvl w:val="2"/>
        <w:rPr>
          <w:rFonts w:hAnsi="Cambria Math"/>
          <w:sz w:val="20"/>
          <w:szCs w:val="20"/>
        </w:rPr>
      </w:pPr>
      <w:r>
        <w:rPr>
          <w:rFonts w:hint="eastAsia" w:hAnsi="Cambria Math"/>
          <w:b/>
          <w:sz w:val="20"/>
          <w:szCs w:val="20"/>
        </w:rPr>
        <w:t>5.6.</w:t>
      </w:r>
      <w:r>
        <w:rPr>
          <w:rFonts w:hAnsi="Cambria Math"/>
          <w:b/>
          <w:sz w:val="20"/>
          <w:szCs w:val="20"/>
        </w:rPr>
        <w:t>4</w:t>
      </w:r>
      <w:r>
        <w:rPr>
          <w:rFonts w:hint="eastAsia" w:hAnsi="Cambria Math"/>
          <w:bCs/>
          <w:sz w:val="20"/>
          <w:szCs w:val="20"/>
        </w:rPr>
        <w:t xml:space="preserve"> </w:t>
      </w:r>
      <w:r>
        <w:rPr>
          <w:rFonts w:hAnsi="Cambria Math"/>
          <w:bCs/>
          <w:sz w:val="20"/>
          <w:szCs w:val="20"/>
        </w:rPr>
        <w:t xml:space="preserve"> </w:t>
      </w:r>
      <w:r>
        <w:rPr>
          <w:rFonts w:hint="eastAsia"/>
          <w:sz w:val="20"/>
          <w:szCs w:val="20"/>
        </w:rPr>
        <w:t>浓泥注入压力值应配合动态监测确定</w:t>
      </w:r>
      <w:r>
        <w:rPr>
          <w:rFonts w:hint="eastAsia" w:hAnsi="Cambria Math"/>
          <w:sz w:val="20"/>
          <w:szCs w:val="20"/>
        </w:rPr>
        <w:t>，不宜低于0.8MPa。</w:t>
      </w:r>
    </w:p>
    <w:p w14:paraId="45634FC1">
      <w:pPr>
        <w:snapToGrid w:val="0"/>
        <w:spacing w:line="288" w:lineRule="auto"/>
        <w:outlineLvl w:val="2"/>
        <w:rPr>
          <w:sz w:val="20"/>
          <w:szCs w:val="20"/>
          <w:lang w:bidi="ar"/>
        </w:rPr>
      </w:pPr>
      <w:r>
        <w:rPr>
          <w:rFonts w:hint="eastAsia"/>
          <w:b/>
          <w:sz w:val="20"/>
          <w:szCs w:val="20"/>
          <w:lang w:bidi="ar"/>
        </w:rPr>
        <w:t>5.6.</w:t>
      </w:r>
      <w:r>
        <w:rPr>
          <w:b/>
          <w:sz w:val="20"/>
          <w:szCs w:val="20"/>
          <w:lang w:bidi="ar"/>
        </w:rPr>
        <w:t>5</w:t>
      </w:r>
      <w:r>
        <w:rPr>
          <w:rFonts w:hint="eastAsia"/>
          <w:b/>
          <w:sz w:val="20"/>
          <w:szCs w:val="20"/>
          <w:lang w:bidi="ar"/>
        </w:rPr>
        <w:t xml:space="preserve"> </w:t>
      </w:r>
      <w:r>
        <w:rPr>
          <w:rFonts w:hint="eastAsia"/>
          <w:sz w:val="20"/>
          <w:szCs w:val="20"/>
          <w:lang w:bidi="ar"/>
        </w:rPr>
        <w:t xml:space="preserve"> </w:t>
      </w:r>
      <w:r>
        <w:rPr>
          <w:rFonts w:hint="eastAsia"/>
          <w:sz w:val="20"/>
          <w:szCs w:val="20"/>
        </w:rPr>
        <w:t>浓泥宜</w:t>
      </w:r>
      <w:r>
        <w:rPr>
          <w:rFonts w:hint="eastAsia"/>
          <w:sz w:val="20"/>
          <w:szCs w:val="20"/>
          <w:lang w:bidi="ar"/>
        </w:rPr>
        <w:t>以膨润土为主要材料，并添加适量外加剂的泥浆</w:t>
      </w:r>
      <w:r>
        <w:rPr>
          <w:rFonts w:hint="eastAsia" w:hAnsi="Cambria Math"/>
          <w:bCs/>
          <w:sz w:val="20"/>
          <w:szCs w:val="20"/>
        </w:rPr>
        <w:t>，</w:t>
      </w:r>
      <w:r>
        <w:rPr>
          <w:rFonts w:hint="eastAsia"/>
          <w:sz w:val="20"/>
          <w:szCs w:val="20"/>
        </w:rPr>
        <w:t>具有大比重，不易被压缩的特性，</w:t>
      </w:r>
      <w:r>
        <w:rPr>
          <w:rFonts w:hint="eastAsia"/>
          <w:sz w:val="20"/>
          <w:szCs w:val="20"/>
          <w:lang w:bidi="ar"/>
        </w:rPr>
        <w:t>配比参数根据施工水文地质、沉降速率、周围土体摩阻力灵活调配。</w:t>
      </w:r>
    </w:p>
    <w:p w14:paraId="04A40BA6">
      <w:pPr>
        <w:snapToGrid w:val="0"/>
        <w:spacing w:line="288" w:lineRule="auto"/>
        <w:outlineLvl w:val="2"/>
        <w:rPr>
          <w:sz w:val="20"/>
          <w:szCs w:val="20"/>
          <w:lang w:bidi="ar"/>
        </w:rPr>
      </w:pPr>
      <w:r>
        <w:rPr>
          <w:rFonts w:hint="eastAsia"/>
          <w:b/>
          <w:sz w:val="20"/>
          <w:szCs w:val="20"/>
        </w:rPr>
        <w:t>5.</w:t>
      </w:r>
      <w:r>
        <w:rPr>
          <w:b/>
          <w:sz w:val="20"/>
          <w:szCs w:val="20"/>
        </w:rPr>
        <w:t>6</w:t>
      </w:r>
      <w:r>
        <w:rPr>
          <w:rFonts w:hint="eastAsia"/>
          <w:b/>
          <w:sz w:val="20"/>
          <w:szCs w:val="20"/>
        </w:rPr>
        <w:t>.</w:t>
      </w:r>
      <w:r>
        <w:rPr>
          <w:b/>
          <w:sz w:val="20"/>
          <w:szCs w:val="20"/>
        </w:rPr>
        <w:t>6</w:t>
      </w:r>
      <w:r>
        <w:rPr>
          <w:sz w:val="20"/>
          <w:szCs w:val="20"/>
        </w:rPr>
        <w:t xml:space="preserve">  </w:t>
      </w:r>
      <w:r>
        <w:rPr>
          <w:rFonts w:hint="eastAsia"/>
          <w:sz w:val="20"/>
          <w:szCs w:val="20"/>
        </w:rPr>
        <w:t>浓泥应采用搅拌机拌制，搅拌充分、均匀，现拌现用。</w:t>
      </w:r>
    </w:p>
    <w:p w14:paraId="02D958BE">
      <w:pPr>
        <w:pStyle w:val="3"/>
        <w:snapToGrid w:val="0"/>
        <w:spacing w:before="312" w:beforeLines="100" w:after="0" w:line="288" w:lineRule="auto"/>
        <w:jc w:val="center"/>
        <w:rPr>
          <w:rFonts w:ascii="Times New Roman" w:hAnsi="Times New Roman"/>
          <w:sz w:val="20"/>
          <w:szCs w:val="21"/>
        </w:rPr>
      </w:pPr>
      <w:bookmarkStart w:id="258" w:name="_Toc185235638"/>
      <w:bookmarkStart w:id="259" w:name="_Toc185236589"/>
      <w:bookmarkStart w:id="260" w:name="_Toc188612068"/>
      <w:bookmarkStart w:id="261" w:name="_Toc188798539"/>
      <w:bookmarkStart w:id="262" w:name="_Toc170810202"/>
      <w:r>
        <w:rPr>
          <w:rFonts w:ascii="Times New Roman" w:hAnsi="Times New Roman"/>
          <w:sz w:val="20"/>
          <w:szCs w:val="21"/>
        </w:rPr>
        <w:t>5.</w:t>
      </w:r>
      <w:r>
        <w:rPr>
          <w:rFonts w:hint="eastAsia" w:ascii="Times New Roman" w:hAnsi="Times New Roman"/>
          <w:sz w:val="20"/>
          <w:szCs w:val="21"/>
        </w:rPr>
        <w:t>7</w:t>
      </w:r>
      <w:r>
        <w:rPr>
          <w:rFonts w:ascii="Times New Roman" w:hAnsi="Times New Roman"/>
          <w:sz w:val="20"/>
          <w:szCs w:val="21"/>
        </w:rPr>
        <w:t xml:space="preserve"> </w:t>
      </w:r>
      <w:r>
        <w:rPr>
          <w:rFonts w:hint="eastAsia" w:ascii="Times New Roman" w:hAnsi="Times New Roman"/>
          <w:sz w:val="20"/>
          <w:szCs w:val="21"/>
        </w:rPr>
        <w:t xml:space="preserve"> </w:t>
      </w:r>
      <w:r>
        <w:rPr>
          <w:rFonts w:ascii="Times New Roman" w:hAnsi="Times New Roman"/>
          <w:sz w:val="20"/>
          <w:szCs w:val="21"/>
        </w:rPr>
        <w:t>纠</w:t>
      </w:r>
      <w:r>
        <w:rPr>
          <w:rFonts w:hint="eastAsia" w:ascii="Times New Roman" w:hAnsi="Times New Roman"/>
          <w:sz w:val="20"/>
          <w:szCs w:val="21"/>
        </w:rPr>
        <w:t xml:space="preserve"> </w:t>
      </w:r>
      <w:r>
        <w:rPr>
          <w:rFonts w:ascii="Times New Roman" w:hAnsi="Times New Roman"/>
          <w:sz w:val="20"/>
          <w:szCs w:val="21"/>
        </w:rPr>
        <w:t xml:space="preserve"> 偏</w:t>
      </w:r>
      <w:bookmarkEnd w:id="258"/>
      <w:bookmarkEnd w:id="259"/>
      <w:bookmarkEnd w:id="260"/>
      <w:bookmarkEnd w:id="261"/>
      <w:bookmarkEnd w:id="262"/>
    </w:p>
    <w:p w14:paraId="1492F857">
      <w:pPr>
        <w:snapToGrid w:val="0"/>
        <w:spacing w:line="288" w:lineRule="auto"/>
        <w:outlineLvl w:val="2"/>
        <w:rPr>
          <w:sz w:val="20"/>
          <w:szCs w:val="20"/>
        </w:rPr>
      </w:pPr>
      <w:r>
        <w:rPr>
          <w:b/>
          <w:sz w:val="20"/>
          <w:szCs w:val="20"/>
        </w:rPr>
        <w:t xml:space="preserve">5.7.1 </w:t>
      </w:r>
      <w:r>
        <w:rPr>
          <w:rFonts w:hint="eastAsia"/>
          <w:b/>
          <w:sz w:val="20"/>
          <w:szCs w:val="20"/>
        </w:rPr>
        <w:t xml:space="preserve"> </w:t>
      </w:r>
      <w:r>
        <w:rPr>
          <w:rFonts w:hint="eastAsia"/>
          <w:sz w:val="20"/>
          <w:szCs w:val="20"/>
        </w:rPr>
        <w:t>矩形顶管顶进过程中，应遵循“勤测量、勤纠偏、微纠偏”的原则，控制矩形顶管机前进方向和姿态，并应根据测量结果分析偏差产生的原因和发展趋势，确定纠偏措施。</w:t>
      </w:r>
    </w:p>
    <w:p w14:paraId="2A236BF3">
      <w:pPr>
        <w:snapToGrid w:val="0"/>
        <w:spacing w:line="288" w:lineRule="auto"/>
        <w:outlineLvl w:val="2"/>
        <w:rPr>
          <w:sz w:val="20"/>
          <w:szCs w:val="20"/>
        </w:rPr>
      </w:pPr>
      <w:r>
        <w:rPr>
          <w:b/>
          <w:sz w:val="20"/>
          <w:szCs w:val="20"/>
        </w:rPr>
        <w:t>5.7.2</w:t>
      </w:r>
      <w:r>
        <w:rPr>
          <w:sz w:val="20"/>
          <w:szCs w:val="20"/>
        </w:rPr>
        <w:t xml:space="preserve">  </w:t>
      </w:r>
      <w:r>
        <w:rPr>
          <w:rFonts w:hint="eastAsia"/>
          <w:sz w:val="20"/>
          <w:szCs w:val="20"/>
        </w:rPr>
        <w:t>顶进过程中应绘制顶管机水平与高程轨迹图、顶力变化曲线图、管节编号图，随时掌握顶进方向和趋势。</w:t>
      </w:r>
    </w:p>
    <w:p w14:paraId="304576FD">
      <w:pPr>
        <w:snapToGrid w:val="0"/>
        <w:spacing w:line="288" w:lineRule="auto"/>
        <w:outlineLvl w:val="2"/>
        <w:rPr>
          <w:sz w:val="20"/>
          <w:szCs w:val="20"/>
        </w:rPr>
      </w:pPr>
      <w:r>
        <w:rPr>
          <w:b/>
          <w:sz w:val="20"/>
          <w:szCs w:val="20"/>
        </w:rPr>
        <w:t xml:space="preserve">5.7.3  </w:t>
      </w:r>
      <w:r>
        <w:rPr>
          <w:rFonts w:hint="eastAsia"/>
          <w:sz w:val="20"/>
          <w:szCs w:val="20"/>
        </w:rPr>
        <w:t>应在顶进和刀盘旋转的过程中进行，并保持开挖面土体稳定。</w:t>
      </w:r>
    </w:p>
    <w:p w14:paraId="3624FD84">
      <w:pPr>
        <w:snapToGrid w:val="0"/>
        <w:spacing w:line="288" w:lineRule="auto"/>
        <w:outlineLvl w:val="2"/>
        <w:rPr>
          <w:sz w:val="20"/>
          <w:szCs w:val="20"/>
        </w:rPr>
      </w:pPr>
      <w:r>
        <w:rPr>
          <w:b/>
          <w:sz w:val="20"/>
          <w:szCs w:val="20"/>
        </w:rPr>
        <w:t xml:space="preserve">5.7.4  </w:t>
      </w:r>
      <w:r>
        <w:rPr>
          <w:rFonts w:hint="eastAsia"/>
          <w:sz w:val="20"/>
          <w:szCs w:val="20"/>
        </w:rPr>
        <w:t>应采用小角度纠偏方式，反复、多次进行纠偏。</w:t>
      </w:r>
    </w:p>
    <w:p w14:paraId="4758AD3D">
      <w:pPr>
        <w:pStyle w:val="3"/>
        <w:snapToGrid w:val="0"/>
        <w:spacing w:before="312" w:beforeLines="100" w:after="0" w:line="288" w:lineRule="auto"/>
        <w:jc w:val="center"/>
        <w:rPr>
          <w:rFonts w:ascii="Times New Roman" w:hAnsi="Times New Roman"/>
          <w:sz w:val="20"/>
          <w:szCs w:val="21"/>
        </w:rPr>
      </w:pPr>
      <w:bookmarkStart w:id="263" w:name="_Toc170810203"/>
      <w:bookmarkStart w:id="264" w:name="_Toc185235639"/>
      <w:bookmarkStart w:id="265" w:name="_Toc185236590"/>
      <w:bookmarkStart w:id="266" w:name="_Toc188612069"/>
      <w:bookmarkStart w:id="267" w:name="_Toc188798540"/>
      <w:r>
        <w:rPr>
          <w:rFonts w:ascii="Times New Roman" w:hAnsi="Times New Roman"/>
          <w:sz w:val="20"/>
          <w:szCs w:val="21"/>
        </w:rPr>
        <w:t>5.</w:t>
      </w:r>
      <w:r>
        <w:rPr>
          <w:rFonts w:hint="eastAsia" w:ascii="Times New Roman" w:hAnsi="Times New Roman"/>
          <w:sz w:val="20"/>
          <w:szCs w:val="21"/>
        </w:rPr>
        <w:t>8</w:t>
      </w:r>
      <w:r>
        <w:rPr>
          <w:rFonts w:ascii="Times New Roman" w:hAnsi="Times New Roman"/>
          <w:sz w:val="20"/>
          <w:szCs w:val="21"/>
        </w:rPr>
        <w:t xml:space="preserve">  </w:t>
      </w:r>
      <w:r>
        <w:rPr>
          <w:rFonts w:hint="eastAsia" w:ascii="Times New Roman" w:hAnsi="Times New Roman"/>
          <w:sz w:val="20"/>
          <w:szCs w:val="21"/>
        </w:rPr>
        <w:t>渣土</w:t>
      </w:r>
      <w:r>
        <w:rPr>
          <w:rFonts w:ascii="Times New Roman" w:hAnsi="Times New Roman"/>
          <w:sz w:val="20"/>
          <w:szCs w:val="21"/>
        </w:rPr>
        <w:t>改良</w:t>
      </w:r>
      <w:bookmarkEnd w:id="263"/>
      <w:bookmarkEnd w:id="264"/>
      <w:bookmarkEnd w:id="265"/>
      <w:bookmarkEnd w:id="266"/>
      <w:bookmarkEnd w:id="267"/>
    </w:p>
    <w:p w14:paraId="64159EE3">
      <w:pPr>
        <w:snapToGrid w:val="0"/>
        <w:spacing w:line="288" w:lineRule="auto"/>
        <w:outlineLvl w:val="2"/>
        <w:rPr>
          <w:rFonts w:hAnsi="Cambria Math"/>
          <w:bCs/>
          <w:sz w:val="20"/>
          <w:szCs w:val="20"/>
        </w:rPr>
      </w:pPr>
      <w:r>
        <w:rPr>
          <w:rFonts w:hint="eastAsia" w:hAnsi="Cambria Math"/>
          <w:b/>
          <w:bCs/>
          <w:sz w:val="20"/>
          <w:szCs w:val="20"/>
        </w:rPr>
        <w:t>5.</w:t>
      </w:r>
      <w:r>
        <w:rPr>
          <w:rFonts w:hAnsi="Cambria Math"/>
          <w:b/>
          <w:bCs/>
          <w:sz w:val="20"/>
          <w:szCs w:val="20"/>
        </w:rPr>
        <w:t>8</w:t>
      </w:r>
      <w:r>
        <w:rPr>
          <w:rFonts w:hint="eastAsia" w:hAnsi="Cambria Math"/>
          <w:b/>
          <w:bCs/>
          <w:sz w:val="20"/>
          <w:szCs w:val="20"/>
        </w:rPr>
        <w:t>.1</w:t>
      </w:r>
      <w:r>
        <w:rPr>
          <w:rFonts w:hint="eastAsia"/>
          <w:sz w:val="20"/>
          <w:szCs w:val="20"/>
        </w:rPr>
        <w:t>渣土改良应通过注浆孔向刀盘前方及土仓内注入添加剂</w:t>
      </w:r>
      <w:r>
        <w:rPr>
          <w:rFonts w:hint="eastAsia" w:hAnsi="Cambria Math"/>
          <w:bCs/>
          <w:sz w:val="20"/>
          <w:szCs w:val="20"/>
        </w:rPr>
        <w:t>，应根据不同的地层确定添加剂种类及注入量。</w:t>
      </w:r>
    </w:p>
    <w:p w14:paraId="7F43173D">
      <w:pPr>
        <w:snapToGrid w:val="0"/>
        <w:spacing w:line="288" w:lineRule="auto"/>
        <w:outlineLvl w:val="2"/>
        <w:rPr>
          <w:rFonts w:hAnsi="Cambria Math"/>
          <w:bCs/>
          <w:sz w:val="20"/>
          <w:szCs w:val="20"/>
        </w:rPr>
      </w:pPr>
      <w:r>
        <w:rPr>
          <w:rFonts w:hint="eastAsia" w:hAnsi="Cambria Math"/>
          <w:b/>
          <w:bCs/>
          <w:sz w:val="20"/>
          <w:szCs w:val="20"/>
        </w:rPr>
        <w:t>5.</w:t>
      </w:r>
      <w:r>
        <w:rPr>
          <w:rFonts w:hAnsi="Cambria Math"/>
          <w:b/>
          <w:bCs/>
          <w:sz w:val="20"/>
          <w:szCs w:val="20"/>
        </w:rPr>
        <w:t>8</w:t>
      </w:r>
      <w:r>
        <w:rPr>
          <w:rFonts w:hint="eastAsia" w:hAnsi="Cambria Math"/>
          <w:b/>
          <w:bCs/>
          <w:sz w:val="20"/>
          <w:szCs w:val="20"/>
        </w:rPr>
        <w:t xml:space="preserve">.2 </w:t>
      </w:r>
      <w:r>
        <w:rPr>
          <w:rFonts w:hAnsi="Cambria Math"/>
          <w:b/>
          <w:bCs/>
          <w:sz w:val="20"/>
          <w:szCs w:val="20"/>
        </w:rPr>
        <w:t xml:space="preserve"> </w:t>
      </w:r>
      <w:r>
        <w:rPr>
          <w:rFonts w:hint="eastAsia"/>
          <w:sz w:val="20"/>
          <w:szCs w:val="20"/>
        </w:rPr>
        <w:t>渣土改良后的效果及作用应满足下列要求</w:t>
      </w:r>
      <w:r>
        <w:rPr>
          <w:rFonts w:hint="eastAsia" w:hAnsi="Cambria Math"/>
          <w:bCs/>
          <w:sz w:val="20"/>
          <w:szCs w:val="20"/>
        </w:rPr>
        <w:t>：</w:t>
      </w:r>
    </w:p>
    <w:p w14:paraId="6EF1C24F">
      <w:pPr>
        <w:snapToGrid w:val="0"/>
        <w:spacing w:line="288" w:lineRule="auto"/>
        <w:ind w:firstLine="300" w:firstLineChars="150"/>
        <w:rPr>
          <w:rFonts w:hAnsi="Cambria Math"/>
          <w:bCs/>
          <w:sz w:val="20"/>
          <w:szCs w:val="20"/>
        </w:rPr>
      </w:pPr>
      <w:r>
        <w:rPr>
          <w:rFonts w:hint="eastAsia" w:hAnsi="Cambria Math"/>
          <w:b/>
          <w:bCs/>
          <w:sz w:val="20"/>
          <w:szCs w:val="20"/>
        </w:rPr>
        <w:t>1</w:t>
      </w:r>
      <w:r>
        <w:rPr>
          <w:rFonts w:hAnsi="Cambria Math"/>
          <w:b/>
          <w:bCs/>
          <w:sz w:val="20"/>
          <w:szCs w:val="20"/>
        </w:rPr>
        <w:t xml:space="preserve"> </w:t>
      </w:r>
      <w:r>
        <w:rPr>
          <w:rFonts w:hint="eastAsia" w:hAnsi="Cambria Math"/>
          <w:bCs/>
          <w:sz w:val="20"/>
          <w:szCs w:val="20"/>
        </w:rPr>
        <w:t>具有良好的塑性、流动性以及止水性，能够平稳控制土仓压力，平衡掌子面土、水压力；</w:t>
      </w:r>
    </w:p>
    <w:p w14:paraId="035BC52B">
      <w:pPr>
        <w:snapToGrid w:val="0"/>
        <w:spacing w:line="288" w:lineRule="auto"/>
        <w:ind w:firstLine="300" w:firstLineChars="150"/>
        <w:rPr>
          <w:rFonts w:hAnsi="Cambria Math"/>
          <w:bCs/>
          <w:sz w:val="20"/>
          <w:szCs w:val="20"/>
        </w:rPr>
      </w:pPr>
      <w:r>
        <w:rPr>
          <w:rFonts w:hint="eastAsia" w:hAnsi="Cambria Math"/>
          <w:b/>
          <w:bCs/>
          <w:sz w:val="20"/>
          <w:szCs w:val="20"/>
        </w:rPr>
        <w:t>2</w:t>
      </w:r>
      <w:r>
        <w:rPr>
          <w:rFonts w:hint="eastAsia" w:hAnsi="Cambria Math"/>
          <w:bCs/>
          <w:sz w:val="20"/>
          <w:szCs w:val="20"/>
        </w:rPr>
        <w:t xml:space="preserve"> 降低土体的内摩擦角，减小土体对刀具、面板、土仓及螺旋排土器的磨损；</w:t>
      </w:r>
    </w:p>
    <w:p w14:paraId="1F5A31B6">
      <w:pPr>
        <w:snapToGrid w:val="0"/>
        <w:spacing w:line="288" w:lineRule="auto"/>
        <w:ind w:firstLine="300" w:firstLineChars="150"/>
        <w:rPr>
          <w:sz w:val="20"/>
          <w:szCs w:val="20"/>
        </w:rPr>
      </w:pPr>
      <w:r>
        <w:rPr>
          <w:rFonts w:hint="eastAsia" w:hAnsi="Cambria Math"/>
          <w:b/>
          <w:bCs/>
          <w:sz w:val="20"/>
          <w:szCs w:val="20"/>
        </w:rPr>
        <w:t>3</w:t>
      </w:r>
      <w:r>
        <w:rPr>
          <w:rFonts w:hint="eastAsia" w:hAnsi="Cambria Math"/>
          <w:bCs/>
          <w:sz w:val="20"/>
          <w:szCs w:val="20"/>
        </w:rPr>
        <w:t xml:space="preserve"> 土体切削下来后，经过刀盘及搅拌棒的搅拌，应具有良好的流塑性，并顺利通过螺旋排土器排出。</w:t>
      </w:r>
    </w:p>
    <w:p w14:paraId="26D47609">
      <w:pPr>
        <w:pStyle w:val="3"/>
        <w:snapToGrid w:val="0"/>
        <w:spacing w:before="312" w:beforeLines="100" w:after="0" w:line="288" w:lineRule="auto"/>
        <w:jc w:val="center"/>
        <w:rPr>
          <w:rFonts w:ascii="Times New Roman" w:hAnsi="Times New Roman"/>
          <w:sz w:val="20"/>
          <w:szCs w:val="21"/>
        </w:rPr>
      </w:pPr>
      <w:bookmarkStart w:id="268" w:name="_Toc185235640"/>
      <w:bookmarkStart w:id="269" w:name="_Toc188798541"/>
      <w:bookmarkStart w:id="270" w:name="_Toc188612070"/>
      <w:bookmarkStart w:id="271" w:name="_Toc185236591"/>
      <w:bookmarkStart w:id="272" w:name="_Toc170810204"/>
      <w:r>
        <w:rPr>
          <w:rFonts w:ascii="Times New Roman" w:hAnsi="Times New Roman"/>
          <w:sz w:val="20"/>
          <w:szCs w:val="21"/>
        </w:rPr>
        <w:t>5.</w:t>
      </w:r>
      <w:r>
        <w:rPr>
          <w:rFonts w:hint="eastAsia" w:ascii="Times New Roman" w:hAnsi="Times New Roman"/>
          <w:sz w:val="20"/>
          <w:szCs w:val="21"/>
        </w:rPr>
        <w:t>9</w:t>
      </w:r>
      <w:r>
        <w:rPr>
          <w:rFonts w:ascii="Times New Roman" w:hAnsi="Times New Roman"/>
          <w:sz w:val="20"/>
          <w:szCs w:val="21"/>
        </w:rPr>
        <w:t xml:space="preserve">  泥浆置换</w:t>
      </w:r>
      <w:bookmarkEnd w:id="268"/>
      <w:bookmarkEnd w:id="269"/>
      <w:bookmarkEnd w:id="270"/>
      <w:bookmarkEnd w:id="271"/>
      <w:bookmarkEnd w:id="272"/>
    </w:p>
    <w:p w14:paraId="22B530DE">
      <w:pPr>
        <w:snapToGrid w:val="0"/>
        <w:spacing w:line="288" w:lineRule="auto"/>
        <w:outlineLvl w:val="2"/>
        <w:rPr>
          <w:rFonts w:hAnsi="Cambria Math"/>
          <w:bCs/>
          <w:sz w:val="20"/>
          <w:szCs w:val="20"/>
        </w:rPr>
      </w:pPr>
      <w:r>
        <w:rPr>
          <w:rFonts w:hint="eastAsia" w:hAnsi="Cambria Math"/>
          <w:b/>
          <w:bCs/>
          <w:sz w:val="20"/>
          <w:szCs w:val="20"/>
        </w:rPr>
        <w:t>5.</w:t>
      </w:r>
      <w:r>
        <w:rPr>
          <w:rFonts w:hAnsi="Cambria Math"/>
          <w:b/>
          <w:bCs/>
          <w:sz w:val="20"/>
          <w:szCs w:val="20"/>
        </w:rPr>
        <w:t>9</w:t>
      </w:r>
      <w:r>
        <w:rPr>
          <w:rFonts w:hint="eastAsia" w:hAnsi="Cambria Math"/>
          <w:b/>
          <w:bCs/>
          <w:sz w:val="20"/>
          <w:szCs w:val="20"/>
        </w:rPr>
        <w:t>.1</w:t>
      </w:r>
      <w:r>
        <w:rPr>
          <w:rFonts w:hint="eastAsia" w:hAnsi="Cambria Math"/>
          <w:bCs/>
          <w:sz w:val="20"/>
          <w:szCs w:val="20"/>
        </w:rPr>
        <w:t xml:space="preserve"> </w:t>
      </w:r>
      <w:r>
        <w:rPr>
          <w:rFonts w:hint="eastAsia"/>
          <w:sz w:val="20"/>
          <w:szCs w:val="20"/>
        </w:rPr>
        <w:t>顶管贯通且管节接口按设计要求处理后，</w:t>
      </w:r>
      <w:r>
        <w:rPr>
          <w:sz w:val="20"/>
          <w:szCs w:val="20"/>
        </w:rPr>
        <w:t>应进行</w:t>
      </w:r>
      <w:r>
        <w:rPr>
          <w:rFonts w:hint="eastAsia"/>
          <w:sz w:val="20"/>
          <w:szCs w:val="20"/>
        </w:rPr>
        <w:t>管节</w:t>
      </w:r>
      <w:r>
        <w:rPr>
          <w:sz w:val="20"/>
          <w:szCs w:val="20"/>
        </w:rPr>
        <w:t>外壁泥浆置换</w:t>
      </w:r>
      <w:r>
        <w:rPr>
          <w:rFonts w:hint="eastAsia" w:hAnsi="Cambria Math"/>
          <w:bCs/>
          <w:sz w:val="20"/>
          <w:szCs w:val="20"/>
        </w:rPr>
        <w:t>。</w:t>
      </w:r>
    </w:p>
    <w:p w14:paraId="66AA8E3E">
      <w:pPr>
        <w:snapToGrid w:val="0"/>
        <w:spacing w:line="288" w:lineRule="auto"/>
        <w:outlineLvl w:val="2"/>
        <w:rPr>
          <w:rFonts w:hAnsi="Cambria Math"/>
          <w:bCs/>
          <w:sz w:val="20"/>
          <w:szCs w:val="20"/>
        </w:rPr>
      </w:pPr>
      <w:r>
        <w:rPr>
          <w:rFonts w:hint="eastAsia" w:hAnsi="Cambria Math"/>
          <w:b/>
          <w:bCs/>
          <w:sz w:val="20"/>
          <w:szCs w:val="20"/>
        </w:rPr>
        <w:t>5.</w:t>
      </w:r>
      <w:r>
        <w:rPr>
          <w:rFonts w:hAnsi="Cambria Math"/>
          <w:b/>
          <w:bCs/>
          <w:sz w:val="20"/>
          <w:szCs w:val="20"/>
        </w:rPr>
        <w:t>9</w:t>
      </w:r>
      <w:r>
        <w:rPr>
          <w:rFonts w:hint="eastAsia" w:hAnsi="Cambria Math"/>
          <w:b/>
          <w:bCs/>
          <w:sz w:val="20"/>
          <w:szCs w:val="20"/>
        </w:rPr>
        <w:t>.2</w:t>
      </w:r>
      <w:r>
        <w:rPr>
          <w:rFonts w:hAnsi="Cambria Math"/>
          <w:b/>
          <w:bCs/>
          <w:sz w:val="20"/>
          <w:szCs w:val="20"/>
        </w:rPr>
        <w:t xml:space="preserve"> </w:t>
      </w:r>
      <w:r>
        <w:rPr>
          <w:sz w:val="20"/>
          <w:szCs w:val="20"/>
        </w:rPr>
        <w:t>置换材料宜选用易于固结或稳定性好的浆液</w:t>
      </w:r>
      <w:r>
        <w:rPr>
          <w:rFonts w:hint="eastAsia" w:hAnsi="Cambria Math"/>
          <w:bCs/>
          <w:sz w:val="20"/>
          <w:szCs w:val="20"/>
        </w:rPr>
        <w:t>。</w:t>
      </w:r>
    </w:p>
    <w:p w14:paraId="77755880">
      <w:pPr>
        <w:snapToGrid w:val="0"/>
        <w:spacing w:line="288" w:lineRule="auto"/>
        <w:outlineLvl w:val="2"/>
        <w:rPr>
          <w:rFonts w:hAnsi="Cambria Math"/>
          <w:bCs/>
          <w:sz w:val="20"/>
          <w:szCs w:val="20"/>
        </w:rPr>
      </w:pPr>
      <w:r>
        <w:rPr>
          <w:rFonts w:hint="eastAsia" w:hAnsi="Cambria Math"/>
          <w:b/>
          <w:bCs/>
          <w:sz w:val="20"/>
          <w:szCs w:val="20"/>
        </w:rPr>
        <w:t>5.</w:t>
      </w:r>
      <w:r>
        <w:rPr>
          <w:rFonts w:hAnsi="Cambria Math"/>
          <w:b/>
          <w:bCs/>
          <w:sz w:val="20"/>
          <w:szCs w:val="20"/>
        </w:rPr>
        <w:t>9</w:t>
      </w:r>
      <w:r>
        <w:rPr>
          <w:rFonts w:hint="eastAsia" w:hAnsi="Cambria Math"/>
          <w:b/>
          <w:bCs/>
          <w:sz w:val="20"/>
          <w:szCs w:val="20"/>
        </w:rPr>
        <w:t>.3</w:t>
      </w:r>
      <w:r>
        <w:rPr>
          <w:rFonts w:hAnsi="Cambria Math"/>
          <w:b/>
          <w:bCs/>
          <w:sz w:val="20"/>
          <w:szCs w:val="20"/>
        </w:rPr>
        <w:t xml:space="preserve"> </w:t>
      </w:r>
      <w:r>
        <w:rPr>
          <w:rFonts w:hint="eastAsia"/>
          <w:sz w:val="20"/>
          <w:szCs w:val="20"/>
        </w:rPr>
        <w:t>置换注浆压力及</w:t>
      </w:r>
      <w:r>
        <w:rPr>
          <w:sz w:val="20"/>
          <w:szCs w:val="20"/>
        </w:rPr>
        <w:t>注浆量</w:t>
      </w:r>
      <w:r>
        <w:rPr>
          <w:rFonts w:hint="eastAsia"/>
          <w:sz w:val="20"/>
          <w:szCs w:val="20"/>
        </w:rPr>
        <w:t>应根据覆土</w:t>
      </w:r>
      <w:r>
        <w:rPr>
          <w:sz w:val="20"/>
          <w:szCs w:val="20"/>
        </w:rPr>
        <w:t>深度</w:t>
      </w:r>
      <w:r>
        <w:rPr>
          <w:rFonts w:hAnsi="Cambria Math"/>
          <w:bCs/>
          <w:sz w:val="20"/>
          <w:szCs w:val="20"/>
        </w:rPr>
        <w:t>、地层</w:t>
      </w:r>
      <w:r>
        <w:rPr>
          <w:rFonts w:hint="eastAsia" w:hAnsi="Cambria Math"/>
          <w:bCs/>
          <w:sz w:val="20"/>
          <w:szCs w:val="20"/>
        </w:rPr>
        <w:t>及</w:t>
      </w:r>
      <w:r>
        <w:rPr>
          <w:rFonts w:hAnsi="Cambria Math"/>
          <w:bCs/>
          <w:sz w:val="20"/>
          <w:szCs w:val="20"/>
        </w:rPr>
        <w:t>地下水</w:t>
      </w:r>
      <w:r>
        <w:rPr>
          <w:rFonts w:hint="eastAsia" w:hAnsi="Cambria Math"/>
          <w:bCs/>
          <w:sz w:val="20"/>
          <w:szCs w:val="20"/>
        </w:rPr>
        <w:t>等</w:t>
      </w:r>
      <w:r>
        <w:rPr>
          <w:rFonts w:hAnsi="Cambria Math"/>
          <w:bCs/>
          <w:sz w:val="20"/>
          <w:szCs w:val="20"/>
        </w:rPr>
        <w:t>情况确定，</w:t>
      </w:r>
      <w:r>
        <w:rPr>
          <w:rFonts w:hint="eastAsia" w:hAnsi="Cambria Math"/>
          <w:bCs/>
          <w:sz w:val="20"/>
          <w:szCs w:val="20"/>
        </w:rPr>
        <w:t>注浆量宜为管壁与土体间隙的1.5倍～</w:t>
      </w:r>
      <w:r>
        <w:rPr>
          <w:rFonts w:hAnsi="Cambria Math"/>
          <w:bCs/>
          <w:sz w:val="20"/>
          <w:szCs w:val="20"/>
        </w:rPr>
        <w:t>2</w:t>
      </w:r>
      <w:r>
        <w:rPr>
          <w:rFonts w:hint="eastAsia" w:hAnsi="Cambria Math"/>
          <w:bCs/>
          <w:sz w:val="20"/>
          <w:szCs w:val="20"/>
        </w:rPr>
        <w:t>倍，</w:t>
      </w:r>
      <w:r>
        <w:rPr>
          <w:rFonts w:hint="eastAsia"/>
          <w:sz w:val="20"/>
          <w:szCs w:val="20"/>
        </w:rPr>
        <w:t>注浆压力宜为主动土压力与被动土压力之间。</w:t>
      </w:r>
    </w:p>
    <w:p w14:paraId="4E12905F">
      <w:pPr>
        <w:snapToGrid w:val="0"/>
        <w:spacing w:line="288" w:lineRule="auto"/>
        <w:outlineLvl w:val="2"/>
        <w:rPr>
          <w:rFonts w:ascii="Cambria Math" w:hAnsi="Cambria Math" w:cs="Cambria Math"/>
          <w:kern w:val="0"/>
          <w:sz w:val="20"/>
          <w:szCs w:val="20"/>
          <w:lang w:bidi="ar"/>
        </w:rPr>
      </w:pPr>
      <w:r>
        <w:rPr>
          <w:rFonts w:hint="eastAsia" w:hAnsi="Cambria Math"/>
          <w:b/>
          <w:bCs/>
          <w:sz w:val="20"/>
          <w:szCs w:val="20"/>
        </w:rPr>
        <w:t>5.</w:t>
      </w:r>
      <w:r>
        <w:rPr>
          <w:rFonts w:hAnsi="Cambria Math"/>
          <w:b/>
          <w:bCs/>
          <w:sz w:val="20"/>
          <w:szCs w:val="20"/>
        </w:rPr>
        <w:t>9</w:t>
      </w:r>
      <w:r>
        <w:rPr>
          <w:rFonts w:hint="eastAsia" w:hAnsi="Cambria Math"/>
          <w:b/>
          <w:bCs/>
          <w:sz w:val="20"/>
          <w:szCs w:val="20"/>
        </w:rPr>
        <w:t>.</w:t>
      </w:r>
      <w:r>
        <w:rPr>
          <w:rFonts w:hAnsi="Cambria Math"/>
          <w:b/>
          <w:bCs/>
          <w:sz w:val="20"/>
          <w:szCs w:val="20"/>
        </w:rPr>
        <w:t>4</w:t>
      </w:r>
      <w:r>
        <w:rPr>
          <w:rFonts w:hint="eastAsia" w:hAnsi="Cambria Math"/>
          <w:bCs/>
          <w:sz w:val="20"/>
          <w:szCs w:val="20"/>
        </w:rPr>
        <w:t xml:space="preserve">  </w:t>
      </w:r>
      <w:r>
        <w:rPr>
          <w:rFonts w:hint="eastAsia"/>
          <w:sz w:val="20"/>
          <w:szCs w:val="20"/>
        </w:rPr>
        <w:t>置换注浆应从一端开始，依次循环进行</w:t>
      </w:r>
      <w:r>
        <w:rPr>
          <w:rFonts w:hint="eastAsia"/>
          <w:sz w:val="20"/>
          <w:szCs w:val="20"/>
          <w:lang w:bidi="ar"/>
        </w:rPr>
        <w:t>，循环</w:t>
      </w:r>
      <w:r>
        <w:rPr>
          <w:rFonts w:hint="eastAsia" w:ascii="Cambria Math" w:hAnsi="Cambria Math" w:cs="Cambria Math"/>
          <w:kern w:val="0"/>
          <w:sz w:val="20"/>
          <w:szCs w:val="20"/>
          <w:lang w:bidi="ar"/>
        </w:rPr>
        <w:t>次数不宜少于三次。</w:t>
      </w:r>
    </w:p>
    <w:p w14:paraId="3668823A">
      <w:pPr>
        <w:pStyle w:val="3"/>
        <w:snapToGrid w:val="0"/>
        <w:spacing w:before="312" w:beforeLines="100" w:after="0" w:line="288" w:lineRule="auto"/>
        <w:jc w:val="center"/>
        <w:rPr>
          <w:rFonts w:ascii="Times New Roman" w:hAnsi="Times New Roman"/>
          <w:sz w:val="20"/>
          <w:szCs w:val="21"/>
        </w:rPr>
      </w:pPr>
      <w:bookmarkStart w:id="273" w:name="_Toc185235641"/>
      <w:bookmarkStart w:id="274" w:name="_Toc185236592"/>
      <w:bookmarkStart w:id="275" w:name="_Toc164082922"/>
      <w:bookmarkStart w:id="276" w:name="_Toc188612071"/>
      <w:bookmarkStart w:id="277" w:name="_Toc188798542"/>
      <w:r>
        <w:rPr>
          <w:rFonts w:hint="eastAsia" w:ascii="Times New Roman" w:hAnsi="Times New Roman"/>
          <w:sz w:val="20"/>
          <w:szCs w:val="21"/>
        </w:rPr>
        <w:t>5</w:t>
      </w:r>
      <w:r>
        <w:rPr>
          <w:rFonts w:ascii="Times New Roman" w:hAnsi="Times New Roman"/>
          <w:sz w:val="20"/>
          <w:szCs w:val="21"/>
        </w:rPr>
        <w:t xml:space="preserve">.10 </w:t>
      </w:r>
      <w:r>
        <w:rPr>
          <w:rFonts w:hint="eastAsia" w:ascii="Times New Roman" w:hAnsi="Times New Roman"/>
          <w:sz w:val="20"/>
          <w:szCs w:val="21"/>
        </w:rPr>
        <w:t xml:space="preserve"> 中继间设置</w:t>
      </w:r>
      <w:bookmarkEnd w:id="273"/>
      <w:bookmarkEnd w:id="274"/>
      <w:bookmarkEnd w:id="275"/>
      <w:bookmarkEnd w:id="276"/>
      <w:bookmarkEnd w:id="277"/>
    </w:p>
    <w:p w14:paraId="7A97DF46">
      <w:pPr>
        <w:snapToGrid w:val="0"/>
        <w:spacing w:line="288" w:lineRule="auto"/>
        <w:outlineLvl w:val="2"/>
        <w:rPr>
          <w:rFonts w:hAnsi="Cambria Math"/>
          <w:bCs/>
          <w:sz w:val="20"/>
          <w:szCs w:val="20"/>
        </w:rPr>
      </w:pPr>
      <w:r>
        <w:rPr>
          <w:rFonts w:hint="eastAsia" w:hAnsi="Cambria Math"/>
          <w:b/>
          <w:bCs/>
          <w:sz w:val="20"/>
          <w:szCs w:val="20"/>
        </w:rPr>
        <w:t>5.</w:t>
      </w:r>
      <w:r>
        <w:rPr>
          <w:rFonts w:hAnsi="Cambria Math"/>
          <w:b/>
          <w:bCs/>
          <w:sz w:val="20"/>
          <w:szCs w:val="20"/>
        </w:rPr>
        <w:t>10</w:t>
      </w:r>
      <w:r>
        <w:rPr>
          <w:rFonts w:hint="eastAsia" w:hAnsi="Cambria Math"/>
          <w:b/>
          <w:bCs/>
          <w:sz w:val="20"/>
          <w:szCs w:val="20"/>
        </w:rPr>
        <w:t xml:space="preserve">.1 </w:t>
      </w:r>
      <w:r>
        <w:rPr>
          <w:rFonts w:hint="eastAsia"/>
          <w:sz w:val="20"/>
          <w:szCs w:val="20"/>
        </w:rPr>
        <w:t>当顶力超过主顶工作站的推进能力或反力装置所允许的最大荷载</w:t>
      </w:r>
      <w:r>
        <w:rPr>
          <w:rFonts w:hint="eastAsia" w:hAnsi="Cambria Math"/>
          <w:bCs/>
          <w:sz w:val="20"/>
          <w:szCs w:val="20"/>
        </w:rPr>
        <w:t>70%时，需要在管节中安装中继间进行辅助施工。</w:t>
      </w:r>
    </w:p>
    <w:p w14:paraId="20D21164">
      <w:pPr>
        <w:snapToGrid w:val="0"/>
        <w:spacing w:line="288" w:lineRule="auto"/>
        <w:outlineLvl w:val="2"/>
        <w:rPr>
          <w:rFonts w:hAnsi="Cambria Math"/>
          <w:b/>
          <w:sz w:val="20"/>
          <w:szCs w:val="20"/>
        </w:rPr>
      </w:pPr>
      <w:r>
        <w:rPr>
          <w:rFonts w:hint="eastAsia" w:hAnsi="Cambria Math"/>
          <w:b/>
          <w:sz w:val="20"/>
          <w:szCs w:val="20"/>
        </w:rPr>
        <w:t>5.10.2</w:t>
      </w:r>
      <w:r>
        <w:rPr>
          <w:rFonts w:hint="eastAsia" w:hAnsi="Cambria Math"/>
          <w:sz w:val="20"/>
          <w:szCs w:val="20"/>
        </w:rPr>
        <w:t xml:space="preserve"> </w:t>
      </w:r>
      <w:r>
        <w:rPr>
          <w:rFonts w:hint="eastAsia"/>
          <w:sz w:val="20"/>
          <w:szCs w:val="20"/>
        </w:rPr>
        <w:t>中继间</w:t>
      </w:r>
      <w:r>
        <w:rPr>
          <w:sz w:val="20"/>
          <w:szCs w:val="20"/>
        </w:rPr>
        <w:t>的使用应符合</w:t>
      </w:r>
      <w:r>
        <w:rPr>
          <w:rFonts w:hint="eastAsia"/>
          <w:sz w:val="20"/>
          <w:szCs w:val="20"/>
        </w:rPr>
        <w:t>下列</w:t>
      </w:r>
      <w:r>
        <w:rPr>
          <w:sz w:val="20"/>
          <w:szCs w:val="20"/>
        </w:rPr>
        <w:t>规定</w:t>
      </w:r>
      <w:r>
        <w:rPr>
          <w:rFonts w:hAnsi="Cambria Math"/>
          <w:sz w:val="20"/>
          <w:szCs w:val="20"/>
        </w:rPr>
        <w:t>：</w:t>
      </w:r>
    </w:p>
    <w:p w14:paraId="60D41382">
      <w:pPr>
        <w:snapToGrid w:val="0"/>
        <w:spacing w:line="288" w:lineRule="auto"/>
        <w:ind w:firstLine="300" w:firstLineChars="150"/>
        <w:rPr>
          <w:rFonts w:hAnsi="Cambria Math"/>
          <w:bCs/>
          <w:sz w:val="20"/>
          <w:szCs w:val="20"/>
        </w:rPr>
      </w:pPr>
      <w:r>
        <w:rPr>
          <w:rFonts w:hint="eastAsia" w:hAnsi="Cambria Math"/>
          <w:b/>
          <w:bCs/>
          <w:sz w:val="20"/>
          <w:szCs w:val="20"/>
        </w:rPr>
        <w:t>1</w:t>
      </w:r>
      <w:r>
        <w:rPr>
          <w:rFonts w:hint="eastAsia" w:hAnsi="Cambria Math"/>
          <w:bCs/>
          <w:sz w:val="20"/>
          <w:szCs w:val="20"/>
        </w:rPr>
        <w:t xml:space="preserve">  </w:t>
      </w:r>
      <w:r>
        <w:rPr>
          <w:rFonts w:hint="eastAsia"/>
          <w:sz w:val="20"/>
          <w:szCs w:val="20"/>
        </w:rPr>
        <w:t>中继间的加设及数量</w:t>
      </w:r>
      <w:r>
        <w:rPr>
          <w:rFonts w:hint="eastAsia" w:hAnsi="Cambria Math"/>
          <w:bCs/>
          <w:sz w:val="20"/>
          <w:szCs w:val="20"/>
        </w:rPr>
        <w:t>，应按顶进总顶力及管壁的承受能力确定；</w:t>
      </w:r>
    </w:p>
    <w:p w14:paraId="642627C9">
      <w:pPr>
        <w:snapToGrid w:val="0"/>
        <w:spacing w:line="288" w:lineRule="auto"/>
        <w:ind w:firstLine="300" w:firstLineChars="150"/>
        <w:rPr>
          <w:rFonts w:hAnsi="Cambria Math"/>
          <w:bCs/>
          <w:sz w:val="20"/>
          <w:szCs w:val="20"/>
        </w:rPr>
      </w:pPr>
      <w:r>
        <w:rPr>
          <w:rFonts w:hint="eastAsia" w:hAnsi="Cambria Math"/>
          <w:b/>
          <w:bCs/>
          <w:sz w:val="20"/>
          <w:szCs w:val="20"/>
        </w:rPr>
        <w:t>2</w:t>
      </w:r>
      <w:r>
        <w:rPr>
          <w:rFonts w:hint="eastAsia" w:hAnsi="Cambria Math"/>
          <w:bCs/>
          <w:sz w:val="20"/>
          <w:szCs w:val="20"/>
        </w:rPr>
        <w:t xml:space="preserve">  主顶油缸</w:t>
      </w:r>
      <w:r>
        <w:rPr>
          <w:rFonts w:hint="eastAsia"/>
          <w:sz w:val="20"/>
          <w:szCs w:val="20"/>
        </w:rPr>
        <w:t>推力达到中继间推力的</w:t>
      </w:r>
      <w:r>
        <w:rPr>
          <w:rFonts w:hint="eastAsia" w:hAnsi="Cambria Math"/>
          <w:bCs/>
          <w:sz w:val="20"/>
          <w:szCs w:val="20"/>
        </w:rPr>
        <w:t>40%</w:t>
      </w:r>
      <w:r>
        <w:rPr>
          <w:rFonts w:hint="eastAsia"/>
          <w:sz w:val="20"/>
          <w:szCs w:val="20"/>
        </w:rPr>
        <w:t>～</w:t>
      </w:r>
      <w:r>
        <w:rPr>
          <w:rFonts w:hint="eastAsia" w:hAnsi="Cambria Math"/>
          <w:bCs/>
          <w:sz w:val="20"/>
          <w:szCs w:val="20"/>
        </w:rPr>
        <w:t>60%时，放置第一个中继间；此后每当主顶油缸推力达到中继间推力的</w:t>
      </w:r>
      <w:r>
        <w:rPr>
          <w:rFonts w:hAnsi="Cambria Math"/>
          <w:bCs/>
          <w:sz w:val="20"/>
          <w:szCs w:val="20"/>
        </w:rPr>
        <w:t>7</w:t>
      </w:r>
      <w:r>
        <w:rPr>
          <w:rFonts w:hint="eastAsia" w:hAnsi="Cambria Math"/>
          <w:bCs/>
          <w:sz w:val="20"/>
          <w:szCs w:val="20"/>
        </w:rPr>
        <w:t>0%</w:t>
      </w:r>
      <w:r>
        <w:rPr>
          <w:rFonts w:hint="eastAsia"/>
          <w:sz w:val="20"/>
          <w:szCs w:val="20"/>
        </w:rPr>
        <w:t>～</w:t>
      </w:r>
      <w:r>
        <w:rPr>
          <w:rFonts w:hint="eastAsia" w:hAnsi="Cambria Math"/>
          <w:bCs/>
          <w:sz w:val="20"/>
          <w:szCs w:val="20"/>
        </w:rPr>
        <w:t>80%时加设下一个中继间；</w:t>
      </w:r>
    </w:p>
    <w:p w14:paraId="5B2C8024">
      <w:pPr>
        <w:snapToGrid w:val="0"/>
        <w:spacing w:line="288" w:lineRule="auto"/>
        <w:ind w:firstLine="300" w:firstLineChars="150"/>
        <w:rPr>
          <w:rFonts w:hAnsi="Cambria Math"/>
          <w:bCs/>
          <w:sz w:val="20"/>
          <w:szCs w:val="20"/>
        </w:rPr>
      </w:pPr>
      <w:r>
        <w:rPr>
          <w:rFonts w:hAnsi="Cambria Math"/>
          <w:b/>
          <w:bCs/>
          <w:sz w:val="20"/>
          <w:szCs w:val="20"/>
        </w:rPr>
        <w:t xml:space="preserve">3  </w:t>
      </w:r>
      <w:r>
        <w:rPr>
          <w:rFonts w:hint="eastAsia"/>
          <w:sz w:val="20"/>
          <w:szCs w:val="20"/>
        </w:rPr>
        <w:t>最后一个中继间安装完成后</w:t>
      </w:r>
      <w:r>
        <w:rPr>
          <w:rFonts w:hint="eastAsia" w:hAnsi="Cambria Math"/>
          <w:bCs/>
          <w:sz w:val="20"/>
          <w:szCs w:val="20"/>
        </w:rPr>
        <w:t>，主顶油缸的总顶进力达到主顶油缸额定推力90%时，应启动中继间接力顶进。</w:t>
      </w:r>
    </w:p>
    <w:p w14:paraId="1A8C7B80">
      <w:pPr>
        <w:snapToGrid w:val="0"/>
        <w:spacing w:line="288" w:lineRule="auto"/>
        <w:outlineLvl w:val="2"/>
        <w:rPr>
          <w:rFonts w:hAnsi="Cambria Math"/>
          <w:bCs/>
          <w:sz w:val="20"/>
          <w:szCs w:val="20"/>
        </w:rPr>
      </w:pPr>
      <w:r>
        <w:rPr>
          <w:rFonts w:hint="eastAsia" w:hAnsi="Cambria Math"/>
          <w:b/>
          <w:bCs/>
          <w:sz w:val="20"/>
          <w:szCs w:val="20"/>
        </w:rPr>
        <w:t>5.10.</w:t>
      </w:r>
      <w:r>
        <w:rPr>
          <w:rFonts w:hAnsi="Cambria Math"/>
          <w:b/>
          <w:bCs/>
          <w:sz w:val="20"/>
          <w:szCs w:val="20"/>
        </w:rPr>
        <w:t>3</w:t>
      </w:r>
      <w:r>
        <w:rPr>
          <w:rFonts w:hint="eastAsia" w:hAnsi="Cambria Math"/>
          <w:b/>
          <w:bCs/>
          <w:sz w:val="20"/>
          <w:szCs w:val="20"/>
        </w:rPr>
        <w:t xml:space="preserve"> </w:t>
      </w:r>
      <w:r>
        <w:rPr>
          <w:rFonts w:hint="eastAsia"/>
          <w:sz w:val="20"/>
          <w:szCs w:val="20"/>
        </w:rPr>
        <w:t>中继间的构造应符合下列规定</w:t>
      </w:r>
      <w:r>
        <w:rPr>
          <w:rFonts w:hint="eastAsia" w:hAnsi="Cambria Math"/>
          <w:bCs/>
          <w:sz w:val="20"/>
          <w:szCs w:val="20"/>
        </w:rPr>
        <w:t>：</w:t>
      </w:r>
    </w:p>
    <w:p w14:paraId="7791DA80">
      <w:pPr>
        <w:snapToGrid w:val="0"/>
        <w:spacing w:line="288" w:lineRule="auto"/>
        <w:ind w:firstLine="300" w:firstLineChars="150"/>
        <w:rPr>
          <w:sz w:val="20"/>
          <w:szCs w:val="20"/>
        </w:rPr>
      </w:pPr>
      <w:r>
        <w:rPr>
          <w:rFonts w:hint="eastAsia" w:hAnsi="Cambria Math"/>
          <w:b/>
          <w:bCs/>
          <w:sz w:val="20"/>
          <w:szCs w:val="20"/>
        </w:rPr>
        <w:t xml:space="preserve">1 </w:t>
      </w:r>
      <w:r>
        <w:rPr>
          <w:rFonts w:hAnsi="Cambria Math"/>
          <w:b/>
          <w:bCs/>
          <w:sz w:val="20"/>
          <w:szCs w:val="20"/>
        </w:rPr>
        <w:t xml:space="preserve"> </w:t>
      </w:r>
      <w:r>
        <w:rPr>
          <w:rFonts w:hint="eastAsia"/>
          <w:sz w:val="20"/>
          <w:szCs w:val="20"/>
        </w:rPr>
        <w:t>中继间的合力中心应可调节</w:t>
      </w:r>
      <w:r>
        <w:rPr>
          <w:rFonts w:hint="eastAsia" w:hAnsi="Cambria Math"/>
          <w:bCs/>
          <w:sz w:val="20"/>
          <w:szCs w:val="20"/>
        </w:rPr>
        <w:t>，油缸应满足顶进与纠偏的需要；</w:t>
      </w:r>
    </w:p>
    <w:p w14:paraId="32B5DF39">
      <w:pPr>
        <w:snapToGrid w:val="0"/>
        <w:spacing w:line="288" w:lineRule="auto"/>
        <w:ind w:firstLine="300" w:firstLineChars="150"/>
        <w:rPr>
          <w:rFonts w:hAnsi="Cambria Math"/>
          <w:bCs/>
          <w:sz w:val="20"/>
          <w:szCs w:val="20"/>
        </w:rPr>
      </w:pPr>
      <w:r>
        <w:rPr>
          <w:rFonts w:hint="eastAsia" w:hAnsi="Cambria Math"/>
          <w:b/>
          <w:bCs/>
          <w:sz w:val="20"/>
          <w:szCs w:val="20"/>
        </w:rPr>
        <w:t xml:space="preserve">2 </w:t>
      </w:r>
      <w:r>
        <w:rPr>
          <w:rFonts w:hAnsi="Cambria Math"/>
          <w:b/>
          <w:bCs/>
          <w:sz w:val="20"/>
          <w:szCs w:val="20"/>
        </w:rPr>
        <w:t xml:space="preserve"> </w:t>
      </w:r>
      <w:r>
        <w:rPr>
          <w:rFonts w:hint="eastAsia"/>
          <w:sz w:val="20"/>
          <w:szCs w:val="20"/>
        </w:rPr>
        <w:t>中继间应有足够的刚度</w:t>
      </w:r>
      <w:r>
        <w:rPr>
          <w:rFonts w:hint="eastAsia" w:hAnsi="Cambria Math"/>
          <w:bCs/>
          <w:sz w:val="20"/>
          <w:szCs w:val="20"/>
        </w:rPr>
        <w:t>，中继间应带有木质的传压环和钢制的均压环，端面的尺寸必须同作用于其上的顶进力相适应；</w:t>
      </w:r>
    </w:p>
    <w:p w14:paraId="4B07AA60">
      <w:pPr>
        <w:snapToGrid w:val="0"/>
        <w:spacing w:line="288" w:lineRule="auto"/>
        <w:ind w:firstLine="300" w:firstLineChars="150"/>
        <w:rPr>
          <w:rFonts w:hAnsi="Cambria Math"/>
          <w:bCs/>
          <w:sz w:val="20"/>
          <w:szCs w:val="20"/>
        </w:rPr>
      </w:pPr>
      <w:r>
        <w:rPr>
          <w:rFonts w:hint="eastAsia" w:hAnsi="Cambria Math"/>
          <w:b/>
          <w:bCs/>
          <w:sz w:val="20"/>
          <w:szCs w:val="20"/>
        </w:rPr>
        <w:t xml:space="preserve">3 </w:t>
      </w:r>
      <w:r>
        <w:rPr>
          <w:rFonts w:hAnsi="Cambria Math"/>
          <w:b/>
          <w:bCs/>
          <w:sz w:val="20"/>
          <w:szCs w:val="20"/>
        </w:rPr>
        <w:t xml:space="preserve"> </w:t>
      </w:r>
      <w:r>
        <w:rPr>
          <w:rFonts w:hint="eastAsia"/>
          <w:sz w:val="20"/>
          <w:szCs w:val="20"/>
        </w:rPr>
        <w:t>中继间应选用具有密封性能可靠</w:t>
      </w:r>
      <w:r>
        <w:rPr>
          <w:rFonts w:hint="eastAsia" w:hAnsi="Cambria Math"/>
          <w:bCs/>
          <w:sz w:val="20"/>
          <w:szCs w:val="20"/>
        </w:rPr>
        <w:t>、密封圈压紧度可调及可更换的密封装置；</w:t>
      </w:r>
    </w:p>
    <w:p w14:paraId="04FE1C2B">
      <w:pPr>
        <w:snapToGrid w:val="0"/>
        <w:spacing w:line="288" w:lineRule="auto"/>
        <w:ind w:firstLine="300" w:firstLineChars="150"/>
        <w:rPr>
          <w:rFonts w:hAnsi="Cambria Math"/>
          <w:bCs/>
          <w:sz w:val="20"/>
          <w:szCs w:val="20"/>
        </w:rPr>
      </w:pPr>
      <w:r>
        <w:rPr>
          <w:rFonts w:hAnsi="Cambria Math"/>
          <w:b/>
          <w:bCs/>
          <w:sz w:val="20"/>
          <w:szCs w:val="20"/>
        </w:rPr>
        <w:t>4</w:t>
      </w:r>
      <w:r>
        <w:rPr>
          <w:rFonts w:hint="eastAsia" w:hAnsi="Cambria Math"/>
          <w:bCs/>
          <w:sz w:val="20"/>
          <w:szCs w:val="20"/>
        </w:rPr>
        <w:t xml:space="preserve"> </w:t>
      </w:r>
      <w:r>
        <w:rPr>
          <w:rFonts w:hAnsi="Cambria Math"/>
          <w:bCs/>
          <w:sz w:val="20"/>
          <w:szCs w:val="20"/>
        </w:rPr>
        <w:t xml:space="preserve"> </w:t>
      </w:r>
      <w:r>
        <w:rPr>
          <w:rFonts w:hint="eastAsia"/>
          <w:sz w:val="20"/>
          <w:szCs w:val="20"/>
        </w:rPr>
        <w:t>中继间应结合复原管节的工艺进行设计</w:t>
      </w:r>
      <w:r>
        <w:rPr>
          <w:rFonts w:hint="eastAsia" w:hAnsi="Cambria Math"/>
          <w:bCs/>
          <w:sz w:val="20"/>
          <w:szCs w:val="20"/>
        </w:rPr>
        <w:t>，设计应满足强度与耐久性要求。</w:t>
      </w:r>
    </w:p>
    <w:p w14:paraId="5FD39F67">
      <w:pPr>
        <w:snapToGrid w:val="0"/>
        <w:spacing w:line="288" w:lineRule="auto"/>
        <w:outlineLvl w:val="2"/>
        <w:rPr>
          <w:bCs/>
          <w:sz w:val="20"/>
          <w:szCs w:val="20"/>
        </w:rPr>
      </w:pPr>
      <w:r>
        <w:rPr>
          <w:rFonts w:hint="eastAsia" w:hAnsi="Cambria Math"/>
          <w:b/>
          <w:bCs/>
          <w:sz w:val="20"/>
          <w:szCs w:val="20"/>
        </w:rPr>
        <w:t>5.10.4</w:t>
      </w:r>
      <w:r>
        <w:rPr>
          <w:rFonts w:hint="eastAsia" w:hAnsi="Cambria Math"/>
          <w:bCs/>
          <w:sz w:val="20"/>
          <w:szCs w:val="20"/>
        </w:rPr>
        <w:t xml:space="preserve"> </w:t>
      </w:r>
      <w:r>
        <w:rPr>
          <w:rFonts w:hint="eastAsia"/>
          <w:sz w:val="20"/>
          <w:szCs w:val="20"/>
        </w:rPr>
        <w:t>中继间应从顶管机向工作井方向逐环拆除</w:t>
      </w:r>
      <w:r>
        <w:rPr>
          <w:rFonts w:hint="eastAsia" w:hAnsi="Cambria Math"/>
          <w:bCs/>
          <w:sz w:val="20"/>
          <w:szCs w:val="20"/>
        </w:rPr>
        <w:t>，并按照设计要求施做钢筋混凝土永久结构。</w:t>
      </w:r>
    </w:p>
    <w:p w14:paraId="3F5019BC">
      <w:pPr>
        <w:pStyle w:val="3"/>
        <w:snapToGrid w:val="0"/>
        <w:spacing w:before="312" w:beforeLines="100" w:after="0" w:line="288" w:lineRule="auto"/>
        <w:jc w:val="center"/>
        <w:rPr>
          <w:rFonts w:ascii="Times New Roman" w:hAnsi="Times New Roman"/>
          <w:sz w:val="20"/>
          <w:szCs w:val="21"/>
        </w:rPr>
      </w:pPr>
      <w:bookmarkStart w:id="278" w:name="_Toc188612072"/>
      <w:bookmarkStart w:id="279" w:name="_Toc185236593"/>
      <w:bookmarkStart w:id="280" w:name="_Toc185235642"/>
      <w:bookmarkStart w:id="281" w:name="_Toc188798543"/>
      <w:bookmarkStart w:id="282" w:name="_Toc170810206"/>
      <w:r>
        <w:rPr>
          <w:rFonts w:ascii="Times New Roman" w:hAnsi="Times New Roman"/>
          <w:sz w:val="20"/>
          <w:szCs w:val="21"/>
        </w:rPr>
        <w:t xml:space="preserve">5.11  </w:t>
      </w:r>
      <w:r>
        <w:rPr>
          <w:rFonts w:hint="eastAsia" w:ascii="Times New Roman" w:hAnsi="Times New Roman"/>
          <w:sz w:val="20"/>
          <w:szCs w:val="21"/>
        </w:rPr>
        <w:t>结构</w:t>
      </w:r>
      <w:r>
        <w:rPr>
          <w:rFonts w:ascii="Times New Roman" w:hAnsi="Times New Roman"/>
          <w:sz w:val="20"/>
          <w:szCs w:val="21"/>
        </w:rPr>
        <w:t>防水</w:t>
      </w:r>
      <w:bookmarkEnd w:id="278"/>
      <w:bookmarkEnd w:id="279"/>
      <w:bookmarkEnd w:id="280"/>
      <w:bookmarkEnd w:id="281"/>
      <w:bookmarkEnd w:id="282"/>
    </w:p>
    <w:p w14:paraId="5D7D8425">
      <w:pPr>
        <w:snapToGrid w:val="0"/>
        <w:spacing w:line="288" w:lineRule="auto"/>
        <w:outlineLvl w:val="2"/>
        <w:rPr>
          <w:sz w:val="20"/>
          <w:szCs w:val="20"/>
        </w:rPr>
      </w:pPr>
      <w:r>
        <w:rPr>
          <w:rFonts w:hint="eastAsia" w:hAnsi="Cambria Math"/>
          <w:b/>
          <w:bCs/>
          <w:sz w:val="20"/>
          <w:szCs w:val="20"/>
        </w:rPr>
        <w:t xml:space="preserve">5.11.1  </w:t>
      </w:r>
      <w:r>
        <w:rPr>
          <w:rFonts w:hint="eastAsia"/>
          <w:sz w:val="20"/>
          <w:szCs w:val="20"/>
        </w:rPr>
        <w:t>结构防水应包括管节自防水、管节接口防水和特殊部位防水。</w:t>
      </w:r>
    </w:p>
    <w:p w14:paraId="731C00A8">
      <w:pPr>
        <w:snapToGrid w:val="0"/>
        <w:spacing w:line="288" w:lineRule="auto"/>
        <w:outlineLvl w:val="2"/>
        <w:rPr>
          <w:rFonts w:hAnsi="Cambria Math"/>
          <w:bCs/>
          <w:sz w:val="20"/>
          <w:szCs w:val="20"/>
        </w:rPr>
      </w:pPr>
      <w:r>
        <w:rPr>
          <w:rFonts w:hint="eastAsia" w:hAnsi="Cambria Math"/>
          <w:b/>
          <w:bCs/>
          <w:sz w:val="20"/>
          <w:szCs w:val="20"/>
        </w:rPr>
        <w:t>5.11.</w:t>
      </w:r>
      <w:r>
        <w:rPr>
          <w:rFonts w:hAnsi="Cambria Math"/>
          <w:b/>
          <w:bCs/>
          <w:sz w:val="20"/>
          <w:szCs w:val="20"/>
        </w:rPr>
        <w:t xml:space="preserve">2  </w:t>
      </w:r>
      <w:r>
        <w:rPr>
          <w:rFonts w:hint="eastAsia" w:hAnsi="Cambria Math"/>
          <w:bCs/>
          <w:sz w:val="20"/>
          <w:szCs w:val="20"/>
        </w:rPr>
        <w:t>管节</w:t>
      </w:r>
      <w:r>
        <w:rPr>
          <w:rFonts w:hint="eastAsia"/>
          <w:sz w:val="20"/>
          <w:szCs w:val="20"/>
        </w:rPr>
        <w:t>混凝土</w:t>
      </w:r>
      <w:r>
        <w:rPr>
          <w:rFonts w:hint="eastAsia" w:hAnsi="Cambria Math"/>
          <w:bCs/>
          <w:sz w:val="20"/>
          <w:szCs w:val="20"/>
        </w:rPr>
        <w:t>强度等级、防渗等级应满足规范及设计要求。</w:t>
      </w:r>
    </w:p>
    <w:p w14:paraId="47D9455B">
      <w:pPr>
        <w:snapToGrid w:val="0"/>
        <w:spacing w:line="288" w:lineRule="auto"/>
        <w:outlineLvl w:val="2"/>
        <w:rPr>
          <w:rFonts w:ascii="Cambria Math" w:hAnsi="Cambria Math" w:cs="Cambria Math"/>
          <w:kern w:val="0"/>
          <w:sz w:val="20"/>
          <w:szCs w:val="20"/>
          <w:lang w:bidi="ar"/>
        </w:rPr>
      </w:pPr>
      <w:r>
        <w:rPr>
          <w:rFonts w:hint="eastAsia" w:hAnsi="Cambria Math"/>
          <w:b/>
          <w:bCs/>
          <w:sz w:val="20"/>
          <w:szCs w:val="20"/>
        </w:rPr>
        <w:t xml:space="preserve">5.11.3 </w:t>
      </w:r>
      <w:r>
        <w:rPr>
          <w:rFonts w:ascii="仿宋体" w:hAnsi="仿宋体" w:cs="仿宋体"/>
          <w:kern w:val="0"/>
          <w:sz w:val="20"/>
          <w:szCs w:val="20"/>
          <w:lang w:bidi="ar"/>
        </w:rPr>
        <w:t xml:space="preserve"> </w:t>
      </w:r>
      <w:r>
        <w:rPr>
          <w:rFonts w:hint="eastAsia"/>
          <w:sz w:val="20"/>
          <w:szCs w:val="20"/>
        </w:rPr>
        <w:t>管节接口防水符合下列规定</w:t>
      </w:r>
      <w:r>
        <w:rPr>
          <w:rFonts w:hint="eastAsia" w:ascii="Cambria Math" w:hAnsi="Cambria Math" w:cs="Cambria Math"/>
          <w:kern w:val="0"/>
          <w:sz w:val="20"/>
          <w:szCs w:val="20"/>
          <w:lang w:bidi="ar"/>
        </w:rPr>
        <w:t>：</w:t>
      </w:r>
    </w:p>
    <w:p w14:paraId="576C8C3E">
      <w:pPr>
        <w:snapToGrid w:val="0"/>
        <w:spacing w:line="288" w:lineRule="auto"/>
        <w:ind w:firstLine="300" w:firstLineChars="150"/>
        <w:rPr>
          <w:rFonts w:ascii="Cambria Math" w:hAnsi="Cambria Math" w:cs="Cambria Math"/>
          <w:kern w:val="0"/>
          <w:sz w:val="20"/>
          <w:szCs w:val="20"/>
          <w:highlight w:val="yellow"/>
          <w:lang w:bidi="ar"/>
        </w:rPr>
      </w:pPr>
      <w:r>
        <w:rPr>
          <w:rFonts w:hint="eastAsia" w:hAnsi="Cambria Math"/>
          <w:b/>
          <w:bCs/>
          <w:sz w:val="20"/>
          <w:szCs w:val="20"/>
        </w:rPr>
        <w:t>1</w:t>
      </w:r>
      <w:r>
        <w:rPr>
          <w:rFonts w:hAnsi="Cambria Math"/>
          <w:bCs/>
          <w:sz w:val="20"/>
          <w:szCs w:val="20"/>
        </w:rPr>
        <w:t xml:space="preserve"> </w:t>
      </w:r>
      <w:r>
        <w:rPr>
          <w:rFonts w:hint="eastAsia" w:hAnsi="Cambria Math"/>
          <w:bCs/>
          <w:sz w:val="20"/>
          <w:szCs w:val="20"/>
        </w:rPr>
        <w:t>宜采用“</w:t>
      </w:r>
      <w:r>
        <w:rPr>
          <w:rFonts w:hAnsi="Cambria Math"/>
          <w:bCs/>
          <w:sz w:val="20"/>
          <w:szCs w:val="20"/>
        </w:rPr>
        <w:t>F</w:t>
      </w:r>
      <w:r>
        <w:rPr>
          <w:rFonts w:hint="eastAsia" w:hAnsi="Cambria Math"/>
          <w:bCs/>
          <w:sz w:val="20"/>
          <w:szCs w:val="20"/>
        </w:rPr>
        <w:t>”型钢承口形式，钢套环接口的钢套环一段应埋入混凝土管节中，钢套环与混凝土的结合面处应设遇水膨胀橡胶条或密封胶条。钢套环的另一段应与管节外表面的槽口组成防水构造，槽口内应设</w:t>
      </w:r>
      <w:r>
        <w:rPr>
          <w:rFonts w:hAnsi="Cambria Math"/>
          <w:bCs/>
          <w:sz w:val="20"/>
          <w:szCs w:val="20"/>
        </w:rPr>
        <w:t>L</w:t>
      </w:r>
      <w:r>
        <w:rPr>
          <w:rFonts w:hint="eastAsia" w:hAnsi="Cambria Math"/>
          <w:bCs/>
          <w:sz w:val="20"/>
          <w:szCs w:val="20"/>
        </w:rPr>
        <w:t>形、</w:t>
      </w:r>
      <w:r>
        <w:rPr>
          <w:rFonts w:hint="eastAsia" w:ascii="Cambria Math" w:hAnsi="Cambria Math" w:cs="Cambria Math"/>
          <w:kern w:val="0"/>
          <w:sz w:val="20"/>
          <w:szCs w:val="20"/>
          <w:lang w:bidi="ar"/>
        </w:rPr>
        <w:t>齿形或鹰嘴形弹性橡胶密封圈，如图</w:t>
      </w:r>
      <w:r>
        <w:rPr>
          <w:kern w:val="0"/>
          <w:sz w:val="20"/>
          <w:szCs w:val="20"/>
          <w:lang w:bidi="ar"/>
        </w:rPr>
        <w:t>5.11.3</w:t>
      </w:r>
      <w:r>
        <w:rPr>
          <w:rFonts w:hint="eastAsia" w:ascii="Cambria Math" w:hAnsi="Cambria Math" w:cs="Cambria Math"/>
          <w:kern w:val="0"/>
          <w:sz w:val="20"/>
          <w:szCs w:val="20"/>
          <w:lang w:bidi="ar"/>
        </w:rPr>
        <w:t>所示；</w:t>
      </w:r>
    </w:p>
    <w:p w14:paraId="6B238AC0">
      <w:pPr>
        <w:snapToGrid w:val="0"/>
        <w:spacing w:line="288" w:lineRule="auto"/>
        <w:ind w:firstLine="315" w:firstLineChars="150"/>
        <w:jc w:val="center"/>
        <w:rPr>
          <w:sz w:val="20"/>
          <w:szCs w:val="20"/>
        </w:rPr>
      </w:pPr>
      <w:r>
        <w:drawing>
          <wp:inline distT="0" distB="0" distL="0" distR="0">
            <wp:extent cx="2957830" cy="19272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2993900" cy="1950758"/>
                    </a:xfrm>
                    <a:prstGeom prst="rect">
                      <a:avLst/>
                    </a:prstGeom>
                  </pic:spPr>
                </pic:pic>
              </a:graphicData>
            </a:graphic>
          </wp:inline>
        </w:drawing>
      </w:r>
    </w:p>
    <w:p w14:paraId="52614792">
      <w:pPr>
        <w:snapToGrid w:val="0"/>
        <w:spacing w:line="288" w:lineRule="auto"/>
        <w:jc w:val="center"/>
        <w:rPr>
          <w:rFonts w:hAnsi="Cambria Math"/>
          <w:bCs/>
          <w:sz w:val="20"/>
          <w:szCs w:val="20"/>
        </w:rPr>
      </w:pPr>
      <w:r>
        <w:rPr>
          <w:rFonts w:hint="eastAsia" w:hAnsi="Cambria Math"/>
          <w:bCs/>
          <w:sz w:val="20"/>
          <w:szCs w:val="20"/>
        </w:rPr>
        <w:t>图 5.11.3</w:t>
      </w:r>
      <w:r>
        <w:rPr>
          <w:rFonts w:hAnsi="Cambria Math"/>
          <w:bCs/>
          <w:sz w:val="20"/>
          <w:szCs w:val="20"/>
        </w:rPr>
        <w:t xml:space="preserve"> </w:t>
      </w:r>
      <w:r>
        <w:rPr>
          <w:rFonts w:hint="eastAsia" w:hAnsi="Cambria Math"/>
          <w:bCs/>
          <w:sz w:val="20"/>
          <w:szCs w:val="20"/>
        </w:rPr>
        <w:t>钢承口接头</w:t>
      </w:r>
    </w:p>
    <w:p w14:paraId="308E416D">
      <w:pPr>
        <w:snapToGrid w:val="0"/>
        <w:spacing w:line="288" w:lineRule="auto"/>
        <w:ind w:firstLine="300" w:firstLineChars="150"/>
        <w:rPr>
          <w:rFonts w:hAnsi="Cambria Math"/>
          <w:bCs/>
          <w:sz w:val="20"/>
          <w:szCs w:val="20"/>
        </w:rPr>
      </w:pPr>
      <w:r>
        <w:rPr>
          <w:rFonts w:hint="eastAsia" w:hAnsi="Cambria Math"/>
          <w:b/>
          <w:bCs/>
          <w:sz w:val="20"/>
          <w:szCs w:val="20"/>
        </w:rPr>
        <w:t>2</w:t>
      </w:r>
      <w:r>
        <w:t xml:space="preserve"> </w:t>
      </w:r>
      <w:r>
        <w:rPr>
          <w:rFonts w:hint="eastAsia" w:hAnsi="Cambria Math"/>
          <w:bCs/>
          <w:sz w:val="20"/>
          <w:szCs w:val="20"/>
        </w:rPr>
        <w:t>管节接口处混凝土应表面平整，无蜂窝、麻面、气孔、裂缝，缺棱掉角等现象，接口尺寸满足设计及规范要求；</w:t>
      </w:r>
    </w:p>
    <w:p w14:paraId="5DE8267A">
      <w:pPr>
        <w:snapToGrid w:val="0"/>
        <w:spacing w:line="288" w:lineRule="auto"/>
        <w:ind w:firstLine="300" w:firstLineChars="150"/>
        <w:rPr>
          <w:sz w:val="20"/>
          <w:szCs w:val="20"/>
        </w:rPr>
      </w:pPr>
      <w:r>
        <w:rPr>
          <w:rFonts w:hAnsi="Cambria Math"/>
          <w:b/>
          <w:bCs/>
          <w:sz w:val="20"/>
          <w:szCs w:val="20"/>
        </w:rPr>
        <w:t>3</w:t>
      </w:r>
      <w:r>
        <w:rPr>
          <w:rFonts w:hAnsi="Cambria Math"/>
          <w:bCs/>
          <w:sz w:val="20"/>
          <w:szCs w:val="20"/>
        </w:rPr>
        <w:t xml:space="preserve"> </w:t>
      </w:r>
      <w:r>
        <w:rPr>
          <w:rFonts w:hint="eastAsia" w:hAnsi="Cambria Math"/>
          <w:bCs/>
          <w:sz w:val="20"/>
          <w:szCs w:val="20"/>
        </w:rPr>
        <w:t>接口钢套环</w:t>
      </w:r>
      <w:r>
        <w:rPr>
          <w:rFonts w:hint="eastAsia"/>
        </w:rPr>
        <w:t>焊接应平整，表面应进行防腐处理；</w:t>
      </w:r>
    </w:p>
    <w:p w14:paraId="72E73952">
      <w:pPr>
        <w:snapToGrid w:val="0"/>
        <w:spacing w:line="288" w:lineRule="auto"/>
        <w:ind w:firstLine="300" w:firstLineChars="150"/>
      </w:pPr>
      <w:r>
        <w:rPr>
          <w:rFonts w:hAnsi="Cambria Math"/>
          <w:b/>
          <w:bCs/>
          <w:sz w:val="20"/>
          <w:szCs w:val="20"/>
        </w:rPr>
        <w:t>4</w:t>
      </w:r>
      <w:r>
        <w:t xml:space="preserve"> </w:t>
      </w:r>
      <w:r>
        <w:rPr>
          <w:rFonts w:hint="eastAsia" w:hAnsi="Cambria Math"/>
          <w:bCs/>
          <w:sz w:val="20"/>
          <w:szCs w:val="20"/>
        </w:rPr>
        <w:t>橡胶密封圈外形尺寸应符合设计要求，外观致密、均匀，无裂缝、空隙或凹痕等缺陷，应保持清洁，表面无油污、泥砂等，不应在阳光下长时间曝晒；</w:t>
      </w:r>
    </w:p>
    <w:p w14:paraId="1CA0F6AC">
      <w:pPr>
        <w:snapToGrid w:val="0"/>
        <w:spacing w:line="288" w:lineRule="auto"/>
        <w:ind w:firstLine="300" w:firstLineChars="150"/>
        <w:rPr>
          <w:rFonts w:hAnsi="Cambria Math"/>
          <w:bCs/>
          <w:sz w:val="20"/>
          <w:szCs w:val="20"/>
        </w:rPr>
      </w:pPr>
      <w:r>
        <w:rPr>
          <w:rFonts w:hAnsi="Cambria Math"/>
          <w:b/>
          <w:bCs/>
          <w:sz w:val="20"/>
          <w:szCs w:val="20"/>
        </w:rPr>
        <w:t xml:space="preserve">5 </w:t>
      </w:r>
      <w:r>
        <w:rPr>
          <w:rFonts w:hint="eastAsia" w:hAnsi="Cambria Math"/>
          <w:bCs/>
          <w:sz w:val="20"/>
          <w:szCs w:val="20"/>
        </w:rPr>
        <w:t>密封垫宜选择具有合理构造形式、良好弹性或遇水膨胀性、耐久性、耐水性的橡胶类材料，其外形应与沟槽相匹配；</w:t>
      </w:r>
    </w:p>
    <w:p w14:paraId="322AC44C">
      <w:pPr>
        <w:snapToGrid w:val="0"/>
        <w:spacing w:line="288" w:lineRule="auto"/>
        <w:ind w:firstLine="300" w:firstLineChars="150"/>
        <w:rPr>
          <w:rFonts w:hAnsi="Cambria Math"/>
          <w:bCs/>
          <w:sz w:val="20"/>
          <w:szCs w:val="20"/>
        </w:rPr>
      </w:pPr>
      <w:r>
        <w:rPr>
          <w:rFonts w:hAnsi="Cambria Math"/>
          <w:b/>
          <w:bCs/>
          <w:sz w:val="20"/>
          <w:szCs w:val="20"/>
        </w:rPr>
        <w:t xml:space="preserve">6 </w:t>
      </w:r>
      <w:r>
        <w:rPr>
          <w:rFonts w:hint="eastAsia" w:hAnsi="Cambria Math"/>
          <w:bCs/>
          <w:sz w:val="20"/>
          <w:szCs w:val="20"/>
        </w:rPr>
        <w:t>管节接口处应设置传力衬垫，一般采用中等硬度的木制材料，大小、长度、厚度应根据管节尺寸确定；</w:t>
      </w:r>
      <w:r>
        <w:rPr>
          <w:rFonts w:hAnsi="Cambria Math"/>
          <w:bCs/>
          <w:sz w:val="20"/>
          <w:szCs w:val="20"/>
        </w:rPr>
        <w:t xml:space="preserve"> </w:t>
      </w:r>
    </w:p>
    <w:p w14:paraId="346E469D">
      <w:pPr>
        <w:snapToGrid w:val="0"/>
        <w:spacing w:line="288" w:lineRule="auto"/>
        <w:ind w:firstLine="300" w:firstLineChars="150"/>
        <w:rPr>
          <w:rFonts w:hAnsi="Cambria Math"/>
          <w:bCs/>
          <w:sz w:val="20"/>
          <w:szCs w:val="20"/>
        </w:rPr>
      </w:pPr>
      <w:r>
        <w:rPr>
          <w:rFonts w:hint="eastAsia" w:hAnsi="Cambria Math"/>
          <w:bCs/>
          <w:sz w:val="20"/>
          <w:szCs w:val="20"/>
        </w:rPr>
        <w:t>7</w:t>
      </w:r>
      <w:r>
        <w:rPr>
          <w:rFonts w:hAnsi="Cambria Math"/>
          <w:bCs/>
          <w:sz w:val="20"/>
          <w:szCs w:val="20"/>
        </w:rPr>
        <w:t xml:space="preserve"> </w:t>
      </w:r>
      <w:r>
        <w:rPr>
          <w:rFonts w:hint="eastAsia" w:hAnsi="Cambria Math"/>
          <w:bCs/>
          <w:sz w:val="20"/>
          <w:szCs w:val="20"/>
        </w:rPr>
        <w:t>管节端面的传力衬垫应使用胶粘剂粘贴，粘贴位置准确、牢固、表面平整；</w:t>
      </w:r>
    </w:p>
    <w:p w14:paraId="2660CFCB">
      <w:pPr>
        <w:snapToGrid w:val="0"/>
        <w:spacing w:line="288" w:lineRule="auto"/>
        <w:ind w:firstLine="300" w:firstLineChars="150"/>
        <w:rPr>
          <w:rFonts w:hAnsi="Cambria Math"/>
          <w:bCs/>
          <w:sz w:val="20"/>
          <w:szCs w:val="20"/>
        </w:rPr>
      </w:pPr>
      <w:r>
        <w:rPr>
          <w:rFonts w:hAnsi="Cambria Math"/>
          <w:bCs/>
          <w:sz w:val="20"/>
          <w:szCs w:val="20"/>
        </w:rPr>
        <w:t xml:space="preserve">8 </w:t>
      </w:r>
      <w:r>
        <w:rPr>
          <w:rFonts w:hint="eastAsia" w:hAnsi="Cambria Math"/>
          <w:bCs/>
          <w:sz w:val="20"/>
          <w:szCs w:val="20"/>
        </w:rPr>
        <w:t>顶管完成后，应按设计要求通过管节预留孔向管节接口外面槽口注入密封材料，注入应饱满、密实；</w:t>
      </w:r>
    </w:p>
    <w:p w14:paraId="598797E3">
      <w:pPr>
        <w:snapToGrid w:val="0"/>
        <w:spacing w:line="288" w:lineRule="auto"/>
        <w:ind w:firstLine="300" w:firstLineChars="150"/>
        <w:rPr>
          <w:rFonts w:hAnsi="Cambria Math"/>
          <w:bCs/>
          <w:sz w:val="20"/>
          <w:szCs w:val="20"/>
        </w:rPr>
      </w:pPr>
      <w:r>
        <w:rPr>
          <w:rFonts w:hint="eastAsia" w:hAnsi="Cambria Math"/>
          <w:bCs/>
          <w:sz w:val="20"/>
          <w:szCs w:val="20"/>
        </w:rPr>
        <w:t>9</w:t>
      </w:r>
      <w:r>
        <w:rPr>
          <w:rFonts w:hAnsi="Cambria Math"/>
          <w:bCs/>
          <w:sz w:val="20"/>
          <w:szCs w:val="20"/>
        </w:rPr>
        <w:t xml:space="preserve"> </w:t>
      </w:r>
      <w:r>
        <w:rPr>
          <w:rFonts w:hint="eastAsia" w:hAnsi="Cambria Math"/>
          <w:bCs/>
          <w:sz w:val="20"/>
          <w:szCs w:val="20"/>
        </w:rPr>
        <w:t>管节接口内面槽口应按照设计要求嵌缝密封，嵌缝密封前应将缝隙内的杂质、油污清理干净，做到平整、干净、干燥。</w:t>
      </w:r>
    </w:p>
    <w:p w14:paraId="6872E623">
      <w:pPr>
        <w:snapToGrid w:val="0"/>
        <w:spacing w:line="288" w:lineRule="auto"/>
        <w:outlineLvl w:val="2"/>
        <w:rPr>
          <w:sz w:val="20"/>
          <w:szCs w:val="20"/>
        </w:rPr>
      </w:pPr>
      <w:r>
        <w:rPr>
          <w:rFonts w:hint="eastAsia" w:hAnsi="Cambria Math"/>
          <w:b/>
          <w:bCs/>
          <w:sz w:val="20"/>
          <w:szCs w:val="20"/>
        </w:rPr>
        <w:t xml:space="preserve">5.11.4 </w:t>
      </w:r>
      <w:r>
        <w:rPr>
          <w:rFonts w:ascii="仿宋体" w:hAnsi="仿宋体" w:cs="仿宋体"/>
          <w:kern w:val="0"/>
          <w:sz w:val="20"/>
          <w:szCs w:val="20"/>
          <w:lang w:bidi="ar"/>
        </w:rPr>
        <w:t xml:space="preserve"> </w:t>
      </w:r>
      <w:r>
        <w:rPr>
          <w:rFonts w:hint="eastAsia" w:ascii="仿宋体" w:hAnsi="仿宋体" w:cs="仿宋体"/>
          <w:kern w:val="0"/>
          <w:sz w:val="20"/>
          <w:szCs w:val="20"/>
          <w:lang w:bidi="ar"/>
        </w:rPr>
        <w:t>工作井、接收井</w:t>
      </w:r>
      <w:r>
        <w:rPr>
          <w:rFonts w:hint="eastAsia"/>
          <w:sz w:val="20"/>
          <w:szCs w:val="20"/>
        </w:rPr>
        <w:t>洞门防水做法应满足设计要求。</w:t>
      </w:r>
    </w:p>
    <w:p w14:paraId="324F5090">
      <w:pPr>
        <w:snapToGrid w:val="0"/>
        <w:spacing w:line="288" w:lineRule="auto"/>
        <w:outlineLvl w:val="2"/>
        <w:rPr>
          <w:sz w:val="20"/>
          <w:szCs w:val="20"/>
        </w:rPr>
      </w:pPr>
      <w:r>
        <w:rPr>
          <w:rFonts w:hint="eastAsia" w:hAnsi="Cambria Math"/>
          <w:b/>
          <w:bCs/>
          <w:sz w:val="20"/>
          <w:szCs w:val="20"/>
        </w:rPr>
        <w:t>5</w:t>
      </w:r>
      <w:r>
        <w:rPr>
          <w:rFonts w:hAnsi="Cambria Math"/>
          <w:b/>
          <w:bCs/>
          <w:sz w:val="20"/>
          <w:szCs w:val="20"/>
        </w:rPr>
        <w:t>.11.5</w:t>
      </w:r>
      <w:r>
        <w:rPr>
          <w:sz w:val="20"/>
          <w:szCs w:val="20"/>
        </w:rPr>
        <w:t xml:space="preserve">  </w:t>
      </w:r>
      <w:r>
        <w:rPr>
          <w:rFonts w:hint="eastAsia"/>
          <w:sz w:val="20"/>
          <w:szCs w:val="20"/>
        </w:rPr>
        <w:t>泥浆置换结束后拆除注浆管路</w:t>
      </w:r>
      <w:r>
        <w:rPr>
          <w:rFonts w:hint="eastAsia" w:ascii="Cambria Math" w:hAnsi="Cambria Math" w:cs="Cambria Math"/>
          <w:kern w:val="0"/>
          <w:sz w:val="20"/>
          <w:szCs w:val="20"/>
          <w:lang w:bidi="ar"/>
        </w:rPr>
        <w:t>，</w:t>
      </w:r>
      <w:r>
        <w:rPr>
          <w:rFonts w:hint="eastAsia"/>
          <w:sz w:val="20"/>
          <w:szCs w:val="20"/>
        </w:rPr>
        <w:t>按设计要求封堵注浆孔。</w:t>
      </w:r>
    </w:p>
    <w:p w14:paraId="6438F2BA">
      <w:pPr>
        <w:snapToGrid w:val="0"/>
        <w:spacing w:line="288" w:lineRule="auto"/>
        <w:outlineLvl w:val="2"/>
        <w:rPr>
          <w:rFonts w:hAnsi="Cambria Math"/>
          <w:bCs/>
          <w:sz w:val="20"/>
          <w:szCs w:val="20"/>
        </w:rPr>
      </w:pPr>
      <w:r>
        <w:rPr>
          <w:rFonts w:hint="eastAsia" w:hAnsi="Cambria Math"/>
          <w:b/>
          <w:bCs/>
          <w:sz w:val="20"/>
          <w:szCs w:val="20"/>
        </w:rPr>
        <w:t>5</w:t>
      </w:r>
      <w:r>
        <w:rPr>
          <w:rFonts w:hAnsi="Cambria Math"/>
          <w:b/>
          <w:bCs/>
          <w:sz w:val="20"/>
          <w:szCs w:val="20"/>
        </w:rPr>
        <w:t xml:space="preserve">.11.6 </w:t>
      </w:r>
      <w:r>
        <w:rPr>
          <w:rFonts w:hAnsi="Cambria Math"/>
          <w:bCs/>
          <w:sz w:val="20"/>
          <w:szCs w:val="20"/>
        </w:rPr>
        <w:t xml:space="preserve"> </w:t>
      </w:r>
      <w:r>
        <w:rPr>
          <w:rFonts w:hint="eastAsia" w:hAnsi="Cambria Math"/>
          <w:bCs/>
          <w:sz w:val="20"/>
          <w:szCs w:val="20"/>
        </w:rPr>
        <w:t>中继间接口处，宜预留缺口，设置橡胶止水带。</w:t>
      </w:r>
    </w:p>
    <w:p w14:paraId="7F208EA1">
      <w:pPr>
        <w:snapToGrid w:val="0"/>
        <w:spacing w:line="288" w:lineRule="auto"/>
        <w:outlineLvl w:val="2"/>
        <w:rPr>
          <w:rFonts w:hAnsi="Cambria Math"/>
          <w:bCs/>
          <w:sz w:val="20"/>
          <w:szCs w:val="20"/>
        </w:rPr>
      </w:pPr>
      <w:r>
        <w:rPr>
          <w:rFonts w:hint="eastAsia" w:hAnsi="Cambria Math"/>
          <w:b/>
          <w:bCs/>
          <w:sz w:val="20"/>
          <w:szCs w:val="20"/>
        </w:rPr>
        <w:t xml:space="preserve">5.11.7 </w:t>
      </w:r>
      <w:r>
        <w:rPr>
          <w:rFonts w:hAnsi="Cambria Math"/>
          <w:b/>
          <w:bCs/>
          <w:sz w:val="20"/>
          <w:szCs w:val="20"/>
        </w:rPr>
        <w:t xml:space="preserve"> </w:t>
      </w:r>
      <w:r>
        <w:rPr>
          <w:rFonts w:hint="eastAsia"/>
          <w:bCs/>
          <w:kern w:val="0"/>
          <w:sz w:val="20"/>
          <w:szCs w:val="20"/>
          <w:lang w:bidi="ar"/>
        </w:rPr>
        <w:t>顶管法结构防水材料质量指标应符合现行《轨道交通工程防水技术规程》DB 11/T 581的规定。</w:t>
      </w:r>
    </w:p>
    <w:p w14:paraId="3FAFAC76">
      <w:pPr>
        <w:pStyle w:val="3"/>
        <w:snapToGrid w:val="0"/>
        <w:spacing w:before="312" w:beforeLines="100" w:after="0" w:line="288" w:lineRule="auto"/>
        <w:jc w:val="center"/>
        <w:rPr>
          <w:rFonts w:ascii="Times New Roman" w:hAnsi="Times New Roman"/>
          <w:sz w:val="20"/>
          <w:szCs w:val="21"/>
        </w:rPr>
      </w:pPr>
      <w:bookmarkStart w:id="283" w:name="_Toc188798544"/>
      <w:bookmarkStart w:id="284" w:name="_Toc185236594"/>
      <w:bookmarkStart w:id="285" w:name="_Toc170810207"/>
      <w:bookmarkStart w:id="286" w:name="_Toc185235643"/>
      <w:bookmarkStart w:id="287" w:name="_Toc188612073"/>
      <w:r>
        <w:rPr>
          <w:rFonts w:ascii="Times New Roman" w:hAnsi="Times New Roman"/>
          <w:sz w:val="20"/>
          <w:szCs w:val="21"/>
        </w:rPr>
        <w:t xml:space="preserve">5.12 </w:t>
      </w:r>
      <w:r>
        <w:rPr>
          <w:rFonts w:hint="eastAsia" w:ascii="Times New Roman" w:hAnsi="Times New Roman"/>
          <w:sz w:val="20"/>
          <w:szCs w:val="21"/>
        </w:rPr>
        <w:t xml:space="preserve"> </w:t>
      </w:r>
      <w:r>
        <w:rPr>
          <w:rFonts w:ascii="Times New Roman" w:hAnsi="Times New Roman"/>
          <w:sz w:val="20"/>
          <w:szCs w:val="21"/>
        </w:rPr>
        <w:t>施工运输</w:t>
      </w:r>
      <w:bookmarkEnd w:id="283"/>
      <w:bookmarkEnd w:id="284"/>
      <w:bookmarkEnd w:id="285"/>
      <w:bookmarkEnd w:id="286"/>
      <w:bookmarkEnd w:id="287"/>
    </w:p>
    <w:p w14:paraId="30B6BB39">
      <w:pPr>
        <w:snapToGrid w:val="0"/>
        <w:spacing w:line="288" w:lineRule="auto"/>
        <w:outlineLvl w:val="2"/>
        <w:rPr>
          <w:rFonts w:hAnsi="Cambria Math"/>
          <w:bCs/>
          <w:sz w:val="20"/>
          <w:szCs w:val="20"/>
        </w:rPr>
      </w:pPr>
      <w:r>
        <w:rPr>
          <w:rFonts w:hint="eastAsia" w:hAnsi="Cambria Math"/>
          <w:b/>
          <w:sz w:val="20"/>
          <w:szCs w:val="20"/>
        </w:rPr>
        <w:t>5.</w:t>
      </w:r>
      <w:r>
        <w:rPr>
          <w:rFonts w:hAnsi="Cambria Math"/>
          <w:b/>
          <w:sz w:val="20"/>
          <w:szCs w:val="20"/>
        </w:rPr>
        <w:t>1</w:t>
      </w:r>
      <w:r>
        <w:rPr>
          <w:rFonts w:hint="eastAsia" w:hAnsi="Cambria Math"/>
          <w:b/>
          <w:sz w:val="20"/>
          <w:szCs w:val="20"/>
        </w:rPr>
        <w:t>2</w:t>
      </w:r>
      <w:r>
        <w:rPr>
          <w:rFonts w:hAnsi="Cambria Math"/>
          <w:b/>
          <w:sz w:val="20"/>
          <w:szCs w:val="20"/>
        </w:rPr>
        <w:t xml:space="preserve">.1  </w:t>
      </w:r>
      <w:r>
        <w:rPr>
          <w:sz w:val="20"/>
          <w:szCs w:val="20"/>
        </w:rPr>
        <w:t>施工运输应根据结构</w:t>
      </w:r>
      <w:r>
        <w:rPr>
          <w:rFonts w:hint="eastAsia"/>
          <w:sz w:val="20"/>
          <w:szCs w:val="20"/>
        </w:rPr>
        <w:t>空间</w:t>
      </w:r>
      <w:r>
        <w:rPr>
          <w:sz w:val="20"/>
          <w:szCs w:val="20"/>
        </w:rPr>
        <w:t>、长度、纵坡和</w:t>
      </w:r>
      <w:r>
        <w:rPr>
          <w:rFonts w:hint="eastAsia"/>
          <w:sz w:val="20"/>
          <w:szCs w:val="20"/>
        </w:rPr>
        <w:t>顶进</w:t>
      </w:r>
      <w:r>
        <w:rPr>
          <w:sz w:val="20"/>
          <w:szCs w:val="20"/>
        </w:rPr>
        <w:t>速度，选择运输方式、运输设备及其配套设施。运输设备性能应安全可靠，运输能力应满足施工要求</w:t>
      </w:r>
      <w:r>
        <w:rPr>
          <w:rFonts w:hint="eastAsia" w:hAnsi="Cambria Math"/>
          <w:bCs/>
          <w:sz w:val="20"/>
          <w:szCs w:val="20"/>
        </w:rPr>
        <w:t>。</w:t>
      </w:r>
    </w:p>
    <w:p w14:paraId="201E0CC2">
      <w:pPr>
        <w:snapToGrid w:val="0"/>
        <w:spacing w:line="288" w:lineRule="auto"/>
        <w:outlineLvl w:val="2"/>
        <w:rPr>
          <w:rFonts w:hAnsi="Cambria Math"/>
          <w:bCs/>
          <w:sz w:val="20"/>
          <w:szCs w:val="20"/>
        </w:rPr>
      </w:pPr>
      <w:r>
        <w:rPr>
          <w:rFonts w:hAnsi="Cambria Math"/>
          <w:b/>
          <w:sz w:val="20"/>
          <w:szCs w:val="20"/>
        </w:rPr>
        <w:t>5.1</w:t>
      </w:r>
      <w:r>
        <w:rPr>
          <w:rFonts w:hint="eastAsia" w:hAnsi="Cambria Math"/>
          <w:b/>
          <w:sz w:val="20"/>
          <w:szCs w:val="20"/>
        </w:rPr>
        <w:t>2</w:t>
      </w:r>
      <w:r>
        <w:rPr>
          <w:rFonts w:hAnsi="Cambria Math"/>
          <w:b/>
          <w:sz w:val="20"/>
          <w:szCs w:val="20"/>
        </w:rPr>
        <w:t xml:space="preserve">.2  </w:t>
      </w:r>
      <w:r>
        <w:rPr>
          <w:sz w:val="20"/>
          <w:szCs w:val="20"/>
        </w:rPr>
        <w:t>结构内水平运输</w:t>
      </w:r>
      <w:r>
        <w:rPr>
          <w:rFonts w:hint="eastAsia"/>
          <w:sz w:val="20"/>
          <w:szCs w:val="20"/>
        </w:rPr>
        <w:t>宜</w:t>
      </w:r>
      <w:r>
        <w:rPr>
          <w:sz w:val="20"/>
          <w:szCs w:val="20"/>
        </w:rPr>
        <w:t>采用有轨</w:t>
      </w:r>
      <w:r>
        <w:rPr>
          <w:rFonts w:hint="eastAsia"/>
          <w:sz w:val="20"/>
          <w:szCs w:val="20"/>
        </w:rPr>
        <w:t>车</w:t>
      </w:r>
      <w:r>
        <w:rPr>
          <w:sz w:val="20"/>
          <w:szCs w:val="20"/>
        </w:rPr>
        <w:t>运输方式</w:t>
      </w:r>
      <w:r>
        <w:rPr>
          <w:rFonts w:hint="eastAsia"/>
          <w:sz w:val="20"/>
          <w:szCs w:val="20"/>
        </w:rPr>
        <w:t>，</w:t>
      </w:r>
      <w:r>
        <w:rPr>
          <w:sz w:val="20"/>
          <w:szCs w:val="20"/>
        </w:rPr>
        <w:t>垂直运输宜采用门式或悬臂式起重机等运输方式</w:t>
      </w:r>
      <w:r>
        <w:rPr>
          <w:rFonts w:hint="eastAsia" w:hAnsi="Cambria Math"/>
          <w:bCs/>
          <w:sz w:val="20"/>
          <w:szCs w:val="20"/>
        </w:rPr>
        <w:t>。</w:t>
      </w:r>
    </w:p>
    <w:p w14:paraId="7357E2E9">
      <w:pPr>
        <w:snapToGrid w:val="0"/>
        <w:spacing w:line="288" w:lineRule="auto"/>
        <w:outlineLvl w:val="2"/>
        <w:rPr>
          <w:rFonts w:hAnsi="Cambria Math"/>
          <w:bCs/>
          <w:sz w:val="20"/>
          <w:szCs w:val="20"/>
        </w:rPr>
      </w:pPr>
      <w:r>
        <w:rPr>
          <w:rFonts w:hAnsi="Cambria Math"/>
          <w:b/>
          <w:sz w:val="20"/>
          <w:szCs w:val="20"/>
        </w:rPr>
        <w:t>5.1</w:t>
      </w:r>
      <w:r>
        <w:rPr>
          <w:rFonts w:hint="eastAsia" w:hAnsi="Cambria Math"/>
          <w:b/>
          <w:sz w:val="20"/>
          <w:szCs w:val="20"/>
        </w:rPr>
        <w:t>2</w:t>
      </w:r>
      <w:r>
        <w:rPr>
          <w:rFonts w:hAnsi="Cambria Math"/>
          <w:b/>
          <w:sz w:val="20"/>
          <w:szCs w:val="20"/>
        </w:rPr>
        <w:t xml:space="preserve">.3  </w:t>
      </w:r>
      <w:r>
        <w:rPr>
          <w:sz w:val="20"/>
          <w:szCs w:val="20"/>
        </w:rPr>
        <w:t>根据最大起重量，应对提升设备能力和索具、挂钩和杆件的强度等进行检算</w:t>
      </w:r>
      <w:r>
        <w:rPr>
          <w:rFonts w:hint="eastAsia" w:hAnsi="Cambria Math"/>
          <w:bCs/>
          <w:sz w:val="20"/>
          <w:szCs w:val="20"/>
        </w:rPr>
        <w:t>。</w:t>
      </w:r>
    </w:p>
    <w:p w14:paraId="1CC80F8B">
      <w:pPr>
        <w:snapToGrid w:val="0"/>
        <w:spacing w:line="288" w:lineRule="auto"/>
        <w:outlineLvl w:val="2"/>
        <w:rPr>
          <w:rFonts w:hAnsi="Cambria Math"/>
          <w:bCs/>
          <w:sz w:val="20"/>
          <w:szCs w:val="20"/>
        </w:rPr>
      </w:pPr>
      <w:r>
        <w:rPr>
          <w:rFonts w:hAnsi="Cambria Math"/>
          <w:b/>
          <w:sz w:val="20"/>
          <w:szCs w:val="20"/>
        </w:rPr>
        <w:t>5.1</w:t>
      </w:r>
      <w:r>
        <w:rPr>
          <w:rFonts w:hint="eastAsia" w:hAnsi="Cambria Math"/>
          <w:b/>
          <w:sz w:val="20"/>
          <w:szCs w:val="20"/>
        </w:rPr>
        <w:t>2</w:t>
      </w:r>
      <w:r>
        <w:rPr>
          <w:rFonts w:hAnsi="Cambria Math"/>
          <w:b/>
          <w:sz w:val="20"/>
          <w:szCs w:val="20"/>
        </w:rPr>
        <w:t xml:space="preserve">.4  </w:t>
      </w:r>
      <w:r>
        <w:rPr>
          <w:sz w:val="20"/>
          <w:szCs w:val="20"/>
        </w:rPr>
        <w:t>运输设备应有防溜车</w:t>
      </w:r>
      <w:r>
        <w:rPr>
          <w:rFonts w:hint="eastAsia"/>
          <w:sz w:val="20"/>
          <w:szCs w:val="20"/>
        </w:rPr>
        <w:t>和</w:t>
      </w:r>
      <w:r>
        <w:rPr>
          <w:sz w:val="20"/>
          <w:szCs w:val="20"/>
        </w:rPr>
        <w:t>防坠落措施，操作、维护和保养应符合操作规程要求</w:t>
      </w:r>
      <w:r>
        <w:rPr>
          <w:rFonts w:hint="eastAsia" w:hAnsi="Cambria Math"/>
          <w:bCs/>
          <w:sz w:val="20"/>
          <w:szCs w:val="20"/>
        </w:rPr>
        <w:t>。</w:t>
      </w:r>
    </w:p>
    <w:p w14:paraId="47CCCF2E">
      <w:pPr>
        <w:snapToGrid w:val="0"/>
        <w:spacing w:line="288" w:lineRule="auto"/>
        <w:outlineLvl w:val="2"/>
        <w:rPr>
          <w:rFonts w:ascii="Cambria Math" w:hAnsi="Cambria Math"/>
          <w:b/>
          <w:sz w:val="20"/>
          <w:szCs w:val="20"/>
        </w:rPr>
      </w:pPr>
      <w:r>
        <w:rPr>
          <w:rFonts w:hAnsi="Cambria Math"/>
          <w:b/>
          <w:sz w:val="20"/>
          <w:szCs w:val="20"/>
        </w:rPr>
        <w:t>5.1</w:t>
      </w:r>
      <w:r>
        <w:rPr>
          <w:rFonts w:hint="eastAsia" w:hAnsi="Cambria Math"/>
          <w:b/>
          <w:sz w:val="20"/>
          <w:szCs w:val="20"/>
        </w:rPr>
        <w:t>2</w:t>
      </w:r>
      <w:r>
        <w:rPr>
          <w:rFonts w:hAnsi="Cambria Math"/>
          <w:b/>
          <w:sz w:val="20"/>
          <w:szCs w:val="20"/>
        </w:rPr>
        <w:t xml:space="preserve">.5 </w:t>
      </w:r>
      <w:r>
        <w:rPr>
          <w:rFonts w:hint="eastAsia" w:hAnsi="Cambria Math"/>
          <w:b/>
          <w:sz w:val="20"/>
          <w:szCs w:val="20"/>
        </w:rPr>
        <w:t xml:space="preserve"> </w:t>
      </w:r>
      <w:r>
        <w:rPr>
          <w:rFonts w:hint="eastAsia"/>
          <w:sz w:val="20"/>
          <w:szCs w:val="20"/>
        </w:rPr>
        <w:t>水平运输应符合下列规定</w:t>
      </w:r>
      <w:r>
        <w:rPr>
          <w:rFonts w:hint="eastAsia" w:ascii="Cambria Math" w:hAnsi="Cambria Math"/>
          <w:sz w:val="20"/>
          <w:szCs w:val="20"/>
        </w:rPr>
        <w:t>：</w:t>
      </w:r>
    </w:p>
    <w:p w14:paraId="76366CFA">
      <w:pPr>
        <w:snapToGrid w:val="0"/>
        <w:spacing w:line="288" w:lineRule="auto"/>
        <w:ind w:firstLine="200" w:firstLineChars="100"/>
        <w:rPr>
          <w:rFonts w:hAnsi="Cambria Math"/>
          <w:bCs/>
          <w:sz w:val="20"/>
          <w:szCs w:val="20"/>
        </w:rPr>
      </w:pPr>
      <w:r>
        <w:rPr>
          <w:rFonts w:hAnsi="Cambria Math"/>
          <w:b/>
          <w:sz w:val="20"/>
          <w:szCs w:val="20"/>
        </w:rPr>
        <w:t xml:space="preserve">1 </w:t>
      </w:r>
      <w:r>
        <w:rPr>
          <w:sz w:val="20"/>
          <w:szCs w:val="20"/>
        </w:rPr>
        <w:t>有轨运输的轨道应保持平稳、顺直、牢固，并应进行</w:t>
      </w:r>
      <w:r>
        <w:rPr>
          <w:rFonts w:hint="eastAsia"/>
          <w:sz w:val="20"/>
          <w:szCs w:val="20"/>
        </w:rPr>
        <w:t>保养；</w:t>
      </w:r>
    </w:p>
    <w:p w14:paraId="2A6C5C4B">
      <w:pPr>
        <w:snapToGrid w:val="0"/>
        <w:spacing w:line="288" w:lineRule="auto"/>
        <w:ind w:firstLine="200" w:firstLineChars="100"/>
        <w:rPr>
          <w:rFonts w:hAnsi="Cambria Math"/>
          <w:bCs/>
          <w:sz w:val="20"/>
          <w:szCs w:val="20"/>
        </w:rPr>
      </w:pPr>
      <w:r>
        <w:rPr>
          <w:rFonts w:hAnsi="Cambria Math"/>
          <w:b/>
          <w:sz w:val="20"/>
          <w:szCs w:val="20"/>
        </w:rPr>
        <w:t xml:space="preserve">2 </w:t>
      </w:r>
      <w:r>
        <w:rPr>
          <w:sz w:val="20"/>
          <w:szCs w:val="20"/>
        </w:rPr>
        <w:t>牵引设备的牵引能力应满足结构最大纵坡和运输重量的要求</w:t>
      </w:r>
      <w:r>
        <w:rPr>
          <w:rFonts w:hint="eastAsia" w:hAnsi="Cambria Math"/>
          <w:bCs/>
          <w:sz w:val="20"/>
          <w:szCs w:val="20"/>
        </w:rPr>
        <w:t>；</w:t>
      </w:r>
    </w:p>
    <w:p w14:paraId="673E42AD">
      <w:pPr>
        <w:snapToGrid w:val="0"/>
        <w:spacing w:line="288" w:lineRule="auto"/>
        <w:ind w:firstLine="200" w:firstLineChars="100"/>
        <w:rPr>
          <w:rFonts w:hAnsi="Cambria Math"/>
          <w:bCs/>
          <w:sz w:val="20"/>
          <w:szCs w:val="20"/>
        </w:rPr>
      </w:pPr>
      <w:r>
        <w:rPr>
          <w:rFonts w:hAnsi="Cambria Math"/>
          <w:b/>
          <w:sz w:val="20"/>
          <w:szCs w:val="20"/>
        </w:rPr>
        <w:t xml:space="preserve">3 </w:t>
      </w:r>
      <w:r>
        <w:rPr>
          <w:sz w:val="20"/>
          <w:szCs w:val="20"/>
        </w:rPr>
        <w:t>车辆配置应满足</w:t>
      </w:r>
      <w:r>
        <w:rPr>
          <w:rFonts w:hint="eastAsia"/>
          <w:sz w:val="20"/>
          <w:szCs w:val="20"/>
        </w:rPr>
        <w:t>出</w:t>
      </w:r>
      <w:r>
        <w:rPr>
          <w:sz w:val="20"/>
          <w:szCs w:val="20"/>
        </w:rPr>
        <w:t>渣、进料</w:t>
      </w:r>
      <w:r>
        <w:rPr>
          <w:rFonts w:hint="eastAsia"/>
          <w:sz w:val="20"/>
          <w:szCs w:val="20"/>
        </w:rPr>
        <w:t>等</w:t>
      </w:r>
      <w:r>
        <w:rPr>
          <w:sz w:val="20"/>
          <w:szCs w:val="20"/>
        </w:rPr>
        <w:t>要求</w:t>
      </w:r>
      <w:r>
        <w:rPr>
          <w:rFonts w:hint="eastAsia" w:hAnsi="Cambria Math"/>
          <w:bCs/>
          <w:sz w:val="20"/>
          <w:szCs w:val="20"/>
        </w:rPr>
        <w:t>。</w:t>
      </w:r>
    </w:p>
    <w:p w14:paraId="0B3436E7">
      <w:pPr>
        <w:snapToGrid w:val="0"/>
        <w:spacing w:line="288" w:lineRule="auto"/>
        <w:outlineLvl w:val="2"/>
        <w:rPr>
          <w:rFonts w:ascii="Cambria Math" w:hAnsi="Cambria Math"/>
          <w:sz w:val="20"/>
          <w:szCs w:val="20"/>
        </w:rPr>
      </w:pPr>
      <w:r>
        <w:rPr>
          <w:rFonts w:hAnsi="Cambria Math"/>
          <w:b/>
          <w:sz w:val="20"/>
          <w:szCs w:val="20"/>
        </w:rPr>
        <w:t>5.1</w:t>
      </w:r>
      <w:r>
        <w:rPr>
          <w:rFonts w:hint="eastAsia" w:hAnsi="Cambria Math"/>
          <w:b/>
          <w:sz w:val="20"/>
          <w:szCs w:val="20"/>
        </w:rPr>
        <w:t>2</w:t>
      </w:r>
      <w:r>
        <w:rPr>
          <w:rFonts w:hAnsi="Cambria Math"/>
          <w:b/>
          <w:sz w:val="20"/>
          <w:szCs w:val="20"/>
        </w:rPr>
        <w:t xml:space="preserve">.6  </w:t>
      </w:r>
      <w:r>
        <w:rPr>
          <w:rFonts w:hint="eastAsia"/>
          <w:sz w:val="20"/>
          <w:szCs w:val="20"/>
        </w:rPr>
        <w:t>垂直运输应符合下列规定</w:t>
      </w:r>
      <w:r>
        <w:rPr>
          <w:rFonts w:hint="eastAsia" w:ascii="Cambria Math" w:hAnsi="Cambria Math"/>
          <w:sz w:val="20"/>
          <w:szCs w:val="20"/>
        </w:rPr>
        <w:t>：</w:t>
      </w:r>
    </w:p>
    <w:p w14:paraId="7E433C33">
      <w:pPr>
        <w:snapToGrid w:val="0"/>
        <w:spacing w:line="288" w:lineRule="auto"/>
        <w:ind w:firstLine="200" w:firstLineChars="100"/>
        <w:rPr>
          <w:rFonts w:hAnsi="Cambria Math"/>
          <w:bCs/>
          <w:sz w:val="20"/>
          <w:szCs w:val="20"/>
        </w:rPr>
      </w:pPr>
      <w:r>
        <w:rPr>
          <w:rFonts w:hAnsi="Cambria Math"/>
          <w:b/>
          <w:sz w:val="20"/>
          <w:szCs w:val="20"/>
        </w:rPr>
        <w:t xml:space="preserve">1 </w:t>
      </w:r>
      <w:r>
        <w:rPr>
          <w:sz w:val="20"/>
          <w:szCs w:val="20"/>
        </w:rPr>
        <w:t>垂直运输方式应根据工作井深度和</w:t>
      </w:r>
      <w:r>
        <w:rPr>
          <w:rFonts w:hint="eastAsia"/>
          <w:sz w:val="20"/>
          <w:szCs w:val="20"/>
        </w:rPr>
        <w:t>顶进</w:t>
      </w:r>
      <w:r>
        <w:rPr>
          <w:sz w:val="20"/>
          <w:szCs w:val="20"/>
        </w:rPr>
        <w:t>速度等因素确定</w:t>
      </w:r>
      <w:r>
        <w:rPr>
          <w:rFonts w:hint="eastAsia" w:hAnsi="Cambria Math"/>
          <w:bCs/>
          <w:sz w:val="20"/>
          <w:szCs w:val="20"/>
        </w:rPr>
        <w:t>；</w:t>
      </w:r>
    </w:p>
    <w:p w14:paraId="39883081">
      <w:pPr>
        <w:snapToGrid w:val="0"/>
        <w:spacing w:line="288" w:lineRule="auto"/>
        <w:ind w:firstLine="200" w:firstLineChars="100"/>
        <w:rPr>
          <w:rFonts w:hAnsi="Cambria Math"/>
          <w:bCs/>
          <w:sz w:val="20"/>
          <w:szCs w:val="20"/>
        </w:rPr>
      </w:pPr>
      <w:r>
        <w:rPr>
          <w:rFonts w:hAnsi="Cambria Math"/>
          <w:b/>
          <w:sz w:val="20"/>
          <w:szCs w:val="20"/>
        </w:rPr>
        <w:t xml:space="preserve">2 </w:t>
      </w:r>
      <w:r>
        <w:rPr>
          <w:sz w:val="20"/>
          <w:szCs w:val="20"/>
        </w:rPr>
        <w:t>提升设备的提升能力应满足</w:t>
      </w:r>
      <w:r>
        <w:rPr>
          <w:rFonts w:hint="eastAsia"/>
          <w:sz w:val="20"/>
          <w:szCs w:val="20"/>
        </w:rPr>
        <w:t>出</w:t>
      </w:r>
      <w:r>
        <w:rPr>
          <w:sz w:val="20"/>
          <w:szCs w:val="20"/>
        </w:rPr>
        <w:t>渣和进料的要求</w:t>
      </w:r>
      <w:r>
        <w:rPr>
          <w:rFonts w:hint="eastAsia" w:hAnsi="Cambria Math"/>
          <w:bCs/>
          <w:sz w:val="20"/>
          <w:szCs w:val="20"/>
        </w:rPr>
        <w:t>；</w:t>
      </w:r>
    </w:p>
    <w:p w14:paraId="4898EAF2">
      <w:pPr>
        <w:snapToGrid w:val="0"/>
        <w:spacing w:line="288" w:lineRule="auto"/>
        <w:ind w:firstLine="200" w:firstLineChars="100"/>
        <w:rPr>
          <w:rFonts w:hAnsi="Cambria Math"/>
          <w:bCs/>
          <w:sz w:val="20"/>
          <w:szCs w:val="20"/>
        </w:rPr>
      </w:pPr>
      <w:r>
        <w:rPr>
          <w:rFonts w:hAnsi="Cambria Math"/>
          <w:b/>
          <w:sz w:val="20"/>
          <w:szCs w:val="20"/>
        </w:rPr>
        <w:t xml:space="preserve">3 </w:t>
      </w:r>
      <w:r>
        <w:rPr>
          <w:sz w:val="20"/>
          <w:szCs w:val="20"/>
        </w:rPr>
        <w:t>当垂直运输时，应根据安全需要采取稳定措施</w:t>
      </w:r>
      <w:r>
        <w:rPr>
          <w:rFonts w:hint="eastAsia" w:hAnsi="Cambria Math"/>
          <w:bCs/>
          <w:sz w:val="20"/>
          <w:szCs w:val="20"/>
        </w:rPr>
        <w:t>；</w:t>
      </w:r>
    </w:p>
    <w:p w14:paraId="0AB795F3">
      <w:pPr>
        <w:snapToGrid w:val="0"/>
        <w:spacing w:line="288" w:lineRule="auto"/>
        <w:ind w:firstLine="200" w:firstLineChars="100"/>
        <w:rPr>
          <w:bCs/>
          <w:sz w:val="20"/>
          <w:szCs w:val="20"/>
        </w:rPr>
      </w:pPr>
      <w:r>
        <w:rPr>
          <w:rFonts w:hAnsi="Cambria Math"/>
          <w:b/>
          <w:sz w:val="20"/>
          <w:szCs w:val="20"/>
        </w:rPr>
        <w:t xml:space="preserve">4 </w:t>
      </w:r>
      <w:r>
        <w:rPr>
          <w:sz w:val="20"/>
          <w:szCs w:val="20"/>
        </w:rPr>
        <w:t>垂直运输通道内不得有障碍物</w:t>
      </w:r>
      <w:r>
        <w:rPr>
          <w:rFonts w:hint="eastAsia"/>
          <w:sz w:val="20"/>
          <w:szCs w:val="20"/>
        </w:rPr>
        <w:t>，</w:t>
      </w:r>
      <w:r>
        <w:rPr>
          <w:sz w:val="20"/>
          <w:szCs w:val="20"/>
        </w:rPr>
        <w:t>并与人行通道分</w:t>
      </w:r>
      <w:r>
        <w:rPr>
          <w:rFonts w:hint="eastAsia"/>
          <w:sz w:val="20"/>
          <w:szCs w:val="20"/>
        </w:rPr>
        <w:t>设。</w:t>
      </w:r>
    </w:p>
    <w:p w14:paraId="5BFCE95D">
      <w:pPr>
        <w:pStyle w:val="3"/>
        <w:snapToGrid w:val="0"/>
        <w:spacing w:before="312" w:beforeLines="100" w:after="0" w:line="288" w:lineRule="auto"/>
        <w:jc w:val="center"/>
        <w:rPr>
          <w:rFonts w:ascii="Times New Roman" w:hAnsi="Times New Roman"/>
          <w:sz w:val="20"/>
          <w:szCs w:val="21"/>
        </w:rPr>
      </w:pPr>
      <w:bookmarkStart w:id="288" w:name="_Toc188612074"/>
      <w:bookmarkStart w:id="289" w:name="_Toc170810210"/>
      <w:bookmarkStart w:id="290" w:name="_Toc188798545"/>
      <w:bookmarkStart w:id="291" w:name="_Toc185235644"/>
      <w:bookmarkStart w:id="292" w:name="_Toc185236595"/>
      <w:bookmarkStart w:id="293" w:name="_Toc170810208"/>
      <w:r>
        <w:rPr>
          <w:rFonts w:ascii="Times New Roman" w:hAnsi="Times New Roman"/>
          <w:sz w:val="20"/>
          <w:szCs w:val="21"/>
        </w:rPr>
        <w:t>5.13</w:t>
      </w:r>
      <w:r>
        <w:rPr>
          <w:rFonts w:hint="eastAsia" w:ascii="Times New Roman" w:hAnsi="Times New Roman"/>
          <w:sz w:val="20"/>
          <w:szCs w:val="21"/>
        </w:rPr>
        <w:t xml:space="preserve">  </w:t>
      </w:r>
      <w:r>
        <w:rPr>
          <w:rFonts w:ascii="Times New Roman" w:hAnsi="Times New Roman"/>
          <w:sz w:val="20"/>
          <w:szCs w:val="21"/>
        </w:rPr>
        <w:t>顶管机拆解与吊出</w:t>
      </w:r>
      <w:bookmarkEnd w:id="288"/>
      <w:bookmarkEnd w:id="289"/>
      <w:bookmarkEnd w:id="290"/>
      <w:bookmarkEnd w:id="291"/>
      <w:bookmarkEnd w:id="292"/>
    </w:p>
    <w:p w14:paraId="065B1016">
      <w:pPr>
        <w:snapToGrid w:val="0"/>
        <w:spacing w:line="288" w:lineRule="auto"/>
        <w:outlineLvl w:val="2"/>
        <w:rPr>
          <w:sz w:val="20"/>
          <w:szCs w:val="20"/>
        </w:rPr>
      </w:pPr>
      <w:r>
        <w:rPr>
          <w:rFonts w:hAnsi="Cambria Math"/>
          <w:b/>
          <w:bCs/>
          <w:sz w:val="20"/>
          <w:szCs w:val="20"/>
        </w:rPr>
        <w:t>5.1</w:t>
      </w:r>
      <w:r>
        <w:rPr>
          <w:rFonts w:hint="eastAsia" w:hAnsi="Cambria Math"/>
          <w:b/>
          <w:bCs/>
          <w:sz w:val="20"/>
          <w:szCs w:val="20"/>
        </w:rPr>
        <w:t>3</w:t>
      </w:r>
      <w:r>
        <w:rPr>
          <w:rFonts w:hAnsi="Cambria Math"/>
          <w:b/>
          <w:bCs/>
          <w:sz w:val="20"/>
          <w:szCs w:val="20"/>
        </w:rPr>
        <w:t xml:space="preserve">.1 </w:t>
      </w:r>
      <w:r>
        <w:rPr>
          <w:rFonts w:hint="eastAsia" w:hAnsi="Cambria Math"/>
          <w:b/>
          <w:bCs/>
          <w:sz w:val="20"/>
          <w:szCs w:val="20"/>
        </w:rPr>
        <w:t xml:space="preserve"> </w:t>
      </w:r>
      <w:r>
        <w:rPr>
          <w:rFonts w:hint="eastAsia"/>
          <w:sz w:val="20"/>
          <w:szCs w:val="20"/>
        </w:rPr>
        <w:t>顶管机拆解</w:t>
      </w:r>
      <w:r>
        <w:rPr>
          <w:sz w:val="20"/>
          <w:szCs w:val="20"/>
        </w:rPr>
        <w:t>应遵循由前向后</w:t>
      </w:r>
      <w:r>
        <w:rPr>
          <w:rFonts w:ascii="Cambria Math" w:hAnsi="Cambria Math" w:cs="Cambria Math"/>
          <w:kern w:val="0"/>
          <w:sz w:val="20"/>
          <w:szCs w:val="20"/>
          <w:lang w:bidi="ar"/>
        </w:rPr>
        <w:t>、先上后下、先机械后液压电气的原则</w:t>
      </w:r>
      <w:r>
        <w:rPr>
          <w:rFonts w:hint="eastAsia" w:ascii="Cambria Math" w:hAnsi="Cambria Math" w:cs="Cambria Math"/>
          <w:kern w:val="0"/>
          <w:sz w:val="20"/>
          <w:szCs w:val="20"/>
          <w:lang w:bidi="ar"/>
        </w:rPr>
        <w:t xml:space="preserve">。 </w:t>
      </w:r>
    </w:p>
    <w:p w14:paraId="4CE26C20">
      <w:pPr>
        <w:snapToGrid w:val="0"/>
        <w:spacing w:line="288" w:lineRule="auto"/>
        <w:outlineLvl w:val="2"/>
        <w:rPr>
          <w:sz w:val="20"/>
          <w:szCs w:val="20"/>
        </w:rPr>
      </w:pPr>
      <w:r>
        <w:rPr>
          <w:rFonts w:hAnsi="Cambria Math"/>
          <w:b/>
          <w:bCs/>
          <w:sz w:val="20"/>
          <w:szCs w:val="20"/>
        </w:rPr>
        <w:t>5.1</w:t>
      </w:r>
      <w:r>
        <w:rPr>
          <w:rFonts w:hint="eastAsia" w:hAnsi="Cambria Math"/>
          <w:b/>
          <w:bCs/>
          <w:sz w:val="20"/>
          <w:szCs w:val="20"/>
        </w:rPr>
        <w:t>3</w:t>
      </w:r>
      <w:r>
        <w:rPr>
          <w:rFonts w:hAnsi="Cambria Math"/>
          <w:b/>
          <w:bCs/>
          <w:sz w:val="20"/>
          <w:szCs w:val="20"/>
        </w:rPr>
        <w:t xml:space="preserve">.2 </w:t>
      </w:r>
      <w:r>
        <w:rPr>
          <w:rFonts w:hint="eastAsia" w:hAnsi="Cambria Math"/>
          <w:b/>
          <w:bCs/>
          <w:sz w:val="20"/>
          <w:szCs w:val="20"/>
        </w:rPr>
        <w:t xml:space="preserve"> </w:t>
      </w:r>
      <w:r>
        <w:rPr>
          <w:rFonts w:hint="eastAsia"/>
          <w:sz w:val="20"/>
          <w:szCs w:val="20"/>
        </w:rPr>
        <w:t>顶管机拆机</w:t>
      </w:r>
      <w:r>
        <w:rPr>
          <w:sz w:val="20"/>
          <w:szCs w:val="20"/>
        </w:rPr>
        <w:t>前应</w:t>
      </w:r>
      <w:r>
        <w:rPr>
          <w:rFonts w:ascii="Cambria Math" w:hAnsi="Cambria Math" w:cs="Cambria Math"/>
          <w:kern w:val="0"/>
          <w:sz w:val="20"/>
          <w:szCs w:val="20"/>
          <w:lang w:bidi="ar"/>
        </w:rPr>
        <w:t>对各机械部件及电气、流体、液压管路做好标识</w:t>
      </w:r>
      <w:r>
        <w:rPr>
          <w:rFonts w:hint="eastAsia" w:ascii="Cambria Math" w:hAnsi="Cambria Math" w:cs="Cambria Math"/>
          <w:kern w:val="0"/>
          <w:sz w:val="20"/>
          <w:szCs w:val="20"/>
          <w:lang w:bidi="ar"/>
        </w:rPr>
        <w:t xml:space="preserve">。 </w:t>
      </w:r>
    </w:p>
    <w:p w14:paraId="1EFF842C">
      <w:pPr>
        <w:snapToGrid w:val="0"/>
        <w:spacing w:line="288" w:lineRule="auto"/>
        <w:outlineLvl w:val="2"/>
        <w:rPr>
          <w:rFonts w:ascii="Cambria Math" w:hAnsi="Cambria Math" w:cs="Cambria Math"/>
          <w:kern w:val="0"/>
          <w:sz w:val="20"/>
          <w:szCs w:val="20"/>
          <w:lang w:bidi="ar"/>
        </w:rPr>
      </w:pPr>
      <w:r>
        <w:rPr>
          <w:rFonts w:hAnsi="Cambria Math"/>
          <w:b/>
          <w:bCs/>
          <w:sz w:val="20"/>
          <w:szCs w:val="20"/>
        </w:rPr>
        <w:t>5.1</w:t>
      </w:r>
      <w:r>
        <w:rPr>
          <w:rFonts w:hint="eastAsia" w:hAnsi="Cambria Math"/>
          <w:b/>
          <w:bCs/>
          <w:sz w:val="20"/>
          <w:szCs w:val="20"/>
        </w:rPr>
        <w:t>3</w:t>
      </w:r>
      <w:r>
        <w:rPr>
          <w:rFonts w:hAnsi="Cambria Math"/>
          <w:b/>
          <w:bCs/>
          <w:sz w:val="20"/>
          <w:szCs w:val="20"/>
        </w:rPr>
        <w:t xml:space="preserve">.3 </w:t>
      </w:r>
      <w:r>
        <w:rPr>
          <w:rFonts w:hint="eastAsia" w:hAnsi="Cambria Math"/>
          <w:b/>
          <w:bCs/>
          <w:sz w:val="20"/>
          <w:szCs w:val="20"/>
        </w:rPr>
        <w:t xml:space="preserve"> </w:t>
      </w:r>
      <w:r>
        <w:rPr>
          <w:rFonts w:hint="eastAsia"/>
          <w:sz w:val="20"/>
          <w:szCs w:val="20"/>
        </w:rPr>
        <w:t>顶管机拆解</w:t>
      </w:r>
      <w:r>
        <w:rPr>
          <w:sz w:val="20"/>
          <w:szCs w:val="20"/>
        </w:rPr>
        <w:t>场地</w:t>
      </w:r>
      <w:r>
        <w:rPr>
          <w:rFonts w:hint="eastAsia"/>
          <w:sz w:val="20"/>
          <w:szCs w:val="20"/>
        </w:rPr>
        <w:t>井上</w:t>
      </w:r>
      <w:r>
        <w:rPr>
          <w:sz w:val="20"/>
          <w:szCs w:val="20"/>
        </w:rPr>
        <w:t>作业面应保证有足够的地基承载力</w:t>
      </w:r>
      <w:r>
        <w:rPr>
          <w:rFonts w:ascii="Cambria Math" w:hAnsi="Cambria Math" w:cs="Cambria Math"/>
          <w:kern w:val="0"/>
          <w:sz w:val="20"/>
          <w:szCs w:val="20"/>
          <w:lang w:bidi="ar"/>
        </w:rPr>
        <w:t>，起吊设备和输送</w:t>
      </w:r>
      <w:r>
        <w:rPr>
          <w:rFonts w:hint="eastAsia" w:ascii="Cambria Math" w:hAnsi="Cambria Math" w:cs="Cambria Math"/>
          <w:kern w:val="0"/>
          <w:sz w:val="20"/>
          <w:szCs w:val="20"/>
          <w:lang w:bidi="ar"/>
        </w:rPr>
        <w:t>车辆</w:t>
      </w:r>
      <w:r>
        <w:rPr>
          <w:rFonts w:ascii="Cambria Math" w:hAnsi="Cambria Math" w:cs="Cambria Math"/>
          <w:kern w:val="0"/>
          <w:sz w:val="20"/>
          <w:szCs w:val="20"/>
          <w:lang w:bidi="ar"/>
        </w:rPr>
        <w:t>等辅助设备的组装、作业空间应充裕。</w:t>
      </w:r>
      <w:r>
        <w:rPr>
          <w:rFonts w:hint="eastAsia" w:ascii="Cambria Math" w:hAnsi="Cambria Math" w:cs="Cambria Math"/>
          <w:kern w:val="0"/>
          <w:sz w:val="20"/>
          <w:szCs w:val="20"/>
          <w:lang w:bidi="ar"/>
        </w:rPr>
        <w:t xml:space="preserve"> </w:t>
      </w:r>
    </w:p>
    <w:p w14:paraId="7F24A8F5">
      <w:pPr>
        <w:snapToGrid w:val="0"/>
        <w:spacing w:line="288" w:lineRule="auto"/>
        <w:outlineLvl w:val="2"/>
        <w:rPr>
          <w:rFonts w:ascii="Cambria Math" w:hAnsi="Cambria Math" w:cs="Cambria Math"/>
          <w:kern w:val="0"/>
          <w:sz w:val="20"/>
          <w:szCs w:val="20"/>
          <w:lang w:bidi="ar"/>
        </w:rPr>
      </w:pPr>
      <w:r>
        <w:rPr>
          <w:rFonts w:hint="eastAsia" w:hAnsi="Cambria Math"/>
          <w:b/>
          <w:bCs/>
          <w:sz w:val="20"/>
          <w:szCs w:val="20"/>
        </w:rPr>
        <w:t xml:space="preserve">5.13.4  </w:t>
      </w:r>
      <w:r>
        <w:rPr>
          <w:rFonts w:hint="eastAsia" w:ascii="Cambria Math" w:hAnsi="Cambria Math" w:cs="Cambria Math"/>
          <w:kern w:val="0"/>
          <w:sz w:val="20"/>
          <w:szCs w:val="20"/>
          <w:lang w:bidi="ar"/>
        </w:rPr>
        <w:t>各部件起吊前，应检查、安装起吊装置，临时焊接的吊耳应按设计要求对焊缝进行探伤。</w:t>
      </w:r>
    </w:p>
    <w:p w14:paraId="0682848C">
      <w:pPr>
        <w:snapToGrid w:val="0"/>
        <w:spacing w:line="288" w:lineRule="auto"/>
        <w:outlineLvl w:val="2"/>
        <w:rPr>
          <w:rFonts w:ascii="Cambria Math" w:hAnsi="Cambria Math" w:cs="Cambria Math"/>
          <w:kern w:val="0"/>
          <w:sz w:val="20"/>
          <w:szCs w:val="20"/>
          <w:lang w:bidi="ar"/>
        </w:rPr>
      </w:pPr>
      <w:r>
        <w:rPr>
          <w:rFonts w:hAnsi="Cambria Math"/>
          <w:b/>
          <w:bCs/>
          <w:sz w:val="20"/>
          <w:szCs w:val="20"/>
        </w:rPr>
        <w:t>5.1</w:t>
      </w:r>
      <w:r>
        <w:rPr>
          <w:rFonts w:hint="eastAsia" w:hAnsi="Cambria Math"/>
          <w:b/>
          <w:bCs/>
          <w:sz w:val="20"/>
          <w:szCs w:val="20"/>
        </w:rPr>
        <w:t>3</w:t>
      </w:r>
      <w:r>
        <w:rPr>
          <w:rFonts w:hAnsi="Cambria Math"/>
          <w:b/>
          <w:bCs/>
          <w:sz w:val="20"/>
          <w:szCs w:val="20"/>
        </w:rPr>
        <w:t>.</w:t>
      </w:r>
      <w:r>
        <w:rPr>
          <w:rFonts w:hint="eastAsia" w:hAnsi="Cambria Math"/>
          <w:b/>
          <w:bCs/>
          <w:sz w:val="20"/>
          <w:szCs w:val="20"/>
        </w:rPr>
        <w:t>5</w:t>
      </w:r>
      <w:r>
        <w:rPr>
          <w:rFonts w:hAnsi="Cambria Math"/>
          <w:b/>
          <w:bCs/>
          <w:sz w:val="20"/>
          <w:szCs w:val="20"/>
        </w:rPr>
        <w:t xml:space="preserve"> </w:t>
      </w:r>
      <w:r>
        <w:rPr>
          <w:rFonts w:hint="eastAsia" w:hAnsi="Cambria Math"/>
          <w:b/>
          <w:bCs/>
          <w:sz w:val="20"/>
          <w:szCs w:val="20"/>
        </w:rPr>
        <w:t xml:space="preserve"> </w:t>
      </w:r>
      <w:r>
        <w:rPr>
          <w:rFonts w:hint="eastAsia"/>
          <w:sz w:val="20"/>
          <w:szCs w:val="20"/>
        </w:rPr>
        <w:t>顶管机</w:t>
      </w:r>
      <w:r>
        <w:rPr>
          <w:sz w:val="20"/>
          <w:szCs w:val="20"/>
        </w:rPr>
        <w:t>在拆解过程中应做好零部件的保护性措施</w:t>
      </w:r>
      <w:r>
        <w:rPr>
          <w:rFonts w:ascii="Cambria Math" w:hAnsi="Cambria Math" w:cs="Cambria Math"/>
          <w:kern w:val="0"/>
          <w:sz w:val="20"/>
          <w:szCs w:val="20"/>
          <w:lang w:bidi="ar"/>
        </w:rPr>
        <w:t>，拆除完成后应做好防潮措施。</w:t>
      </w:r>
    </w:p>
    <w:p w14:paraId="5AEBDFAF">
      <w:pPr>
        <w:pStyle w:val="3"/>
        <w:snapToGrid w:val="0"/>
        <w:spacing w:before="312" w:beforeLines="100" w:after="0" w:line="288" w:lineRule="auto"/>
        <w:jc w:val="center"/>
        <w:rPr>
          <w:rFonts w:ascii="Times New Roman" w:hAnsi="Times New Roman"/>
          <w:sz w:val="20"/>
          <w:szCs w:val="21"/>
        </w:rPr>
      </w:pPr>
      <w:bookmarkStart w:id="294" w:name="_Toc170810209"/>
      <w:bookmarkStart w:id="295" w:name="_Toc185236596"/>
      <w:bookmarkStart w:id="296" w:name="_Toc188612075"/>
      <w:bookmarkStart w:id="297" w:name="_Toc185235645"/>
      <w:bookmarkStart w:id="298" w:name="_Toc188798546"/>
      <w:r>
        <w:rPr>
          <w:rFonts w:ascii="Times New Roman" w:hAnsi="Times New Roman"/>
          <w:sz w:val="20"/>
          <w:szCs w:val="21"/>
        </w:rPr>
        <w:t>5.14  施工测量</w:t>
      </w:r>
      <w:bookmarkEnd w:id="294"/>
      <w:bookmarkEnd w:id="295"/>
      <w:bookmarkEnd w:id="296"/>
      <w:bookmarkEnd w:id="297"/>
      <w:bookmarkEnd w:id="298"/>
    </w:p>
    <w:p w14:paraId="1D0B9F79">
      <w:pPr>
        <w:snapToGrid w:val="0"/>
        <w:spacing w:line="288" w:lineRule="auto"/>
        <w:outlineLvl w:val="2"/>
        <w:rPr>
          <w:rFonts w:hAnsi="Cambria Math"/>
          <w:b/>
          <w:bCs/>
          <w:sz w:val="20"/>
          <w:szCs w:val="20"/>
        </w:rPr>
      </w:pPr>
      <w:r>
        <w:rPr>
          <w:rFonts w:hAnsi="Cambria Math"/>
          <w:b/>
          <w:bCs/>
          <w:sz w:val="20"/>
          <w:szCs w:val="20"/>
        </w:rPr>
        <w:t>5.1</w:t>
      </w:r>
      <w:r>
        <w:rPr>
          <w:rFonts w:hint="eastAsia" w:hAnsi="Cambria Math"/>
          <w:b/>
          <w:bCs/>
          <w:sz w:val="20"/>
          <w:szCs w:val="20"/>
        </w:rPr>
        <w:t>4</w:t>
      </w:r>
      <w:r>
        <w:rPr>
          <w:rFonts w:hAnsi="Cambria Math"/>
          <w:b/>
          <w:bCs/>
          <w:sz w:val="20"/>
          <w:szCs w:val="20"/>
        </w:rPr>
        <w:t xml:space="preserve">.1 </w:t>
      </w:r>
      <w:r>
        <w:rPr>
          <w:rFonts w:hint="eastAsia" w:hAnsi="Cambria Math"/>
          <w:b/>
          <w:bCs/>
          <w:sz w:val="20"/>
          <w:szCs w:val="20"/>
        </w:rPr>
        <w:t xml:space="preserve"> </w:t>
      </w:r>
      <w:r>
        <w:rPr>
          <w:rFonts w:hint="eastAsia"/>
          <w:sz w:val="20"/>
          <w:szCs w:val="20"/>
        </w:rPr>
        <w:t>测量前，应对施工现场进行踏勘，收集相关测量资料，办理测量资料交接手续，并应对既有测量控制点进行复测和保护。</w:t>
      </w:r>
    </w:p>
    <w:p w14:paraId="7B9ABB94">
      <w:pPr>
        <w:snapToGrid w:val="0"/>
        <w:spacing w:line="288" w:lineRule="auto"/>
        <w:outlineLvl w:val="2"/>
        <w:rPr>
          <w:sz w:val="20"/>
          <w:szCs w:val="20"/>
        </w:rPr>
      </w:pPr>
      <w:r>
        <w:rPr>
          <w:rFonts w:hAnsi="Cambria Math"/>
          <w:b/>
          <w:bCs/>
          <w:sz w:val="20"/>
          <w:szCs w:val="20"/>
        </w:rPr>
        <w:t>5.1</w:t>
      </w:r>
      <w:r>
        <w:rPr>
          <w:rFonts w:hint="eastAsia" w:hAnsi="Cambria Math"/>
          <w:b/>
          <w:bCs/>
          <w:sz w:val="20"/>
          <w:szCs w:val="20"/>
        </w:rPr>
        <w:t>4</w:t>
      </w:r>
      <w:r>
        <w:rPr>
          <w:rFonts w:hAnsi="Cambria Math"/>
          <w:b/>
          <w:bCs/>
          <w:sz w:val="20"/>
          <w:szCs w:val="20"/>
        </w:rPr>
        <w:t>.2</w:t>
      </w:r>
      <w:r>
        <w:rPr>
          <w:rFonts w:hint="eastAsia" w:hAnsi="Cambria Math"/>
          <w:b/>
          <w:bCs/>
          <w:sz w:val="20"/>
          <w:szCs w:val="20"/>
        </w:rPr>
        <w:t xml:space="preserve">  </w:t>
      </w:r>
      <w:r>
        <w:rPr>
          <w:rFonts w:hint="eastAsia"/>
          <w:sz w:val="20"/>
          <w:szCs w:val="20"/>
        </w:rPr>
        <w:t>施工前，应根据周边环境、地面控制网、顶管机进入结构的方式、结构长度，以及顶管机配置的导向系统的精度、特点和人工测量仪器精度等，制定施工测量方案。</w:t>
      </w:r>
    </w:p>
    <w:p w14:paraId="2377BD54">
      <w:pPr>
        <w:snapToGrid w:val="0"/>
        <w:spacing w:line="288" w:lineRule="auto"/>
        <w:outlineLvl w:val="2"/>
        <w:rPr>
          <w:sz w:val="20"/>
          <w:szCs w:val="20"/>
        </w:rPr>
      </w:pPr>
      <w:r>
        <w:rPr>
          <w:rFonts w:hAnsi="Cambria Math"/>
          <w:b/>
          <w:bCs/>
          <w:sz w:val="20"/>
          <w:szCs w:val="20"/>
        </w:rPr>
        <w:t>5.1</w:t>
      </w:r>
      <w:r>
        <w:rPr>
          <w:rFonts w:hint="eastAsia" w:hAnsi="Cambria Math"/>
          <w:b/>
          <w:bCs/>
          <w:sz w:val="20"/>
          <w:szCs w:val="20"/>
        </w:rPr>
        <w:t>4</w:t>
      </w:r>
      <w:r>
        <w:rPr>
          <w:rFonts w:hAnsi="Cambria Math"/>
          <w:b/>
          <w:bCs/>
          <w:sz w:val="20"/>
          <w:szCs w:val="20"/>
        </w:rPr>
        <w:t>.</w:t>
      </w:r>
      <w:r>
        <w:rPr>
          <w:rFonts w:hint="eastAsia" w:hAnsi="Cambria Math"/>
          <w:b/>
          <w:bCs/>
          <w:sz w:val="20"/>
          <w:szCs w:val="20"/>
        </w:rPr>
        <w:t xml:space="preserve">3  </w:t>
      </w:r>
      <w:r>
        <w:rPr>
          <w:rFonts w:hint="eastAsia"/>
          <w:sz w:val="20"/>
          <w:szCs w:val="20"/>
        </w:rPr>
        <w:t>施工测量应符合下列规定</w:t>
      </w:r>
      <w:r>
        <w:rPr>
          <w:rFonts w:hint="eastAsia" w:ascii="Cambria Math" w:hAnsi="Cambria Math" w:cs="Cambria Math"/>
          <w:kern w:val="0"/>
          <w:sz w:val="20"/>
          <w:szCs w:val="20"/>
          <w:lang w:bidi="ar"/>
        </w:rPr>
        <w:t xml:space="preserve">： </w:t>
      </w:r>
    </w:p>
    <w:p w14:paraId="2D7DC840">
      <w:pPr>
        <w:snapToGrid w:val="0"/>
        <w:spacing w:line="288" w:lineRule="auto"/>
        <w:ind w:firstLine="300" w:firstLineChars="150"/>
        <w:rPr>
          <w:rFonts w:hAnsi="Cambria Math"/>
          <w:bCs/>
          <w:sz w:val="20"/>
          <w:szCs w:val="20"/>
        </w:rPr>
      </w:pPr>
      <w:r>
        <w:rPr>
          <w:rFonts w:hAnsi="Cambria Math"/>
          <w:b/>
          <w:bCs/>
          <w:sz w:val="20"/>
          <w:szCs w:val="20"/>
        </w:rPr>
        <w:t>1</w:t>
      </w:r>
      <w:r>
        <w:rPr>
          <w:rFonts w:hint="eastAsia" w:hAnsi="Cambria Math"/>
          <w:bCs/>
          <w:sz w:val="20"/>
          <w:szCs w:val="20"/>
        </w:rPr>
        <w:t xml:space="preserve"> 应对顶进方向的高程偏差、轴线偏差、顶管顶进的姿态与顶进长度等参数进行测量； </w:t>
      </w:r>
    </w:p>
    <w:p w14:paraId="5FDFCC5E">
      <w:pPr>
        <w:snapToGrid w:val="0"/>
        <w:spacing w:line="288" w:lineRule="auto"/>
        <w:ind w:firstLine="300" w:firstLineChars="150"/>
        <w:rPr>
          <w:rFonts w:hAnsi="Cambria Math"/>
          <w:bCs/>
          <w:sz w:val="20"/>
          <w:szCs w:val="20"/>
        </w:rPr>
      </w:pPr>
      <w:r>
        <w:rPr>
          <w:rFonts w:hAnsi="Cambria Math"/>
          <w:b/>
          <w:bCs/>
          <w:sz w:val="20"/>
          <w:szCs w:val="20"/>
        </w:rPr>
        <w:t xml:space="preserve">2 </w:t>
      </w:r>
      <w:r>
        <w:rPr>
          <w:rFonts w:hint="eastAsia" w:hAnsi="Cambria Math"/>
          <w:bCs/>
          <w:sz w:val="20"/>
          <w:szCs w:val="20"/>
        </w:rPr>
        <w:t>应对工作井预留洞口进行复测，并根据洞口偏差指导顶管机始发与接收；</w:t>
      </w:r>
    </w:p>
    <w:p w14:paraId="3193D7BC">
      <w:pPr>
        <w:snapToGrid w:val="0"/>
        <w:spacing w:line="288" w:lineRule="auto"/>
        <w:ind w:firstLine="300" w:firstLineChars="150"/>
        <w:rPr>
          <w:rFonts w:hAnsi="Cambria Math"/>
          <w:bCs/>
          <w:sz w:val="20"/>
          <w:szCs w:val="20"/>
        </w:rPr>
      </w:pPr>
      <w:r>
        <w:rPr>
          <w:rFonts w:hint="eastAsia" w:hAnsi="Cambria Math"/>
          <w:b/>
          <w:bCs/>
          <w:sz w:val="20"/>
          <w:szCs w:val="20"/>
        </w:rPr>
        <w:t xml:space="preserve">3 </w:t>
      </w:r>
      <w:r>
        <w:rPr>
          <w:rFonts w:hint="eastAsia" w:hAnsi="Cambria Math"/>
          <w:bCs/>
          <w:sz w:val="20"/>
          <w:szCs w:val="20"/>
        </w:rPr>
        <w:t>顶管定向测量应采用激光指向法。</w:t>
      </w:r>
    </w:p>
    <w:p w14:paraId="7CBC4447">
      <w:pPr>
        <w:snapToGrid w:val="0"/>
        <w:spacing w:line="288" w:lineRule="auto"/>
        <w:outlineLvl w:val="2"/>
        <w:rPr>
          <w:sz w:val="20"/>
          <w:szCs w:val="20"/>
        </w:rPr>
      </w:pPr>
      <w:r>
        <w:rPr>
          <w:rFonts w:hAnsi="Cambria Math"/>
          <w:b/>
          <w:bCs/>
          <w:sz w:val="20"/>
          <w:szCs w:val="20"/>
        </w:rPr>
        <w:t>5.1</w:t>
      </w:r>
      <w:r>
        <w:rPr>
          <w:rFonts w:hint="eastAsia" w:hAnsi="Cambria Math"/>
          <w:b/>
          <w:bCs/>
          <w:sz w:val="20"/>
          <w:szCs w:val="20"/>
        </w:rPr>
        <w:t>4</w:t>
      </w:r>
      <w:r>
        <w:rPr>
          <w:rFonts w:hAnsi="Cambria Math"/>
          <w:b/>
          <w:bCs/>
          <w:sz w:val="20"/>
          <w:szCs w:val="20"/>
        </w:rPr>
        <w:t>.</w:t>
      </w:r>
      <w:r>
        <w:rPr>
          <w:rFonts w:hint="eastAsia" w:hAnsi="Cambria Math"/>
          <w:b/>
          <w:bCs/>
          <w:sz w:val="20"/>
          <w:szCs w:val="20"/>
        </w:rPr>
        <w:t>4</w:t>
      </w:r>
      <w:r>
        <w:rPr>
          <w:rFonts w:hAnsi="Cambria Math"/>
          <w:b/>
          <w:bCs/>
          <w:sz w:val="20"/>
          <w:szCs w:val="20"/>
        </w:rPr>
        <w:t xml:space="preserve"> </w:t>
      </w:r>
      <w:r>
        <w:rPr>
          <w:rFonts w:hint="eastAsia" w:hAnsi="Cambria Math"/>
          <w:b/>
          <w:bCs/>
          <w:sz w:val="20"/>
          <w:szCs w:val="20"/>
        </w:rPr>
        <w:t xml:space="preserve"> </w:t>
      </w:r>
      <w:r>
        <w:rPr>
          <w:rFonts w:hint="eastAsia"/>
          <w:sz w:val="20"/>
          <w:szCs w:val="20"/>
        </w:rPr>
        <w:t>顶进测量控制应符合下列规定</w:t>
      </w:r>
      <w:r>
        <w:rPr>
          <w:rFonts w:hint="eastAsia" w:ascii="Cambria Math" w:hAnsi="Cambria Math" w:cs="Cambria Math"/>
          <w:kern w:val="0"/>
          <w:sz w:val="20"/>
          <w:szCs w:val="20"/>
          <w:lang w:bidi="ar"/>
        </w:rPr>
        <w:t>：</w:t>
      </w:r>
    </w:p>
    <w:p w14:paraId="246E7EB8">
      <w:pPr>
        <w:snapToGrid w:val="0"/>
        <w:spacing w:line="288" w:lineRule="auto"/>
        <w:ind w:firstLine="300" w:firstLineChars="150"/>
        <w:rPr>
          <w:rFonts w:hAnsi="Cambria Math"/>
          <w:bCs/>
          <w:sz w:val="20"/>
          <w:szCs w:val="20"/>
        </w:rPr>
      </w:pPr>
      <w:r>
        <w:rPr>
          <w:rFonts w:hAnsi="Cambria Math"/>
          <w:b/>
          <w:bCs/>
          <w:sz w:val="20"/>
          <w:szCs w:val="20"/>
        </w:rPr>
        <w:t xml:space="preserve">1 </w:t>
      </w:r>
      <w:r>
        <w:rPr>
          <w:rFonts w:hint="eastAsia" w:hAnsi="Cambria Math"/>
          <w:bCs/>
          <w:sz w:val="20"/>
          <w:szCs w:val="20"/>
        </w:rPr>
        <w:t>顶管机始发进入土层时，每顶进300mm测量不少于1次；正常顶进时，每顶进1000mm测量不少于1次；</w:t>
      </w:r>
    </w:p>
    <w:p w14:paraId="0AEE93EB">
      <w:pPr>
        <w:snapToGrid w:val="0"/>
        <w:spacing w:line="288" w:lineRule="auto"/>
        <w:ind w:firstLine="300" w:firstLineChars="150"/>
        <w:rPr>
          <w:rFonts w:hAnsi="Cambria Math"/>
          <w:bCs/>
          <w:sz w:val="20"/>
          <w:szCs w:val="20"/>
        </w:rPr>
      </w:pPr>
      <w:r>
        <w:rPr>
          <w:rFonts w:hAnsi="Cambria Math"/>
          <w:b/>
          <w:bCs/>
          <w:sz w:val="20"/>
          <w:szCs w:val="20"/>
        </w:rPr>
        <w:t>2</w:t>
      </w:r>
      <w:r>
        <w:rPr>
          <w:rFonts w:hint="eastAsia" w:hAnsi="Cambria Math"/>
          <w:b/>
          <w:bCs/>
          <w:sz w:val="20"/>
          <w:szCs w:val="20"/>
        </w:rPr>
        <w:t xml:space="preserve"> </w:t>
      </w:r>
      <w:r>
        <w:rPr>
          <w:rFonts w:hint="eastAsia" w:hAnsi="Cambria Math"/>
          <w:bCs/>
          <w:sz w:val="20"/>
          <w:szCs w:val="20"/>
        </w:rPr>
        <w:t>顶管机进入接收井前30m应增加测量次数，每顶进300mm测量不少于1次；</w:t>
      </w:r>
    </w:p>
    <w:p w14:paraId="7264BE88">
      <w:pPr>
        <w:snapToGrid w:val="0"/>
        <w:spacing w:line="288" w:lineRule="auto"/>
        <w:ind w:firstLine="300" w:firstLineChars="150"/>
        <w:rPr>
          <w:rFonts w:hAnsi="Cambria Math"/>
          <w:bCs/>
          <w:sz w:val="20"/>
          <w:szCs w:val="20"/>
        </w:rPr>
      </w:pPr>
      <w:r>
        <w:rPr>
          <w:rFonts w:hAnsi="Cambria Math"/>
          <w:b/>
          <w:bCs/>
          <w:sz w:val="20"/>
          <w:szCs w:val="20"/>
        </w:rPr>
        <w:t>3</w:t>
      </w:r>
      <w:r>
        <w:rPr>
          <w:rFonts w:hint="eastAsia" w:hAnsi="Cambria Math"/>
          <w:b/>
          <w:bCs/>
          <w:sz w:val="20"/>
          <w:szCs w:val="20"/>
        </w:rPr>
        <w:t xml:space="preserve"> </w:t>
      </w:r>
      <w:r>
        <w:rPr>
          <w:rFonts w:hint="eastAsia" w:hAnsi="Cambria Math"/>
          <w:bCs/>
          <w:sz w:val="20"/>
          <w:szCs w:val="20"/>
        </w:rPr>
        <w:t>每节管节顶进结束后，应进行复测；</w:t>
      </w:r>
    </w:p>
    <w:p w14:paraId="7116771E">
      <w:pPr>
        <w:snapToGrid w:val="0"/>
        <w:spacing w:line="288" w:lineRule="auto"/>
        <w:ind w:firstLine="300" w:firstLineChars="150"/>
        <w:rPr>
          <w:rFonts w:hAnsi="Cambria Math"/>
          <w:bCs/>
          <w:sz w:val="20"/>
          <w:szCs w:val="20"/>
        </w:rPr>
      </w:pPr>
      <w:r>
        <w:rPr>
          <w:rFonts w:hAnsi="Cambria Math"/>
          <w:b/>
          <w:bCs/>
          <w:sz w:val="20"/>
          <w:szCs w:val="20"/>
        </w:rPr>
        <w:t>4</w:t>
      </w:r>
      <w:r>
        <w:rPr>
          <w:rFonts w:hint="eastAsia" w:hAnsi="Cambria Math"/>
          <w:b/>
          <w:bCs/>
          <w:sz w:val="20"/>
          <w:szCs w:val="20"/>
        </w:rPr>
        <w:t xml:space="preserve"> </w:t>
      </w:r>
      <w:r>
        <w:rPr>
          <w:rFonts w:hint="eastAsia" w:hAnsi="Cambria Math"/>
          <w:bCs/>
          <w:sz w:val="20"/>
          <w:szCs w:val="20"/>
        </w:rPr>
        <w:t>纠偏量较大或频繁纠偏时应增加测量次数；</w:t>
      </w:r>
    </w:p>
    <w:p w14:paraId="3343186F">
      <w:pPr>
        <w:snapToGrid w:val="0"/>
        <w:spacing w:line="288" w:lineRule="auto"/>
        <w:ind w:firstLine="300" w:firstLineChars="150"/>
        <w:rPr>
          <w:rFonts w:hAnsi="Cambria Math"/>
          <w:bCs/>
          <w:sz w:val="20"/>
          <w:szCs w:val="20"/>
        </w:rPr>
      </w:pPr>
      <w:r>
        <w:rPr>
          <w:rFonts w:hAnsi="Cambria Math"/>
          <w:b/>
          <w:bCs/>
          <w:sz w:val="20"/>
          <w:szCs w:val="20"/>
        </w:rPr>
        <w:t>5</w:t>
      </w:r>
      <w:r>
        <w:rPr>
          <w:rFonts w:hint="eastAsia" w:hAnsi="Cambria Math"/>
          <w:bCs/>
          <w:sz w:val="20"/>
          <w:szCs w:val="20"/>
        </w:rPr>
        <w:t xml:space="preserve"> 顶管内增设中间测站进行人工测量时，宜采用少设测站的长导线法，每次测量前均应对中间测站进行复核。</w:t>
      </w:r>
    </w:p>
    <w:p w14:paraId="31D091E3">
      <w:pPr>
        <w:snapToGrid w:val="0"/>
        <w:spacing w:line="288" w:lineRule="auto"/>
        <w:outlineLvl w:val="2"/>
        <w:rPr>
          <w:rFonts w:hAnsi="Cambria Math"/>
          <w:b/>
          <w:bCs/>
          <w:sz w:val="20"/>
          <w:szCs w:val="20"/>
        </w:rPr>
      </w:pPr>
      <w:r>
        <w:rPr>
          <w:rFonts w:hAnsi="Cambria Math"/>
          <w:b/>
          <w:bCs/>
          <w:sz w:val="20"/>
          <w:szCs w:val="20"/>
        </w:rPr>
        <w:t>5.1</w:t>
      </w:r>
      <w:r>
        <w:rPr>
          <w:rFonts w:hint="eastAsia" w:hAnsi="Cambria Math"/>
          <w:b/>
          <w:bCs/>
          <w:sz w:val="20"/>
          <w:szCs w:val="20"/>
        </w:rPr>
        <w:t>4</w:t>
      </w:r>
      <w:r>
        <w:rPr>
          <w:rFonts w:hAnsi="Cambria Math"/>
          <w:b/>
          <w:bCs/>
          <w:sz w:val="20"/>
          <w:szCs w:val="20"/>
        </w:rPr>
        <w:t>.</w:t>
      </w:r>
      <w:r>
        <w:rPr>
          <w:rFonts w:hint="eastAsia" w:hAnsi="Cambria Math"/>
          <w:b/>
          <w:bCs/>
          <w:sz w:val="20"/>
          <w:szCs w:val="20"/>
        </w:rPr>
        <w:t>5</w:t>
      </w:r>
      <w:r>
        <w:rPr>
          <w:rFonts w:hAnsi="Cambria Math"/>
          <w:b/>
          <w:bCs/>
          <w:sz w:val="20"/>
          <w:szCs w:val="20"/>
        </w:rPr>
        <w:t xml:space="preserve">  </w:t>
      </w:r>
      <w:r>
        <w:rPr>
          <w:rFonts w:hint="eastAsia"/>
          <w:sz w:val="20"/>
          <w:szCs w:val="20"/>
        </w:rPr>
        <w:t>顶管贯通后应进行贯通测量</w:t>
      </w:r>
      <w:r>
        <w:rPr>
          <w:rFonts w:hint="eastAsia" w:hAnsi="Cambria Math"/>
          <w:bCs/>
          <w:sz w:val="20"/>
          <w:szCs w:val="20"/>
        </w:rPr>
        <w:t>，贯通测量误差应符合现行国标《城市轨道交通工程测量规范》GB/T50308相关规定。</w:t>
      </w:r>
    </w:p>
    <w:p w14:paraId="7DB8A9D6">
      <w:pPr>
        <w:pStyle w:val="3"/>
        <w:snapToGrid w:val="0"/>
        <w:spacing w:before="312" w:beforeLines="100" w:after="0" w:line="288" w:lineRule="auto"/>
        <w:jc w:val="center"/>
        <w:rPr>
          <w:rFonts w:ascii="Times New Roman" w:hAnsi="Times New Roman"/>
          <w:sz w:val="20"/>
          <w:szCs w:val="21"/>
        </w:rPr>
      </w:pPr>
      <w:bookmarkStart w:id="299" w:name="_Toc188612076"/>
      <w:bookmarkStart w:id="300" w:name="_Toc188798547"/>
      <w:r>
        <w:rPr>
          <w:rFonts w:ascii="Times New Roman" w:hAnsi="Times New Roman"/>
          <w:sz w:val="20"/>
          <w:szCs w:val="21"/>
        </w:rPr>
        <w:t>5.1</w:t>
      </w:r>
      <w:r>
        <w:rPr>
          <w:rFonts w:hint="eastAsia" w:ascii="Times New Roman" w:hAnsi="Times New Roman"/>
          <w:sz w:val="20"/>
          <w:szCs w:val="21"/>
        </w:rPr>
        <w:t>5</w:t>
      </w:r>
      <w:r>
        <w:rPr>
          <w:rFonts w:ascii="Times New Roman" w:hAnsi="Times New Roman"/>
          <w:sz w:val="20"/>
          <w:szCs w:val="21"/>
        </w:rPr>
        <w:t xml:space="preserve">  </w:t>
      </w:r>
      <w:r>
        <w:rPr>
          <w:rFonts w:hint="eastAsia" w:ascii="Times New Roman" w:hAnsi="Times New Roman"/>
          <w:sz w:val="20"/>
          <w:szCs w:val="21"/>
        </w:rPr>
        <w:t>监控量测</w:t>
      </w:r>
      <w:bookmarkEnd w:id="299"/>
      <w:bookmarkEnd w:id="300"/>
    </w:p>
    <w:p w14:paraId="288086F9">
      <w:pPr>
        <w:snapToGrid w:val="0"/>
        <w:spacing w:line="288" w:lineRule="auto"/>
        <w:outlineLvl w:val="2"/>
        <w:rPr>
          <w:rFonts w:hAnsi="Cambria Math"/>
          <w:bCs/>
          <w:sz w:val="20"/>
          <w:szCs w:val="20"/>
        </w:rPr>
      </w:pPr>
      <w:r>
        <w:rPr>
          <w:rFonts w:hAnsi="Cambria Math"/>
          <w:b/>
          <w:bCs/>
          <w:sz w:val="20"/>
          <w:szCs w:val="20"/>
        </w:rPr>
        <w:t>5.1</w:t>
      </w:r>
      <w:r>
        <w:rPr>
          <w:rFonts w:hint="eastAsia" w:hAnsi="Cambria Math"/>
          <w:b/>
          <w:bCs/>
          <w:sz w:val="20"/>
          <w:szCs w:val="20"/>
        </w:rPr>
        <w:t>5</w:t>
      </w:r>
      <w:r>
        <w:rPr>
          <w:rFonts w:hAnsi="Cambria Math"/>
          <w:b/>
          <w:bCs/>
          <w:sz w:val="20"/>
          <w:szCs w:val="20"/>
        </w:rPr>
        <w:t>.</w:t>
      </w:r>
      <w:r>
        <w:rPr>
          <w:rFonts w:hint="eastAsia" w:hAnsi="Cambria Math"/>
          <w:b/>
          <w:bCs/>
          <w:sz w:val="20"/>
          <w:szCs w:val="20"/>
        </w:rPr>
        <w:t>1</w:t>
      </w:r>
      <w:r>
        <w:rPr>
          <w:rFonts w:hAnsi="Cambria Math"/>
          <w:b/>
          <w:bCs/>
          <w:sz w:val="20"/>
          <w:szCs w:val="20"/>
        </w:rPr>
        <w:t xml:space="preserve">  </w:t>
      </w:r>
      <w:r>
        <w:rPr>
          <w:rFonts w:hint="eastAsia" w:hAnsi="Cambria Math"/>
          <w:bCs/>
          <w:sz w:val="20"/>
          <w:szCs w:val="20"/>
        </w:rPr>
        <w:t>应对顶管施工影响范围内的土体、道路、建构筑物、地上地下管线、轨道交通等周边环境进行监控量测。</w:t>
      </w:r>
    </w:p>
    <w:p w14:paraId="00963094">
      <w:pPr>
        <w:snapToGrid w:val="0"/>
        <w:spacing w:line="288" w:lineRule="auto"/>
        <w:outlineLvl w:val="2"/>
        <w:rPr>
          <w:sz w:val="20"/>
          <w:szCs w:val="20"/>
        </w:rPr>
      </w:pPr>
      <w:r>
        <w:rPr>
          <w:rFonts w:hAnsi="Cambria Math"/>
          <w:b/>
          <w:bCs/>
          <w:sz w:val="20"/>
          <w:szCs w:val="20"/>
        </w:rPr>
        <w:t>5.15.2</w:t>
      </w:r>
      <w:r>
        <w:rPr>
          <w:rFonts w:hint="eastAsia"/>
          <w:sz w:val="20"/>
          <w:szCs w:val="20"/>
        </w:rPr>
        <w:t xml:space="preserve">  监控量测项目应符合下列规定：</w:t>
      </w:r>
    </w:p>
    <w:p w14:paraId="1D687BDA">
      <w:pPr>
        <w:snapToGrid w:val="0"/>
        <w:spacing w:line="288" w:lineRule="auto"/>
        <w:ind w:firstLine="300" w:firstLineChars="150"/>
        <w:rPr>
          <w:rFonts w:hAnsi="Cambria Math"/>
          <w:bCs/>
          <w:sz w:val="20"/>
          <w:szCs w:val="20"/>
        </w:rPr>
      </w:pPr>
      <w:r>
        <w:rPr>
          <w:rFonts w:hAnsi="Cambria Math"/>
          <w:b/>
          <w:bCs/>
          <w:sz w:val="20"/>
          <w:szCs w:val="20"/>
        </w:rPr>
        <w:t xml:space="preserve">1 </w:t>
      </w:r>
      <w:r>
        <w:rPr>
          <w:rFonts w:hint="eastAsia" w:hAnsi="Cambria Math"/>
          <w:bCs/>
          <w:sz w:val="20"/>
          <w:szCs w:val="20"/>
        </w:rPr>
        <w:t>工作井及周边环境监控量测项目按照现行地标《地铁工程监控量测技术规程》</w:t>
      </w:r>
      <w:r>
        <w:rPr>
          <w:rFonts w:hAnsi="Cambria Math"/>
          <w:bCs/>
          <w:sz w:val="20"/>
          <w:szCs w:val="20"/>
        </w:rPr>
        <w:t>DB</w:t>
      </w:r>
      <w:r>
        <w:rPr>
          <w:rFonts w:hint="eastAsia" w:hAnsi="Cambria Math"/>
          <w:bCs/>
          <w:sz w:val="20"/>
          <w:szCs w:val="20"/>
        </w:rPr>
        <w:t xml:space="preserve"> </w:t>
      </w:r>
      <w:r>
        <w:rPr>
          <w:rFonts w:hAnsi="Cambria Math"/>
          <w:bCs/>
          <w:sz w:val="20"/>
          <w:szCs w:val="20"/>
        </w:rPr>
        <w:t>11/T 490</w:t>
      </w:r>
      <w:r>
        <w:rPr>
          <w:rFonts w:hint="eastAsia" w:hAnsi="Cambria Math"/>
          <w:bCs/>
          <w:sz w:val="20"/>
          <w:szCs w:val="20"/>
        </w:rPr>
        <w:t>的规定执行；</w:t>
      </w:r>
    </w:p>
    <w:p w14:paraId="4FEB0C6B">
      <w:pPr>
        <w:snapToGrid w:val="0"/>
        <w:spacing w:line="288" w:lineRule="auto"/>
        <w:ind w:firstLine="300" w:firstLineChars="150"/>
        <w:rPr>
          <w:rFonts w:hAnsi="Cambria Math"/>
          <w:bCs/>
          <w:sz w:val="20"/>
          <w:szCs w:val="20"/>
        </w:rPr>
      </w:pPr>
      <w:r>
        <w:rPr>
          <w:rFonts w:hAnsi="Cambria Math"/>
          <w:b/>
          <w:bCs/>
          <w:sz w:val="20"/>
          <w:szCs w:val="20"/>
        </w:rPr>
        <w:t>2</w:t>
      </w:r>
      <w:r>
        <w:rPr>
          <w:rFonts w:hint="eastAsia" w:hAnsi="Cambria Math"/>
          <w:b/>
          <w:bCs/>
          <w:sz w:val="20"/>
          <w:szCs w:val="20"/>
        </w:rPr>
        <w:t xml:space="preserve"> </w:t>
      </w:r>
      <w:r>
        <w:rPr>
          <w:rFonts w:hint="eastAsia" w:hAnsi="Cambria Math"/>
          <w:bCs/>
          <w:sz w:val="20"/>
          <w:szCs w:val="20"/>
        </w:rPr>
        <w:t>顶进施工监控量测项目包括：地表沉降、隆起及周边环境的变形；</w:t>
      </w:r>
    </w:p>
    <w:p w14:paraId="016C887F">
      <w:pPr>
        <w:snapToGrid w:val="0"/>
        <w:spacing w:line="288" w:lineRule="auto"/>
        <w:ind w:firstLine="300" w:firstLineChars="150"/>
        <w:rPr>
          <w:rFonts w:hAnsi="Cambria Math"/>
          <w:bCs/>
          <w:sz w:val="20"/>
          <w:szCs w:val="20"/>
        </w:rPr>
      </w:pPr>
      <w:r>
        <w:rPr>
          <w:rFonts w:hAnsi="Cambria Math"/>
          <w:b/>
          <w:bCs/>
          <w:sz w:val="20"/>
          <w:szCs w:val="20"/>
        </w:rPr>
        <w:t xml:space="preserve">3 </w:t>
      </w:r>
      <w:r>
        <w:rPr>
          <w:rFonts w:hint="eastAsia" w:hAnsi="Cambria Math"/>
          <w:bCs/>
          <w:sz w:val="20"/>
          <w:szCs w:val="20"/>
        </w:rPr>
        <w:t>对轨道交通工程、重要道路和桥梁等的监测项目按照《穿越既有道路设施工程技术要求》DB 11/T 716或《穿越城市轨道交通设施检测评估及监测技术规范》DB 11/T 915的规定执行。</w:t>
      </w:r>
    </w:p>
    <w:p w14:paraId="5F7D68B9">
      <w:pPr>
        <w:snapToGrid w:val="0"/>
        <w:spacing w:line="288" w:lineRule="auto"/>
        <w:outlineLvl w:val="2"/>
        <w:rPr>
          <w:rFonts w:ascii="Cambria Math" w:hAnsi="Cambria Math" w:cs="Cambria Math"/>
          <w:kern w:val="0"/>
          <w:sz w:val="20"/>
          <w:szCs w:val="20"/>
          <w:lang w:bidi="ar"/>
        </w:rPr>
      </w:pPr>
      <w:r>
        <w:rPr>
          <w:rFonts w:hAnsi="Cambria Math"/>
          <w:b/>
          <w:bCs/>
          <w:sz w:val="20"/>
          <w:szCs w:val="20"/>
        </w:rPr>
        <w:t>5.1</w:t>
      </w:r>
      <w:r>
        <w:rPr>
          <w:rFonts w:hint="eastAsia" w:hAnsi="Cambria Math"/>
          <w:b/>
          <w:bCs/>
          <w:sz w:val="20"/>
          <w:szCs w:val="20"/>
        </w:rPr>
        <w:t>5</w:t>
      </w:r>
      <w:r>
        <w:rPr>
          <w:rFonts w:hAnsi="Cambria Math"/>
          <w:b/>
          <w:bCs/>
          <w:sz w:val="20"/>
          <w:szCs w:val="20"/>
        </w:rPr>
        <w:t>.</w:t>
      </w:r>
      <w:r>
        <w:rPr>
          <w:rFonts w:hint="eastAsia" w:hAnsi="Cambria Math"/>
          <w:b/>
          <w:bCs/>
          <w:sz w:val="20"/>
          <w:szCs w:val="20"/>
        </w:rPr>
        <w:t xml:space="preserve">3  </w:t>
      </w:r>
      <w:r>
        <w:rPr>
          <w:rFonts w:hint="eastAsia"/>
          <w:sz w:val="20"/>
          <w:szCs w:val="20"/>
        </w:rPr>
        <w:t>监测点的布设应符合下列规定</w:t>
      </w:r>
      <w:r>
        <w:rPr>
          <w:rFonts w:hint="eastAsia" w:ascii="Cambria Math" w:hAnsi="Cambria Math" w:cs="Cambria Math"/>
          <w:kern w:val="0"/>
          <w:sz w:val="20"/>
          <w:szCs w:val="20"/>
          <w:lang w:bidi="ar"/>
        </w:rPr>
        <w:t>：</w:t>
      </w:r>
    </w:p>
    <w:p w14:paraId="6B1933DE">
      <w:pPr>
        <w:snapToGrid w:val="0"/>
        <w:spacing w:line="288" w:lineRule="auto"/>
        <w:ind w:firstLine="300" w:firstLineChars="150"/>
        <w:rPr>
          <w:rFonts w:hAnsi="Cambria Math"/>
          <w:bCs/>
          <w:sz w:val="20"/>
          <w:szCs w:val="20"/>
        </w:rPr>
      </w:pPr>
      <w:r>
        <w:rPr>
          <w:rFonts w:hAnsi="Cambria Math"/>
          <w:b/>
          <w:bCs/>
          <w:sz w:val="20"/>
          <w:szCs w:val="20"/>
        </w:rPr>
        <w:t xml:space="preserve">1 </w:t>
      </w:r>
      <w:r>
        <w:rPr>
          <w:rFonts w:hint="eastAsia" w:hAnsi="Cambria Math"/>
          <w:bCs/>
          <w:sz w:val="20"/>
          <w:szCs w:val="20"/>
        </w:rPr>
        <w:t>地表沉降监测点横向布设应按顶管机刀盘切削面的45°角切线延伸到地面的范围进行布点，结构中心线正上方应布设1个测点，45°延伸切线与地平线交叉点应布设1个测点，在两个测点中间应布设1个测点，5个测点形成一排监测点；</w:t>
      </w:r>
    </w:p>
    <w:p w14:paraId="36468ABE">
      <w:pPr>
        <w:snapToGrid w:val="0"/>
        <w:spacing w:line="288" w:lineRule="auto"/>
        <w:ind w:firstLine="300" w:firstLineChars="150"/>
        <w:rPr>
          <w:rFonts w:hAnsi="Cambria Math"/>
          <w:bCs/>
          <w:sz w:val="20"/>
          <w:szCs w:val="20"/>
        </w:rPr>
      </w:pPr>
      <w:r>
        <w:rPr>
          <w:rFonts w:hAnsi="Cambria Math"/>
          <w:b/>
          <w:bCs/>
          <w:sz w:val="20"/>
          <w:szCs w:val="20"/>
        </w:rPr>
        <w:t xml:space="preserve">2 </w:t>
      </w:r>
      <w:r>
        <w:rPr>
          <w:rFonts w:hint="eastAsia" w:hAnsi="Cambria Math"/>
          <w:bCs/>
          <w:sz w:val="20"/>
          <w:szCs w:val="20"/>
        </w:rPr>
        <w:t>地表沉降监测点的纵向布设应按顶进方向在距离工作井1m的位置开始布设，纵向间距宜为20m，横向间距5m施工时根据现场情况进行调整；</w:t>
      </w:r>
    </w:p>
    <w:p w14:paraId="1AB64416">
      <w:pPr>
        <w:snapToGrid w:val="0"/>
        <w:spacing w:line="288" w:lineRule="auto"/>
        <w:ind w:firstLine="300" w:firstLineChars="150"/>
        <w:rPr>
          <w:rFonts w:hAnsi="Cambria Math"/>
          <w:bCs/>
          <w:sz w:val="20"/>
          <w:szCs w:val="20"/>
        </w:rPr>
      </w:pPr>
      <w:r>
        <w:rPr>
          <w:rFonts w:hAnsi="Cambria Math"/>
          <w:b/>
          <w:bCs/>
          <w:sz w:val="20"/>
          <w:szCs w:val="20"/>
        </w:rPr>
        <w:t>3</w:t>
      </w:r>
      <w:r>
        <w:rPr>
          <w:rFonts w:hint="eastAsia" w:hAnsi="Cambria Math"/>
          <w:b/>
          <w:bCs/>
          <w:sz w:val="20"/>
          <w:szCs w:val="20"/>
        </w:rPr>
        <w:t xml:space="preserve"> </w:t>
      </w:r>
      <w:r>
        <w:rPr>
          <w:rFonts w:hint="eastAsia" w:hAnsi="Cambria Math"/>
          <w:bCs/>
          <w:sz w:val="20"/>
          <w:szCs w:val="20"/>
        </w:rPr>
        <w:t>周边环境监测点的布设位置和数量应根据其类型、特征、保护要求及施工影响区域等因素综合确定，并应满足反映环境对象变化规律和分析环境对象安全状态的要求；</w:t>
      </w:r>
    </w:p>
    <w:p w14:paraId="5889FB93">
      <w:pPr>
        <w:snapToGrid w:val="0"/>
        <w:spacing w:line="288" w:lineRule="auto"/>
        <w:ind w:firstLine="300" w:firstLineChars="150"/>
        <w:rPr>
          <w:rFonts w:hAnsi="Cambria Math"/>
          <w:b/>
          <w:bCs/>
          <w:sz w:val="20"/>
          <w:szCs w:val="20"/>
        </w:rPr>
      </w:pPr>
      <w:r>
        <w:rPr>
          <w:rFonts w:hint="eastAsia" w:hAnsi="Cambria Math"/>
          <w:b/>
          <w:bCs/>
          <w:sz w:val="20"/>
          <w:szCs w:val="20"/>
        </w:rPr>
        <w:t xml:space="preserve">4 </w:t>
      </w:r>
      <w:r>
        <w:rPr>
          <w:rFonts w:hint="eastAsia" w:hAnsi="Cambria Math"/>
          <w:bCs/>
          <w:sz w:val="20"/>
          <w:szCs w:val="20"/>
        </w:rPr>
        <w:t>影响范围内的建（构）筑物、地下管线、道路、桥梁及既有轨道交通等周边环境的监测点布设按照《地铁工程监控量测技术规程》DB 11/T 490的规定执行。</w:t>
      </w:r>
    </w:p>
    <w:p w14:paraId="6F8E676A">
      <w:pPr>
        <w:snapToGrid w:val="0"/>
        <w:spacing w:line="288" w:lineRule="auto"/>
        <w:outlineLvl w:val="2"/>
        <w:rPr>
          <w:rFonts w:ascii="Cambria Math" w:hAnsi="Cambria Math" w:cs="Cambria Math"/>
          <w:kern w:val="0"/>
          <w:sz w:val="20"/>
          <w:szCs w:val="20"/>
          <w:lang w:bidi="ar"/>
        </w:rPr>
      </w:pPr>
      <w:r>
        <w:rPr>
          <w:rFonts w:hAnsi="Cambria Math"/>
          <w:b/>
          <w:bCs/>
          <w:sz w:val="20"/>
          <w:szCs w:val="20"/>
        </w:rPr>
        <w:t>5.1</w:t>
      </w:r>
      <w:r>
        <w:rPr>
          <w:rFonts w:hint="eastAsia" w:hAnsi="Cambria Math"/>
          <w:b/>
          <w:bCs/>
          <w:sz w:val="20"/>
          <w:szCs w:val="20"/>
        </w:rPr>
        <w:t>5</w:t>
      </w:r>
      <w:r>
        <w:rPr>
          <w:rFonts w:hAnsi="Cambria Math"/>
          <w:b/>
          <w:bCs/>
          <w:sz w:val="20"/>
          <w:szCs w:val="20"/>
        </w:rPr>
        <w:t>.</w:t>
      </w:r>
      <w:r>
        <w:rPr>
          <w:rFonts w:hint="eastAsia" w:hAnsi="Cambria Math"/>
          <w:b/>
          <w:bCs/>
          <w:sz w:val="20"/>
          <w:szCs w:val="20"/>
        </w:rPr>
        <w:t xml:space="preserve">4  </w:t>
      </w:r>
      <w:r>
        <w:rPr>
          <w:rFonts w:hint="eastAsia"/>
          <w:sz w:val="20"/>
          <w:szCs w:val="20"/>
        </w:rPr>
        <w:t>施工监测频率应符合下列规定</w:t>
      </w:r>
      <w:r>
        <w:rPr>
          <w:rFonts w:hint="eastAsia" w:ascii="Cambria Math" w:hAnsi="Cambria Math" w:cs="Cambria Math"/>
          <w:kern w:val="0"/>
          <w:sz w:val="20"/>
          <w:szCs w:val="20"/>
          <w:lang w:bidi="ar"/>
        </w:rPr>
        <w:t>：</w:t>
      </w:r>
    </w:p>
    <w:p w14:paraId="07759940">
      <w:pPr>
        <w:snapToGrid w:val="0"/>
        <w:spacing w:line="288" w:lineRule="auto"/>
        <w:ind w:firstLine="300" w:firstLineChars="150"/>
        <w:rPr>
          <w:rFonts w:hAnsi="Cambria Math"/>
          <w:bCs/>
          <w:sz w:val="20"/>
          <w:szCs w:val="20"/>
        </w:rPr>
      </w:pPr>
      <w:r>
        <w:rPr>
          <w:rFonts w:hAnsi="Cambria Math"/>
          <w:b/>
          <w:bCs/>
          <w:sz w:val="20"/>
          <w:szCs w:val="20"/>
        </w:rPr>
        <w:t>1</w:t>
      </w:r>
      <w:r>
        <w:rPr>
          <w:rFonts w:hint="eastAsia" w:hAnsi="Cambria Math"/>
          <w:bCs/>
          <w:sz w:val="20"/>
          <w:szCs w:val="20"/>
        </w:rPr>
        <w:t xml:space="preserve"> 工作井施工监测频率按照现行地标《地铁工程监控量测技术规程》DB 11/T 490的规定执行；</w:t>
      </w:r>
    </w:p>
    <w:p w14:paraId="177FADD5">
      <w:pPr>
        <w:snapToGrid w:val="0"/>
        <w:spacing w:line="288" w:lineRule="auto"/>
        <w:ind w:firstLine="300" w:firstLineChars="150"/>
        <w:rPr>
          <w:rFonts w:hAnsi="Cambria Math"/>
          <w:bCs/>
          <w:sz w:val="20"/>
          <w:szCs w:val="20"/>
        </w:rPr>
      </w:pPr>
      <w:r>
        <w:rPr>
          <w:rFonts w:hAnsi="Cambria Math"/>
          <w:b/>
          <w:bCs/>
          <w:sz w:val="20"/>
          <w:szCs w:val="20"/>
        </w:rPr>
        <w:t>2</w:t>
      </w:r>
      <w:r>
        <w:rPr>
          <w:rFonts w:hint="eastAsia" w:hAnsi="Cambria Math"/>
          <w:b/>
          <w:bCs/>
          <w:sz w:val="20"/>
          <w:szCs w:val="20"/>
        </w:rPr>
        <w:t xml:space="preserve"> </w:t>
      </w:r>
      <w:r>
        <w:rPr>
          <w:rFonts w:hint="eastAsia" w:hAnsi="Cambria Math"/>
          <w:bCs/>
          <w:sz w:val="20"/>
          <w:szCs w:val="20"/>
        </w:rPr>
        <w:t>顶进施工中，应在顶管机刀盘底部按45°角往前延伸与监测点交汇时开始监测，监测次数每天不少于1次；</w:t>
      </w:r>
    </w:p>
    <w:p w14:paraId="797EB049">
      <w:pPr>
        <w:snapToGrid w:val="0"/>
        <w:spacing w:line="288" w:lineRule="auto"/>
        <w:ind w:firstLine="300" w:firstLineChars="150"/>
        <w:rPr>
          <w:rFonts w:hAnsi="Cambria Math"/>
          <w:bCs/>
          <w:sz w:val="20"/>
          <w:szCs w:val="20"/>
        </w:rPr>
      </w:pPr>
      <w:r>
        <w:rPr>
          <w:rFonts w:hAnsi="Cambria Math"/>
          <w:b/>
          <w:bCs/>
          <w:sz w:val="20"/>
          <w:szCs w:val="20"/>
        </w:rPr>
        <w:t>3</w:t>
      </w:r>
      <w:r>
        <w:rPr>
          <w:rFonts w:hint="eastAsia" w:hAnsi="Cambria Math"/>
          <w:bCs/>
          <w:sz w:val="20"/>
          <w:szCs w:val="20"/>
        </w:rPr>
        <w:t xml:space="preserve"> 顶管机刀盘前后</w:t>
      </w:r>
      <w:r>
        <w:rPr>
          <w:rFonts w:hAnsi="Cambria Math"/>
          <w:bCs/>
          <w:sz w:val="20"/>
          <w:szCs w:val="20"/>
        </w:rPr>
        <w:t>20m~30m</w:t>
      </w:r>
      <w:r>
        <w:rPr>
          <w:rFonts w:hint="eastAsia" w:hAnsi="Cambria Math"/>
          <w:bCs/>
          <w:sz w:val="20"/>
          <w:szCs w:val="20"/>
        </w:rPr>
        <w:t>为重点监测段，监测次数每天不应少于</w:t>
      </w:r>
      <w:r>
        <w:rPr>
          <w:rFonts w:hAnsi="Cambria Math"/>
          <w:bCs/>
          <w:sz w:val="20"/>
          <w:szCs w:val="20"/>
        </w:rPr>
        <w:t>2</w:t>
      </w:r>
      <w:r>
        <w:rPr>
          <w:rFonts w:hint="eastAsia" w:hAnsi="Cambria Math"/>
          <w:bCs/>
          <w:sz w:val="20"/>
          <w:szCs w:val="20"/>
        </w:rPr>
        <w:t>次；</w:t>
      </w:r>
    </w:p>
    <w:p w14:paraId="0FEAE2BB">
      <w:pPr>
        <w:snapToGrid w:val="0"/>
        <w:spacing w:line="288" w:lineRule="auto"/>
        <w:ind w:firstLine="300" w:firstLineChars="150"/>
        <w:rPr>
          <w:rFonts w:hAnsi="Cambria Math"/>
          <w:bCs/>
          <w:sz w:val="20"/>
          <w:szCs w:val="20"/>
        </w:rPr>
      </w:pPr>
      <w:r>
        <w:rPr>
          <w:rFonts w:hAnsi="Cambria Math"/>
          <w:b/>
          <w:bCs/>
          <w:sz w:val="20"/>
          <w:szCs w:val="20"/>
        </w:rPr>
        <w:t>4</w:t>
      </w:r>
      <w:r>
        <w:rPr>
          <w:rFonts w:hint="eastAsia" w:hAnsi="Cambria Math"/>
          <w:bCs/>
          <w:sz w:val="20"/>
          <w:szCs w:val="20"/>
        </w:rPr>
        <w:t xml:space="preserve"> 泥浆置换完成后，监测频次1次/2d；</w:t>
      </w:r>
    </w:p>
    <w:p w14:paraId="2DA6A332">
      <w:pPr>
        <w:snapToGrid w:val="0"/>
        <w:spacing w:line="288" w:lineRule="auto"/>
        <w:ind w:firstLine="300" w:firstLineChars="150"/>
        <w:rPr>
          <w:rFonts w:hAnsi="Cambria Math"/>
          <w:bCs/>
          <w:sz w:val="20"/>
          <w:szCs w:val="20"/>
        </w:rPr>
      </w:pPr>
      <w:r>
        <w:rPr>
          <w:rFonts w:hAnsi="Cambria Math"/>
          <w:b/>
          <w:bCs/>
          <w:sz w:val="20"/>
          <w:szCs w:val="20"/>
        </w:rPr>
        <w:t>5</w:t>
      </w:r>
      <w:r>
        <w:rPr>
          <w:rFonts w:hint="eastAsia" w:hAnsi="Cambria Math"/>
          <w:bCs/>
          <w:sz w:val="20"/>
          <w:szCs w:val="20"/>
        </w:rPr>
        <w:t xml:space="preserve"> 监测数据趋于稳定后，且30d内平均变形速率小于等于0.05mm/d时，停止监测；</w:t>
      </w:r>
    </w:p>
    <w:p w14:paraId="7E94D2E4">
      <w:pPr>
        <w:snapToGrid w:val="0"/>
        <w:spacing w:line="288" w:lineRule="auto"/>
        <w:ind w:firstLine="300" w:firstLineChars="150"/>
        <w:rPr>
          <w:rFonts w:hAnsi="Cambria Math"/>
          <w:bCs/>
          <w:sz w:val="20"/>
          <w:szCs w:val="20"/>
        </w:rPr>
      </w:pPr>
      <w:r>
        <w:rPr>
          <w:rFonts w:hAnsi="Cambria Math"/>
          <w:b/>
          <w:bCs/>
          <w:sz w:val="20"/>
          <w:szCs w:val="20"/>
        </w:rPr>
        <w:t>6</w:t>
      </w:r>
      <w:r>
        <w:rPr>
          <w:rFonts w:hint="eastAsia" w:hAnsi="Cambria Math"/>
          <w:bCs/>
          <w:sz w:val="20"/>
          <w:szCs w:val="20"/>
        </w:rPr>
        <w:t xml:space="preserve"> 当发生异常情况时，增大监测频率，发生红色监测预警时监测频率大于2次/d；</w:t>
      </w:r>
    </w:p>
    <w:p w14:paraId="1D205417">
      <w:pPr>
        <w:snapToGrid w:val="0"/>
        <w:spacing w:line="288" w:lineRule="auto"/>
        <w:ind w:firstLine="300" w:firstLineChars="150"/>
        <w:rPr>
          <w:rFonts w:hAnsi="Cambria Math"/>
          <w:bCs/>
          <w:sz w:val="20"/>
          <w:szCs w:val="20"/>
        </w:rPr>
      </w:pPr>
      <w:r>
        <w:rPr>
          <w:rFonts w:hAnsi="Cambria Math"/>
          <w:b/>
          <w:bCs/>
          <w:sz w:val="20"/>
          <w:szCs w:val="20"/>
        </w:rPr>
        <w:t>7</w:t>
      </w:r>
      <w:r>
        <w:rPr>
          <w:rFonts w:hint="eastAsia" w:hAnsi="Cambria Math"/>
          <w:bCs/>
          <w:sz w:val="20"/>
          <w:szCs w:val="20"/>
        </w:rPr>
        <w:t xml:space="preserve"> 穿越建（构）筑物、地下管线、道路、桥梁及既有轨道交通等重要环境风险时，除满足本标准要求外，尚应符合相关专业要求。</w:t>
      </w:r>
    </w:p>
    <w:p w14:paraId="7534B26B">
      <w:pPr>
        <w:snapToGrid w:val="0"/>
        <w:spacing w:line="288" w:lineRule="auto"/>
        <w:outlineLvl w:val="2"/>
        <w:rPr>
          <w:rFonts w:hAnsi="Cambria Math"/>
          <w:bCs/>
          <w:sz w:val="20"/>
          <w:szCs w:val="20"/>
        </w:rPr>
      </w:pPr>
      <w:r>
        <w:rPr>
          <w:rFonts w:hAnsi="Cambria Math"/>
          <w:b/>
          <w:bCs/>
          <w:sz w:val="20"/>
          <w:szCs w:val="20"/>
        </w:rPr>
        <w:t>5.1</w:t>
      </w:r>
      <w:r>
        <w:rPr>
          <w:rFonts w:hint="eastAsia" w:hAnsi="Cambria Math"/>
          <w:b/>
          <w:bCs/>
          <w:sz w:val="20"/>
          <w:szCs w:val="20"/>
        </w:rPr>
        <w:t xml:space="preserve">5.5 </w:t>
      </w:r>
      <w:r>
        <w:rPr>
          <w:rFonts w:hAnsi="Cambria Math"/>
          <w:b/>
          <w:bCs/>
          <w:sz w:val="20"/>
          <w:szCs w:val="20"/>
        </w:rPr>
        <w:t xml:space="preserve"> </w:t>
      </w:r>
      <w:r>
        <w:rPr>
          <w:rFonts w:hint="eastAsia" w:hAnsi="Cambria Math"/>
          <w:bCs/>
          <w:sz w:val="20"/>
          <w:szCs w:val="20"/>
        </w:rPr>
        <w:t>监测控制值应符合现行地标《地铁工程监控量测技术规程》DB 11/T 490的规定，穿越和临近建（构）筑物、地下管线、道路、桥梁及既有轨道交通等重要风险，其变形控制值应满足相关专业要求。</w:t>
      </w:r>
    </w:p>
    <w:p w14:paraId="658C8DAC">
      <w:pPr>
        <w:snapToGrid w:val="0"/>
        <w:spacing w:line="288" w:lineRule="auto"/>
        <w:outlineLvl w:val="2"/>
        <w:rPr>
          <w:sz w:val="20"/>
          <w:szCs w:val="20"/>
        </w:rPr>
      </w:pPr>
      <w:r>
        <w:rPr>
          <w:rFonts w:hAnsi="Cambria Math"/>
          <w:b/>
          <w:bCs/>
          <w:sz w:val="20"/>
          <w:szCs w:val="20"/>
        </w:rPr>
        <w:t>5.1</w:t>
      </w:r>
      <w:r>
        <w:rPr>
          <w:rFonts w:hint="eastAsia" w:hAnsi="Cambria Math"/>
          <w:b/>
          <w:bCs/>
          <w:sz w:val="20"/>
          <w:szCs w:val="20"/>
        </w:rPr>
        <w:t xml:space="preserve">5.6  </w:t>
      </w:r>
      <w:r>
        <w:rPr>
          <w:rFonts w:hint="eastAsia"/>
          <w:sz w:val="20"/>
          <w:szCs w:val="20"/>
        </w:rPr>
        <w:t>监测数据整理和反馈应符合下列规定</w:t>
      </w:r>
      <w:r>
        <w:rPr>
          <w:rFonts w:hint="eastAsia" w:ascii="Cambria Math" w:hAnsi="Cambria Math" w:cs="Cambria Math"/>
          <w:kern w:val="0"/>
          <w:sz w:val="20"/>
          <w:szCs w:val="20"/>
          <w:lang w:bidi="ar"/>
        </w:rPr>
        <w:t xml:space="preserve">： </w:t>
      </w:r>
    </w:p>
    <w:p w14:paraId="659A70EE">
      <w:pPr>
        <w:snapToGrid w:val="0"/>
        <w:spacing w:line="288" w:lineRule="auto"/>
        <w:ind w:firstLine="300" w:firstLineChars="150"/>
        <w:rPr>
          <w:rFonts w:hAnsi="Cambria Math"/>
          <w:bCs/>
          <w:sz w:val="20"/>
          <w:szCs w:val="20"/>
        </w:rPr>
      </w:pPr>
      <w:r>
        <w:rPr>
          <w:rFonts w:hAnsi="Cambria Math"/>
          <w:b/>
          <w:bCs/>
          <w:sz w:val="20"/>
          <w:szCs w:val="20"/>
        </w:rPr>
        <w:t xml:space="preserve">1 </w:t>
      </w:r>
      <w:r>
        <w:rPr>
          <w:rFonts w:hint="eastAsia" w:hAnsi="Cambria Math"/>
          <w:bCs/>
          <w:sz w:val="20"/>
          <w:szCs w:val="20"/>
        </w:rPr>
        <w:t xml:space="preserve">应结合施工和现场环境状况定期进行综合分析，并应绘制出顶管管节变形、地表沉降等 时态曲线图； </w:t>
      </w:r>
    </w:p>
    <w:p w14:paraId="3C64E81F">
      <w:pPr>
        <w:snapToGrid w:val="0"/>
        <w:spacing w:line="288" w:lineRule="auto"/>
        <w:ind w:firstLine="300" w:firstLineChars="150"/>
        <w:rPr>
          <w:rFonts w:hAnsi="Cambria Math"/>
          <w:bCs/>
          <w:sz w:val="20"/>
          <w:szCs w:val="20"/>
        </w:rPr>
      </w:pPr>
      <w:r>
        <w:rPr>
          <w:rFonts w:hAnsi="Cambria Math"/>
          <w:b/>
          <w:bCs/>
          <w:sz w:val="20"/>
          <w:szCs w:val="20"/>
        </w:rPr>
        <w:t xml:space="preserve">2 </w:t>
      </w:r>
      <w:r>
        <w:rPr>
          <w:rFonts w:hint="eastAsia" w:hAnsi="Cambria Math"/>
          <w:bCs/>
          <w:sz w:val="20"/>
          <w:szCs w:val="20"/>
        </w:rPr>
        <w:t xml:space="preserve">应对时态曲线进行基于概论统计的分析，从中找出共性以指导施工； </w:t>
      </w:r>
    </w:p>
    <w:p w14:paraId="509120B9">
      <w:pPr>
        <w:snapToGrid w:val="0"/>
        <w:spacing w:line="288" w:lineRule="auto"/>
        <w:ind w:firstLine="300" w:firstLineChars="150"/>
        <w:rPr>
          <w:rFonts w:hAnsi="Cambria Math"/>
          <w:bCs/>
          <w:sz w:val="20"/>
          <w:szCs w:val="20"/>
        </w:rPr>
      </w:pPr>
      <w:r>
        <w:rPr>
          <w:rFonts w:hAnsi="Cambria Math"/>
          <w:b/>
          <w:bCs/>
          <w:sz w:val="20"/>
          <w:szCs w:val="20"/>
        </w:rPr>
        <w:t xml:space="preserve">3 </w:t>
      </w:r>
      <w:r>
        <w:rPr>
          <w:rFonts w:hint="eastAsia" w:hAnsi="Cambria Math"/>
          <w:bCs/>
          <w:sz w:val="20"/>
          <w:szCs w:val="20"/>
        </w:rPr>
        <w:t>监测数据的采集要根据预先的计划按时进行，数据要用计算机程序批量处理，结果反馈要及时</w:t>
      </w:r>
      <w:r>
        <w:rPr>
          <w:rFonts w:hAnsi="Cambria Math"/>
          <w:bCs/>
          <w:sz w:val="20"/>
          <w:szCs w:val="20"/>
        </w:rPr>
        <w:t>(2h</w:t>
      </w:r>
      <w:r>
        <w:rPr>
          <w:rFonts w:hint="eastAsia" w:hAnsi="Cambria Math"/>
          <w:bCs/>
          <w:sz w:val="20"/>
          <w:szCs w:val="20"/>
        </w:rPr>
        <w:t>～</w:t>
      </w:r>
      <w:r>
        <w:rPr>
          <w:rFonts w:hAnsi="Cambria Math"/>
          <w:bCs/>
          <w:sz w:val="20"/>
          <w:szCs w:val="20"/>
        </w:rPr>
        <w:t>4h)</w:t>
      </w:r>
      <w:r>
        <w:rPr>
          <w:rFonts w:hint="eastAsia" w:hAnsi="Cambria Math"/>
          <w:bCs/>
          <w:sz w:val="20"/>
          <w:szCs w:val="20"/>
        </w:rPr>
        <w:t xml:space="preserve">，并建立监测数据库； </w:t>
      </w:r>
    </w:p>
    <w:p w14:paraId="1A53D894">
      <w:pPr>
        <w:snapToGrid w:val="0"/>
        <w:spacing w:line="288" w:lineRule="auto"/>
        <w:ind w:firstLine="300" w:firstLineChars="150"/>
        <w:rPr>
          <w:rFonts w:hAnsi="Cambria Math"/>
          <w:bCs/>
          <w:sz w:val="20"/>
          <w:szCs w:val="20"/>
        </w:rPr>
      </w:pPr>
      <w:r>
        <w:rPr>
          <w:rFonts w:hAnsi="Cambria Math"/>
          <w:b/>
          <w:bCs/>
          <w:sz w:val="20"/>
          <w:szCs w:val="20"/>
        </w:rPr>
        <w:t>4</w:t>
      </w:r>
      <w:r>
        <w:rPr>
          <w:rFonts w:hAnsi="Cambria Math"/>
          <w:bCs/>
          <w:sz w:val="20"/>
          <w:szCs w:val="20"/>
        </w:rPr>
        <w:t xml:space="preserve"> </w:t>
      </w:r>
      <w:r>
        <w:rPr>
          <w:rFonts w:hint="eastAsia" w:hAnsi="Cambria Math"/>
          <w:bCs/>
          <w:sz w:val="20"/>
          <w:szCs w:val="20"/>
        </w:rPr>
        <w:t>监测预警应按照现行地标《地铁工程监控量测技术规程》DB 11/T 490的规定执行；</w:t>
      </w:r>
    </w:p>
    <w:p w14:paraId="15080B30">
      <w:pPr>
        <w:snapToGrid w:val="0"/>
        <w:spacing w:line="288" w:lineRule="auto"/>
        <w:ind w:firstLine="300" w:firstLineChars="150"/>
        <w:rPr>
          <w:rFonts w:hAnsi="Cambria Math"/>
          <w:bCs/>
          <w:sz w:val="20"/>
          <w:szCs w:val="20"/>
        </w:rPr>
      </w:pPr>
      <w:r>
        <w:rPr>
          <w:rFonts w:hAnsi="Cambria Math"/>
          <w:b/>
          <w:bCs/>
          <w:sz w:val="20"/>
          <w:szCs w:val="20"/>
        </w:rPr>
        <w:t>5</w:t>
      </w:r>
      <w:r>
        <w:rPr>
          <w:rFonts w:hAnsi="Cambria Math"/>
          <w:bCs/>
          <w:sz w:val="20"/>
          <w:szCs w:val="20"/>
        </w:rPr>
        <w:t xml:space="preserve"> </w:t>
      </w:r>
      <w:r>
        <w:rPr>
          <w:rFonts w:hint="eastAsia" w:hAnsi="Cambria Math"/>
          <w:bCs/>
          <w:sz w:val="20"/>
          <w:szCs w:val="20"/>
        </w:rPr>
        <w:t>在当次施测后</w:t>
      </w:r>
      <w:r>
        <w:rPr>
          <w:rFonts w:hAnsi="Cambria Math"/>
          <w:bCs/>
          <w:sz w:val="20"/>
          <w:szCs w:val="20"/>
        </w:rPr>
        <w:t>2h</w:t>
      </w:r>
      <w:r>
        <w:rPr>
          <w:rFonts w:hint="eastAsia" w:hAnsi="Cambria Math"/>
          <w:bCs/>
          <w:sz w:val="20"/>
          <w:szCs w:val="20"/>
        </w:rPr>
        <w:t>～</w:t>
      </w:r>
      <w:r>
        <w:rPr>
          <w:rFonts w:hAnsi="Cambria Math"/>
          <w:bCs/>
          <w:sz w:val="20"/>
          <w:szCs w:val="20"/>
        </w:rPr>
        <w:t>4h</w:t>
      </w:r>
      <w:r>
        <w:rPr>
          <w:rFonts w:hint="eastAsia" w:hAnsi="Cambria Math"/>
          <w:bCs/>
          <w:sz w:val="20"/>
          <w:szCs w:val="20"/>
        </w:rPr>
        <w:t xml:space="preserve">内提供监测成果，当变形超过预警值时应向现场提供监测数据； </w:t>
      </w:r>
    </w:p>
    <w:p w14:paraId="3717CE50">
      <w:pPr>
        <w:snapToGrid w:val="0"/>
        <w:spacing w:line="288" w:lineRule="auto"/>
        <w:ind w:firstLine="300" w:firstLineChars="150"/>
        <w:rPr>
          <w:sz w:val="20"/>
          <w:szCs w:val="20"/>
        </w:rPr>
      </w:pPr>
      <w:r>
        <w:rPr>
          <w:rFonts w:hAnsi="Cambria Math"/>
          <w:b/>
          <w:bCs/>
          <w:sz w:val="20"/>
          <w:szCs w:val="20"/>
        </w:rPr>
        <w:t xml:space="preserve">6 </w:t>
      </w:r>
      <w:r>
        <w:rPr>
          <w:rFonts w:hint="eastAsia" w:hAnsi="Cambria Math"/>
          <w:bCs/>
          <w:sz w:val="20"/>
          <w:szCs w:val="20"/>
        </w:rPr>
        <w:t>工程竣工后应提供监测技术总结报告。</w:t>
      </w:r>
    </w:p>
    <w:p w14:paraId="65271CD2">
      <w:pPr>
        <w:pStyle w:val="3"/>
        <w:snapToGrid w:val="0"/>
        <w:spacing w:before="312" w:beforeLines="100" w:after="0" w:line="288" w:lineRule="auto"/>
        <w:jc w:val="center"/>
        <w:rPr>
          <w:rFonts w:ascii="Times New Roman" w:hAnsi="Times New Roman"/>
          <w:sz w:val="20"/>
          <w:szCs w:val="21"/>
        </w:rPr>
      </w:pPr>
      <w:bookmarkStart w:id="301" w:name="_Toc185235646"/>
      <w:bookmarkStart w:id="302" w:name="_Toc185236597"/>
      <w:bookmarkStart w:id="303" w:name="_Toc188612077"/>
      <w:bookmarkStart w:id="304" w:name="_Toc188798548"/>
      <w:r>
        <w:rPr>
          <w:rFonts w:ascii="Times New Roman" w:hAnsi="Times New Roman"/>
          <w:sz w:val="20"/>
          <w:szCs w:val="21"/>
        </w:rPr>
        <w:t>5.</w:t>
      </w:r>
      <w:bookmarkEnd w:id="293"/>
      <w:r>
        <w:rPr>
          <w:rFonts w:ascii="Times New Roman" w:hAnsi="Times New Roman"/>
          <w:sz w:val="20"/>
          <w:szCs w:val="21"/>
        </w:rPr>
        <w:t>1</w:t>
      </w:r>
      <w:r>
        <w:rPr>
          <w:rFonts w:hint="eastAsia" w:ascii="Times New Roman" w:hAnsi="Times New Roman"/>
          <w:sz w:val="20"/>
          <w:szCs w:val="21"/>
        </w:rPr>
        <w:t>6  通风、供电与照明</w:t>
      </w:r>
      <w:bookmarkEnd w:id="301"/>
      <w:bookmarkEnd w:id="302"/>
      <w:bookmarkEnd w:id="303"/>
      <w:bookmarkEnd w:id="304"/>
    </w:p>
    <w:p w14:paraId="2E15AABB">
      <w:pPr>
        <w:snapToGrid w:val="0"/>
        <w:spacing w:line="288" w:lineRule="auto"/>
        <w:outlineLvl w:val="2"/>
        <w:rPr>
          <w:rFonts w:hAnsi="Cambria Math"/>
          <w:b/>
          <w:sz w:val="20"/>
          <w:szCs w:val="20"/>
        </w:rPr>
      </w:pPr>
      <w:r>
        <w:rPr>
          <w:rFonts w:hint="eastAsia" w:hAnsi="Cambria Math"/>
          <w:b/>
          <w:sz w:val="20"/>
          <w:szCs w:val="20"/>
        </w:rPr>
        <w:t>5</w:t>
      </w:r>
      <w:r>
        <w:rPr>
          <w:rFonts w:hAnsi="Cambria Math"/>
          <w:b/>
          <w:sz w:val="20"/>
          <w:szCs w:val="20"/>
        </w:rPr>
        <w:t>.1</w:t>
      </w:r>
      <w:r>
        <w:rPr>
          <w:rFonts w:hint="eastAsia" w:hAnsi="Cambria Math"/>
          <w:b/>
          <w:sz w:val="20"/>
          <w:szCs w:val="20"/>
        </w:rPr>
        <w:t>6</w:t>
      </w:r>
      <w:r>
        <w:rPr>
          <w:rFonts w:hAnsi="Cambria Math"/>
          <w:b/>
          <w:sz w:val="20"/>
          <w:szCs w:val="20"/>
        </w:rPr>
        <w:t xml:space="preserve">.1  </w:t>
      </w:r>
      <w:r>
        <w:rPr>
          <w:rFonts w:hint="eastAsia"/>
          <w:sz w:val="20"/>
          <w:szCs w:val="20"/>
        </w:rPr>
        <w:t>通风应符合下列规定：</w:t>
      </w:r>
    </w:p>
    <w:p w14:paraId="1EAD8080">
      <w:pPr>
        <w:snapToGrid w:val="0"/>
        <w:spacing w:line="288" w:lineRule="auto"/>
        <w:ind w:firstLine="200" w:firstLineChars="100"/>
        <w:rPr>
          <w:rFonts w:hAnsi="Cambria Math"/>
          <w:bCs/>
          <w:sz w:val="20"/>
          <w:szCs w:val="20"/>
        </w:rPr>
      </w:pPr>
      <w:r>
        <w:rPr>
          <w:rFonts w:hint="eastAsia" w:hAnsi="Cambria Math"/>
          <w:b/>
          <w:sz w:val="20"/>
          <w:szCs w:val="20"/>
        </w:rPr>
        <w:t>1</w:t>
      </w:r>
      <w:r>
        <w:rPr>
          <w:rFonts w:hAnsi="Cambria Math"/>
          <w:b/>
          <w:sz w:val="20"/>
          <w:szCs w:val="20"/>
        </w:rPr>
        <w:t xml:space="preserve">  </w:t>
      </w:r>
      <w:r>
        <w:rPr>
          <w:rFonts w:hint="eastAsia"/>
          <w:sz w:val="20"/>
          <w:szCs w:val="20"/>
        </w:rPr>
        <w:t>应根据顶管设备状况、地质条件、施工方法、顶进长度等选用合适的通风方式和通风设备；</w:t>
      </w:r>
    </w:p>
    <w:p w14:paraId="4A1DD71C">
      <w:pPr>
        <w:snapToGrid w:val="0"/>
        <w:spacing w:line="288" w:lineRule="auto"/>
        <w:ind w:firstLine="200" w:firstLineChars="100"/>
      </w:pPr>
      <w:r>
        <w:rPr>
          <w:rFonts w:hint="eastAsia"/>
          <w:b/>
          <w:sz w:val="20"/>
          <w:szCs w:val="20"/>
        </w:rPr>
        <w:t>2</w:t>
      </w:r>
      <w:r>
        <w:rPr>
          <w:sz w:val="20"/>
          <w:szCs w:val="20"/>
        </w:rPr>
        <w:t xml:space="preserve">  </w:t>
      </w:r>
      <w:r>
        <w:rPr>
          <w:rFonts w:hint="eastAsia"/>
          <w:sz w:val="20"/>
          <w:szCs w:val="20"/>
        </w:rPr>
        <w:t>顶管应采取压缩空气通风措施，长度小于1</w:t>
      </w:r>
      <w:r>
        <w:rPr>
          <w:sz w:val="20"/>
          <w:szCs w:val="20"/>
        </w:rPr>
        <w:t>50</w:t>
      </w:r>
      <w:r>
        <w:rPr>
          <w:rFonts w:hint="eastAsia"/>
          <w:sz w:val="20"/>
          <w:szCs w:val="20"/>
        </w:rPr>
        <w:t>m的顶管可采用鼓风机通风；</w:t>
      </w:r>
    </w:p>
    <w:p w14:paraId="13A807D8">
      <w:pPr>
        <w:snapToGrid w:val="0"/>
        <w:spacing w:line="288" w:lineRule="auto"/>
        <w:ind w:firstLine="200" w:firstLineChars="100"/>
        <w:rPr>
          <w:sz w:val="20"/>
          <w:szCs w:val="20"/>
        </w:rPr>
      </w:pPr>
      <w:r>
        <w:rPr>
          <w:b/>
          <w:sz w:val="20"/>
          <w:szCs w:val="20"/>
        </w:rPr>
        <w:t>3</w:t>
      </w:r>
      <w:r>
        <w:rPr>
          <w:sz w:val="20"/>
          <w:szCs w:val="20"/>
        </w:rPr>
        <w:t xml:space="preserve"> </w:t>
      </w:r>
      <w:r>
        <w:rPr>
          <w:rFonts w:hint="eastAsia"/>
          <w:sz w:val="20"/>
          <w:szCs w:val="20"/>
        </w:rPr>
        <w:t>送风口宜设在距顶管机12m～15m处；</w:t>
      </w:r>
    </w:p>
    <w:p w14:paraId="763DAFBB">
      <w:pPr>
        <w:snapToGrid w:val="0"/>
        <w:spacing w:line="288" w:lineRule="auto"/>
        <w:ind w:firstLine="200" w:firstLineChars="100"/>
        <w:rPr>
          <w:sz w:val="20"/>
          <w:szCs w:val="20"/>
        </w:rPr>
      </w:pPr>
      <w:r>
        <w:rPr>
          <w:b/>
          <w:sz w:val="20"/>
          <w:szCs w:val="20"/>
        </w:rPr>
        <w:t xml:space="preserve">4 </w:t>
      </w:r>
      <w:r>
        <w:rPr>
          <w:rFonts w:hint="eastAsia"/>
          <w:sz w:val="20"/>
          <w:szCs w:val="20"/>
        </w:rPr>
        <w:t>地面空气湿度较高且地面温度又高于地下温度的季节，应采用压缩空气通风。</w:t>
      </w:r>
    </w:p>
    <w:p w14:paraId="22CA3970">
      <w:pPr>
        <w:snapToGrid w:val="0"/>
        <w:spacing w:line="288" w:lineRule="auto"/>
        <w:outlineLvl w:val="2"/>
        <w:rPr>
          <w:sz w:val="20"/>
          <w:szCs w:val="20"/>
        </w:rPr>
      </w:pPr>
      <w:r>
        <w:rPr>
          <w:rFonts w:hAnsi="Cambria Math"/>
          <w:b/>
          <w:sz w:val="20"/>
          <w:szCs w:val="20"/>
        </w:rPr>
        <w:t>5.1</w:t>
      </w:r>
      <w:r>
        <w:rPr>
          <w:rFonts w:hint="eastAsia" w:hAnsi="Cambria Math"/>
          <w:b/>
          <w:sz w:val="20"/>
          <w:szCs w:val="20"/>
        </w:rPr>
        <w:t>6</w:t>
      </w:r>
      <w:r>
        <w:rPr>
          <w:rFonts w:hAnsi="Cambria Math"/>
          <w:b/>
          <w:sz w:val="20"/>
          <w:szCs w:val="20"/>
        </w:rPr>
        <w:t>.2</w:t>
      </w:r>
      <w:r>
        <w:rPr>
          <w:sz w:val="20"/>
          <w:szCs w:val="20"/>
        </w:rPr>
        <w:t xml:space="preserve">  </w:t>
      </w:r>
      <w:r>
        <w:rPr>
          <w:rFonts w:hint="eastAsia"/>
          <w:sz w:val="20"/>
          <w:szCs w:val="20"/>
        </w:rPr>
        <w:t>供电与照明应符合下列规定：</w:t>
      </w:r>
    </w:p>
    <w:p w14:paraId="6B9CB5C0">
      <w:pPr>
        <w:snapToGrid w:val="0"/>
        <w:spacing w:line="288" w:lineRule="auto"/>
        <w:ind w:firstLine="200" w:firstLineChars="100"/>
        <w:rPr>
          <w:sz w:val="20"/>
          <w:szCs w:val="20"/>
        </w:rPr>
      </w:pPr>
      <w:r>
        <w:rPr>
          <w:rFonts w:hint="eastAsia"/>
          <w:b/>
          <w:sz w:val="20"/>
          <w:szCs w:val="20"/>
        </w:rPr>
        <w:t>1</w:t>
      </w:r>
      <w:r>
        <w:rPr>
          <w:sz w:val="20"/>
          <w:szCs w:val="20"/>
        </w:rPr>
        <w:t xml:space="preserve"> </w:t>
      </w:r>
      <w:r>
        <w:rPr>
          <w:rFonts w:hint="eastAsia"/>
          <w:sz w:val="20"/>
          <w:szCs w:val="20"/>
        </w:rPr>
        <w:t>供电功率应满足现场机具运转和人员工作、生活的要求；</w:t>
      </w:r>
    </w:p>
    <w:p w14:paraId="1809127C">
      <w:pPr>
        <w:snapToGrid w:val="0"/>
        <w:spacing w:line="288" w:lineRule="auto"/>
        <w:ind w:firstLine="200" w:firstLineChars="100"/>
        <w:rPr>
          <w:sz w:val="20"/>
          <w:szCs w:val="20"/>
        </w:rPr>
      </w:pPr>
      <w:r>
        <w:rPr>
          <w:rFonts w:hAnsi="Cambria Math"/>
          <w:b/>
          <w:sz w:val="20"/>
          <w:szCs w:val="20"/>
        </w:rPr>
        <w:t>2</w:t>
      </w:r>
      <w:r>
        <w:rPr>
          <w:rFonts w:hint="eastAsia"/>
          <w:sz w:val="20"/>
          <w:szCs w:val="20"/>
        </w:rPr>
        <w:t xml:space="preserve"> 顶管施工用电输出端宜分为三路，分别为工作井井上供电系统，井下顶管系统和主顶用电系统；</w:t>
      </w:r>
    </w:p>
    <w:p w14:paraId="3ED2FC72">
      <w:pPr>
        <w:snapToGrid w:val="0"/>
        <w:spacing w:line="288" w:lineRule="auto"/>
        <w:ind w:firstLine="200" w:firstLineChars="100"/>
        <w:rPr>
          <w:sz w:val="20"/>
          <w:szCs w:val="20"/>
        </w:rPr>
      </w:pPr>
      <w:r>
        <w:rPr>
          <w:rFonts w:hAnsi="Cambria Math"/>
          <w:b/>
          <w:sz w:val="20"/>
          <w:szCs w:val="20"/>
        </w:rPr>
        <w:t>3</w:t>
      </w:r>
      <w:r>
        <w:rPr>
          <w:sz w:val="20"/>
          <w:szCs w:val="20"/>
        </w:rPr>
        <w:t xml:space="preserve"> </w:t>
      </w:r>
      <w:r>
        <w:rPr>
          <w:rFonts w:hint="eastAsia"/>
          <w:sz w:val="20"/>
          <w:szCs w:val="20"/>
        </w:rPr>
        <w:t>结构内供电系统应配备防触电、漏电装置；</w:t>
      </w:r>
    </w:p>
    <w:p w14:paraId="4BE2EC91">
      <w:pPr>
        <w:snapToGrid w:val="0"/>
        <w:spacing w:line="288" w:lineRule="auto"/>
        <w:ind w:firstLine="200" w:firstLineChars="100"/>
        <w:rPr>
          <w:sz w:val="20"/>
          <w:szCs w:val="20"/>
        </w:rPr>
      </w:pPr>
      <w:r>
        <w:rPr>
          <w:rFonts w:hAnsi="Cambria Math"/>
          <w:b/>
          <w:sz w:val="20"/>
          <w:szCs w:val="20"/>
        </w:rPr>
        <w:t xml:space="preserve">4 </w:t>
      </w:r>
      <w:r>
        <w:rPr>
          <w:rFonts w:hint="eastAsia"/>
          <w:sz w:val="20"/>
          <w:szCs w:val="20"/>
        </w:rPr>
        <w:t>结构内电缆应侧壁悬挂，</w:t>
      </w:r>
      <w:r>
        <w:rPr>
          <w:bCs/>
          <w:sz w:val="20"/>
          <w:szCs w:val="20"/>
        </w:rPr>
        <w:t>照明和动力电线（缆）安装在结构</w:t>
      </w:r>
      <w:r>
        <w:rPr>
          <w:rFonts w:hint="eastAsia"/>
          <w:bCs/>
          <w:sz w:val="20"/>
          <w:szCs w:val="20"/>
        </w:rPr>
        <w:t>内</w:t>
      </w:r>
      <w:r>
        <w:rPr>
          <w:bCs/>
          <w:sz w:val="20"/>
          <w:szCs w:val="20"/>
        </w:rPr>
        <w:t>同一侧时，应分层架设</w:t>
      </w:r>
      <w:r>
        <w:rPr>
          <w:rFonts w:hint="eastAsia" w:ascii="宋体" w:hAnsi="宋体"/>
          <w:sz w:val="20"/>
          <w:szCs w:val="20"/>
        </w:rPr>
        <w:t>；</w:t>
      </w:r>
    </w:p>
    <w:p w14:paraId="2BAE3322">
      <w:pPr>
        <w:snapToGrid w:val="0"/>
        <w:spacing w:line="288" w:lineRule="auto"/>
        <w:ind w:firstLine="200" w:firstLineChars="100"/>
        <w:rPr>
          <w:sz w:val="20"/>
          <w:szCs w:val="20"/>
        </w:rPr>
      </w:pPr>
      <w:r>
        <w:rPr>
          <w:rFonts w:hint="eastAsia" w:hAnsi="Cambria Math"/>
          <w:b/>
          <w:sz w:val="20"/>
          <w:szCs w:val="20"/>
        </w:rPr>
        <w:t>5</w:t>
      </w:r>
      <w:r>
        <w:rPr>
          <w:sz w:val="20"/>
          <w:szCs w:val="20"/>
        </w:rPr>
        <w:t xml:space="preserve"> </w:t>
      </w:r>
      <w:r>
        <w:rPr>
          <w:rFonts w:hint="eastAsia"/>
          <w:sz w:val="20"/>
          <w:szCs w:val="20"/>
        </w:rPr>
        <w:t>井内与顶管结构内照明应采用36V低压防爆灯；</w:t>
      </w:r>
    </w:p>
    <w:p w14:paraId="6252F9CE">
      <w:pPr>
        <w:snapToGrid w:val="0"/>
        <w:spacing w:line="288" w:lineRule="auto"/>
        <w:ind w:firstLine="200" w:firstLineChars="100"/>
      </w:pPr>
      <w:r>
        <w:rPr>
          <w:rFonts w:hAnsi="Cambria Math"/>
          <w:b/>
          <w:sz w:val="20"/>
          <w:szCs w:val="20"/>
        </w:rPr>
        <w:t>6</w:t>
      </w:r>
      <w:r>
        <w:rPr>
          <w:sz w:val="20"/>
          <w:szCs w:val="20"/>
        </w:rPr>
        <w:t>供电及照明除</w:t>
      </w:r>
      <w:r>
        <w:rPr>
          <w:rFonts w:hint="eastAsia"/>
          <w:sz w:val="20"/>
          <w:szCs w:val="20"/>
        </w:rPr>
        <w:t>应符合本标准的</w:t>
      </w:r>
      <w:r>
        <w:rPr>
          <w:sz w:val="20"/>
          <w:szCs w:val="20"/>
        </w:rPr>
        <w:t>规定外，还应</w:t>
      </w:r>
      <w:r>
        <w:rPr>
          <w:rFonts w:hint="eastAsia"/>
          <w:sz w:val="20"/>
          <w:szCs w:val="20"/>
        </w:rPr>
        <w:t>符合现行标准</w:t>
      </w:r>
      <w:r>
        <w:rPr>
          <w:sz w:val="20"/>
          <w:szCs w:val="20"/>
        </w:rPr>
        <w:t>《</w:t>
      </w:r>
      <w:r>
        <w:rPr>
          <w:rFonts w:hint="eastAsia"/>
          <w:sz w:val="20"/>
          <w:szCs w:val="20"/>
        </w:rPr>
        <w:t>建筑与市政工程施工现场临时用电安全技术标准</w:t>
      </w:r>
      <w:r>
        <w:rPr>
          <w:sz w:val="20"/>
          <w:szCs w:val="20"/>
        </w:rPr>
        <w:t>》JGJ</w:t>
      </w:r>
      <w:r>
        <w:rPr>
          <w:rFonts w:hint="eastAsia"/>
          <w:sz w:val="20"/>
          <w:szCs w:val="20"/>
        </w:rPr>
        <w:t xml:space="preserve">/T </w:t>
      </w:r>
      <w:r>
        <w:rPr>
          <w:sz w:val="20"/>
          <w:szCs w:val="20"/>
        </w:rPr>
        <w:t>46</w:t>
      </w:r>
      <w:r>
        <w:rPr>
          <w:rFonts w:hint="eastAsia"/>
          <w:sz w:val="20"/>
          <w:szCs w:val="20"/>
        </w:rPr>
        <w:t>的</w:t>
      </w:r>
      <w:r>
        <w:rPr>
          <w:sz w:val="20"/>
          <w:szCs w:val="20"/>
        </w:rPr>
        <w:t>规定</w:t>
      </w:r>
      <w:r>
        <w:rPr>
          <w:rFonts w:hint="eastAsia" w:hAnsi="Cambria Math"/>
          <w:bCs/>
          <w:sz w:val="20"/>
          <w:szCs w:val="20"/>
        </w:rPr>
        <w:t>。</w:t>
      </w:r>
    </w:p>
    <w:p w14:paraId="17E8B8AB">
      <w:pPr>
        <w:pStyle w:val="3"/>
        <w:snapToGrid w:val="0"/>
        <w:spacing w:before="312" w:beforeLines="100" w:after="0" w:line="288" w:lineRule="auto"/>
        <w:jc w:val="center"/>
        <w:rPr>
          <w:rFonts w:ascii="Times New Roman" w:hAnsi="Times New Roman"/>
          <w:sz w:val="20"/>
          <w:szCs w:val="21"/>
        </w:rPr>
      </w:pPr>
      <w:bookmarkStart w:id="305" w:name="_Toc185235647"/>
      <w:bookmarkStart w:id="306" w:name="_Toc185236598"/>
      <w:bookmarkStart w:id="307" w:name="_Toc188612078"/>
      <w:bookmarkStart w:id="308" w:name="_Toc188798549"/>
      <w:r>
        <w:rPr>
          <w:rFonts w:ascii="Times New Roman" w:hAnsi="Times New Roman"/>
          <w:sz w:val="20"/>
          <w:szCs w:val="21"/>
        </w:rPr>
        <w:t>5.1</w:t>
      </w:r>
      <w:r>
        <w:rPr>
          <w:rFonts w:hint="eastAsia" w:ascii="Times New Roman" w:hAnsi="Times New Roman"/>
          <w:sz w:val="20"/>
          <w:szCs w:val="21"/>
        </w:rPr>
        <w:t>7  施工安全与环境保护</w:t>
      </w:r>
      <w:bookmarkEnd w:id="305"/>
      <w:bookmarkEnd w:id="306"/>
      <w:bookmarkEnd w:id="307"/>
      <w:bookmarkEnd w:id="308"/>
    </w:p>
    <w:p w14:paraId="32DC7A0F">
      <w:pPr>
        <w:snapToGrid w:val="0"/>
        <w:spacing w:line="288" w:lineRule="auto"/>
        <w:outlineLvl w:val="2"/>
        <w:rPr>
          <w:sz w:val="20"/>
          <w:szCs w:val="20"/>
        </w:rPr>
      </w:pPr>
      <w:r>
        <w:rPr>
          <w:rFonts w:hint="eastAsia" w:hAnsi="Cambria Math"/>
          <w:b/>
          <w:sz w:val="20"/>
          <w:szCs w:val="20"/>
        </w:rPr>
        <w:t>5.17</w:t>
      </w:r>
      <w:r>
        <w:rPr>
          <w:rFonts w:hAnsi="Cambria Math"/>
          <w:b/>
          <w:sz w:val="20"/>
          <w:szCs w:val="20"/>
        </w:rPr>
        <w:t xml:space="preserve">.1  </w:t>
      </w:r>
      <w:r>
        <w:rPr>
          <w:rFonts w:hint="eastAsia"/>
          <w:sz w:val="20"/>
          <w:szCs w:val="20"/>
        </w:rPr>
        <w:t>顶管机应有有毒有害气体检测报警装置。</w:t>
      </w:r>
    </w:p>
    <w:p w14:paraId="2EA7BB51">
      <w:pPr>
        <w:snapToGrid w:val="0"/>
        <w:spacing w:line="288" w:lineRule="auto"/>
        <w:outlineLvl w:val="2"/>
      </w:pPr>
      <w:r>
        <w:rPr>
          <w:rFonts w:hint="eastAsia" w:hAnsi="Cambria Math"/>
          <w:b/>
          <w:sz w:val="20"/>
          <w:szCs w:val="20"/>
        </w:rPr>
        <w:t>5.17</w:t>
      </w:r>
      <w:r>
        <w:rPr>
          <w:rFonts w:hAnsi="Cambria Math"/>
          <w:b/>
          <w:sz w:val="20"/>
          <w:szCs w:val="20"/>
        </w:rPr>
        <w:t xml:space="preserve">.2  </w:t>
      </w:r>
      <w:r>
        <w:rPr>
          <w:rFonts w:hint="eastAsia"/>
          <w:sz w:val="20"/>
          <w:szCs w:val="20"/>
        </w:rPr>
        <w:t>顶管结构内作业场所应设置消防设施，并应配备通信设备。</w:t>
      </w:r>
    </w:p>
    <w:p w14:paraId="4DC3F087">
      <w:pPr>
        <w:snapToGrid w:val="0"/>
        <w:spacing w:line="288" w:lineRule="auto"/>
        <w:outlineLvl w:val="2"/>
        <w:rPr>
          <w:rFonts w:hAnsi="Cambria Math"/>
          <w:bCs/>
          <w:sz w:val="20"/>
          <w:szCs w:val="20"/>
        </w:rPr>
      </w:pPr>
      <w:r>
        <w:rPr>
          <w:rFonts w:hAnsi="Cambria Math"/>
          <w:b/>
          <w:sz w:val="20"/>
          <w:szCs w:val="20"/>
        </w:rPr>
        <w:t>5.1</w:t>
      </w:r>
      <w:r>
        <w:rPr>
          <w:rFonts w:hint="eastAsia" w:hAnsi="Cambria Math"/>
          <w:b/>
          <w:sz w:val="20"/>
          <w:szCs w:val="20"/>
        </w:rPr>
        <w:t>7</w:t>
      </w:r>
      <w:r>
        <w:rPr>
          <w:rFonts w:hAnsi="Cambria Math"/>
          <w:b/>
          <w:sz w:val="20"/>
          <w:szCs w:val="20"/>
        </w:rPr>
        <w:t xml:space="preserve">.3 </w:t>
      </w:r>
      <w:r>
        <w:rPr>
          <w:sz w:val="20"/>
          <w:szCs w:val="20"/>
        </w:rPr>
        <w:t xml:space="preserve"> </w:t>
      </w:r>
      <w:r>
        <w:rPr>
          <w:rFonts w:hint="eastAsia"/>
          <w:sz w:val="20"/>
          <w:szCs w:val="20"/>
        </w:rPr>
        <w:t>顶管结构内应设置应急照明灯，结构内疏散照明和疏散指示标志的连续供电时间不应小于1.5h</w:t>
      </w:r>
      <w:r>
        <w:rPr>
          <w:rFonts w:hint="eastAsia" w:hAnsi="Cambria Math"/>
          <w:bCs/>
          <w:sz w:val="20"/>
          <w:szCs w:val="20"/>
        </w:rPr>
        <w:t>。</w:t>
      </w:r>
    </w:p>
    <w:p w14:paraId="1A3CCD4F">
      <w:pPr>
        <w:snapToGrid w:val="0"/>
        <w:spacing w:line="288" w:lineRule="auto"/>
        <w:outlineLvl w:val="2"/>
      </w:pPr>
      <w:r>
        <w:rPr>
          <w:rFonts w:hint="eastAsia" w:hAnsi="Cambria Math"/>
          <w:b/>
          <w:sz w:val="20"/>
          <w:szCs w:val="20"/>
        </w:rPr>
        <w:t>5.17</w:t>
      </w:r>
      <w:r>
        <w:rPr>
          <w:rFonts w:hAnsi="Cambria Math"/>
          <w:b/>
          <w:sz w:val="20"/>
          <w:szCs w:val="20"/>
        </w:rPr>
        <w:t xml:space="preserve">.4  </w:t>
      </w:r>
      <w:r>
        <w:rPr>
          <w:rFonts w:hint="eastAsia"/>
          <w:sz w:val="20"/>
          <w:szCs w:val="20"/>
        </w:rPr>
        <w:t>供水和排水应满足施工要求，汛期在结构内和井内设足够的排水设备，防止雨水倒灌。</w:t>
      </w:r>
    </w:p>
    <w:p w14:paraId="2C7BD80F">
      <w:pPr>
        <w:snapToGrid w:val="0"/>
        <w:spacing w:line="288" w:lineRule="auto"/>
        <w:outlineLvl w:val="2"/>
      </w:pPr>
      <w:r>
        <w:rPr>
          <w:rFonts w:hint="eastAsia" w:hAnsi="Cambria Math"/>
          <w:b/>
          <w:sz w:val="20"/>
          <w:szCs w:val="20"/>
        </w:rPr>
        <w:t>5.17</w:t>
      </w:r>
      <w:r>
        <w:rPr>
          <w:rFonts w:hAnsi="Cambria Math"/>
          <w:b/>
          <w:sz w:val="20"/>
          <w:szCs w:val="20"/>
        </w:rPr>
        <w:t xml:space="preserve">.5  </w:t>
      </w:r>
      <w:r>
        <w:rPr>
          <w:rFonts w:hint="eastAsia"/>
          <w:sz w:val="20"/>
          <w:szCs w:val="20"/>
        </w:rPr>
        <w:t>施工中产生的泥浆、废渣和废水应及时处置。</w:t>
      </w:r>
    </w:p>
    <w:p w14:paraId="14D0CE98">
      <w:pPr>
        <w:snapToGrid w:val="0"/>
        <w:spacing w:line="288" w:lineRule="auto"/>
        <w:outlineLvl w:val="2"/>
        <w:rPr>
          <w:sz w:val="20"/>
          <w:szCs w:val="20"/>
        </w:rPr>
      </w:pPr>
      <w:r>
        <w:rPr>
          <w:rFonts w:hint="eastAsia" w:hAnsi="Cambria Math"/>
          <w:b/>
          <w:sz w:val="20"/>
          <w:szCs w:val="20"/>
        </w:rPr>
        <w:t>5.17</w:t>
      </w:r>
      <w:r>
        <w:rPr>
          <w:rFonts w:hAnsi="Cambria Math"/>
          <w:b/>
          <w:sz w:val="20"/>
          <w:szCs w:val="20"/>
        </w:rPr>
        <w:t>.</w:t>
      </w:r>
      <w:r>
        <w:rPr>
          <w:rFonts w:hint="eastAsia" w:hAnsi="Cambria Math"/>
          <w:b/>
          <w:sz w:val="20"/>
          <w:szCs w:val="20"/>
        </w:rPr>
        <w:t>6</w:t>
      </w:r>
      <w:r>
        <w:rPr>
          <w:rFonts w:hAnsi="Cambria Math"/>
          <w:b/>
          <w:sz w:val="20"/>
          <w:szCs w:val="20"/>
        </w:rPr>
        <w:t xml:space="preserve">  </w:t>
      </w:r>
      <w:r>
        <w:rPr>
          <w:rFonts w:hint="eastAsia"/>
          <w:sz w:val="20"/>
          <w:szCs w:val="20"/>
        </w:rPr>
        <w:t>顶管结构</w:t>
      </w:r>
      <w:r>
        <w:rPr>
          <w:sz w:val="20"/>
          <w:szCs w:val="20"/>
        </w:rPr>
        <w:t>内施工环境应符合下列规定</w:t>
      </w:r>
      <w:r>
        <w:rPr>
          <w:rFonts w:hint="eastAsia"/>
          <w:sz w:val="20"/>
          <w:szCs w:val="20"/>
        </w:rPr>
        <w:t>：</w:t>
      </w:r>
    </w:p>
    <w:p w14:paraId="6A5017B1">
      <w:pPr>
        <w:snapToGrid w:val="0"/>
        <w:spacing w:line="288" w:lineRule="auto"/>
        <w:ind w:firstLine="300" w:firstLineChars="150"/>
        <w:rPr>
          <w:rFonts w:hAnsi="Cambria Math"/>
          <w:bCs/>
          <w:sz w:val="20"/>
          <w:szCs w:val="20"/>
        </w:rPr>
      </w:pPr>
      <w:r>
        <w:rPr>
          <w:rFonts w:hAnsi="Cambria Math"/>
          <w:b/>
          <w:sz w:val="20"/>
          <w:szCs w:val="20"/>
        </w:rPr>
        <w:t xml:space="preserve">1 </w:t>
      </w:r>
      <w:r>
        <w:rPr>
          <w:bCs/>
          <w:sz w:val="20"/>
          <w:szCs w:val="20"/>
        </w:rPr>
        <w:t>氧气含量按体积比不应小于20%</w:t>
      </w:r>
      <w:r>
        <w:rPr>
          <w:rFonts w:hint="eastAsia" w:ascii="宋体" w:hAnsi="宋体"/>
          <w:sz w:val="20"/>
          <w:szCs w:val="20"/>
        </w:rPr>
        <w:t>；</w:t>
      </w:r>
    </w:p>
    <w:p w14:paraId="19473E03">
      <w:pPr>
        <w:snapToGrid w:val="0"/>
        <w:spacing w:line="288" w:lineRule="auto"/>
        <w:ind w:firstLine="300" w:firstLineChars="150"/>
        <w:rPr>
          <w:rFonts w:hAnsi="Cambria Math"/>
          <w:bCs/>
          <w:sz w:val="20"/>
          <w:szCs w:val="20"/>
        </w:rPr>
      </w:pPr>
      <w:r>
        <w:rPr>
          <w:rFonts w:hAnsi="Cambria Math"/>
          <w:b/>
          <w:sz w:val="20"/>
          <w:szCs w:val="20"/>
        </w:rPr>
        <w:t xml:space="preserve">2 </w:t>
      </w:r>
      <w:r>
        <w:rPr>
          <w:rFonts w:hint="eastAsia"/>
          <w:bCs/>
          <w:sz w:val="20"/>
          <w:szCs w:val="20"/>
        </w:rPr>
        <w:t>粉尘容许浓度：</w:t>
      </w:r>
      <w:r>
        <w:rPr>
          <w:bCs/>
          <w:sz w:val="20"/>
          <w:szCs w:val="20"/>
        </w:rPr>
        <w:t>空气中</w:t>
      </w:r>
      <w:r>
        <w:rPr>
          <w:rFonts w:hint="eastAsia"/>
          <w:bCs/>
          <w:sz w:val="20"/>
          <w:szCs w:val="20"/>
        </w:rPr>
        <w:t>含</w:t>
      </w:r>
      <w:r>
        <w:rPr>
          <w:bCs/>
          <w:sz w:val="20"/>
          <w:szCs w:val="20"/>
        </w:rPr>
        <w:t>10%</w:t>
      </w:r>
      <w:r>
        <w:rPr>
          <w:rFonts w:hint="eastAsia"/>
          <w:bCs/>
          <w:sz w:val="20"/>
          <w:szCs w:val="20"/>
        </w:rPr>
        <w:t>及</w:t>
      </w:r>
      <w:r>
        <w:rPr>
          <w:bCs/>
          <w:sz w:val="20"/>
          <w:szCs w:val="20"/>
        </w:rPr>
        <w:t>以上</w:t>
      </w:r>
      <w:r>
        <w:rPr>
          <w:rFonts w:hint="eastAsia"/>
          <w:bCs/>
          <w:sz w:val="20"/>
          <w:szCs w:val="20"/>
        </w:rPr>
        <w:t>的</w:t>
      </w:r>
      <w:r>
        <w:rPr>
          <w:bCs/>
          <w:sz w:val="20"/>
          <w:szCs w:val="20"/>
        </w:rPr>
        <w:t>游离二氧化硅</w:t>
      </w:r>
      <w:r>
        <w:rPr>
          <w:rFonts w:hint="eastAsia"/>
          <w:bCs/>
          <w:sz w:val="20"/>
          <w:szCs w:val="20"/>
        </w:rPr>
        <w:t>的</w:t>
      </w:r>
      <w:r>
        <w:rPr>
          <w:bCs/>
          <w:sz w:val="20"/>
          <w:szCs w:val="20"/>
        </w:rPr>
        <w:t>粉尘不应超过2mg/</w:t>
      </w:r>
      <w:r>
        <w:rPr>
          <w:rFonts w:hint="eastAsia"/>
          <w:bCs/>
          <w:sz w:val="20"/>
          <w:szCs w:val="20"/>
        </w:rPr>
        <w:t>m³，</w:t>
      </w:r>
      <w:r>
        <w:rPr>
          <w:bCs/>
          <w:sz w:val="20"/>
          <w:szCs w:val="20"/>
        </w:rPr>
        <w:t>空气中含10%</w:t>
      </w:r>
      <w:r>
        <w:rPr>
          <w:rFonts w:hint="eastAsia"/>
          <w:bCs/>
          <w:sz w:val="20"/>
          <w:szCs w:val="20"/>
        </w:rPr>
        <w:t>以下</w:t>
      </w:r>
      <w:r>
        <w:rPr>
          <w:bCs/>
          <w:sz w:val="20"/>
          <w:szCs w:val="20"/>
        </w:rPr>
        <w:t>游离二氧化硅</w:t>
      </w:r>
      <w:r>
        <w:rPr>
          <w:rFonts w:hint="eastAsia"/>
          <w:bCs/>
          <w:sz w:val="20"/>
          <w:szCs w:val="20"/>
        </w:rPr>
        <w:t>的矿物性</w:t>
      </w:r>
      <w:r>
        <w:rPr>
          <w:bCs/>
          <w:sz w:val="20"/>
          <w:szCs w:val="20"/>
        </w:rPr>
        <w:t>粉尘不应超过4mg/</w:t>
      </w:r>
      <w:r>
        <w:rPr>
          <w:rFonts w:hint="eastAsia"/>
          <w:bCs/>
          <w:sz w:val="20"/>
          <w:szCs w:val="20"/>
        </w:rPr>
        <w:t>m³</w:t>
      </w:r>
      <w:r>
        <w:rPr>
          <w:rFonts w:hint="eastAsia" w:ascii="宋体" w:hAnsi="宋体"/>
          <w:sz w:val="20"/>
          <w:szCs w:val="20"/>
        </w:rPr>
        <w:t>；</w:t>
      </w:r>
    </w:p>
    <w:p w14:paraId="6451747A">
      <w:pPr>
        <w:snapToGrid w:val="0"/>
        <w:spacing w:line="288" w:lineRule="auto"/>
        <w:ind w:firstLine="300" w:firstLineChars="150"/>
        <w:rPr>
          <w:bCs/>
          <w:sz w:val="20"/>
          <w:szCs w:val="20"/>
        </w:rPr>
      </w:pPr>
      <w:r>
        <w:rPr>
          <w:rFonts w:hAnsi="Cambria Math"/>
          <w:b/>
          <w:sz w:val="20"/>
          <w:szCs w:val="20"/>
        </w:rPr>
        <w:t xml:space="preserve">3 </w:t>
      </w:r>
      <w:r>
        <w:rPr>
          <w:rFonts w:hint="eastAsia"/>
          <w:bCs/>
          <w:sz w:val="20"/>
          <w:szCs w:val="20"/>
        </w:rPr>
        <w:t>有毒</w:t>
      </w:r>
      <w:r>
        <w:rPr>
          <w:bCs/>
          <w:sz w:val="20"/>
          <w:szCs w:val="20"/>
        </w:rPr>
        <w:t>有害气体</w:t>
      </w:r>
      <w:r>
        <w:rPr>
          <w:rFonts w:hint="eastAsia"/>
          <w:bCs/>
          <w:sz w:val="20"/>
          <w:szCs w:val="20"/>
        </w:rPr>
        <w:t>含量应满足现行《</w:t>
      </w:r>
      <w:r>
        <w:rPr>
          <w:bCs/>
          <w:sz w:val="20"/>
          <w:szCs w:val="20"/>
        </w:rPr>
        <w:t>有限空间作业安全技术规范</w:t>
      </w:r>
      <w:r>
        <w:rPr>
          <w:rFonts w:hint="eastAsia"/>
          <w:bCs/>
          <w:sz w:val="20"/>
          <w:szCs w:val="20"/>
        </w:rPr>
        <w:t>》</w:t>
      </w:r>
      <w:r>
        <w:rPr>
          <w:bCs/>
          <w:sz w:val="20"/>
          <w:szCs w:val="20"/>
        </w:rPr>
        <w:t>DB11/T 852</w:t>
      </w:r>
      <w:r>
        <w:rPr>
          <w:rFonts w:hint="eastAsia"/>
          <w:bCs/>
          <w:sz w:val="20"/>
          <w:szCs w:val="20"/>
        </w:rPr>
        <w:t>相关要求；</w:t>
      </w:r>
    </w:p>
    <w:p w14:paraId="64AC8881">
      <w:pPr>
        <w:snapToGrid w:val="0"/>
        <w:spacing w:line="288" w:lineRule="auto"/>
        <w:ind w:firstLine="300" w:firstLineChars="150"/>
        <w:rPr>
          <w:rFonts w:ascii="宋体" w:hAnsi="宋体"/>
          <w:sz w:val="20"/>
          <w:szCs w:val="20"/>
        </w:rPr>
      </w:pPr>
      <w:r>
        <w:rPr>
          <w:rFonts w:hint="eastAsia" w:hAnsi="Cambria Math"/>
          <w:b/>
          <w:sz w:val="20"/>
          <w:szCs w:val="20"/>
        </w:rPr>
        <w:t>4</w:t>
      </w:r>
      <w:r>
        <w:rPr>
          <w:bCs/>
          <w:sz w:val="20"/>
          <w:szCs w:val="20"/>
        </w:rPr>
        <w:t xml:space="preserve"> </w:t>
      </w:r>
      <w:r>
        <w:rPr>
          <w:rFonts w:hint="eastAsia"/>
          <w:bCs/>
          <w:sz w:val="20"/>
          <w:szCs w:val="20"/>
        </w:rPr>
        <w:t>环境温度</w:t>
      </w:r>
      <w:r>
        <w:rPr>
          <w:bCs/>
          <w:sz w:val="20"/>
          <w:szCs w:val="20"/>
        </w:rPr>
        <w:t>不应</w:t>
      </w:r>
      <w:r>
        <w:rPr>
          <w:rFonts w:hint="eastAsia"/>
          <w:bCs/>
          <w:sz w:val="20"/>
          <w:szCs w:val="20"/>
        </w:rPr>
        <w:t>高于</w:t>
      </w:r>
      <w:r>
        <w:rPr>
          <w:bCs/>
          <w:sz w:val="20"/>
          <w:szCs w:val="20"/>
        </w:rPr>
        <w:t>32</w:t>
      </w:r>
      <w:r>
        <w:rPr>
          <w:rFonts w:hint="eastAsia"/>
          <w:bCs/>
          <w:sz w:val="20"/>
          <w:szCs w:val="20"/>
        </w:rPr>
        <w:t>℃，</w:t>
      </w:r>
      <w:r>
        <w:rPr>
          <w:bCs/>
          <w:sz w:val="20"/>
          <w:szCs w:val="20"/>
        </w:rPr>
        <w:t>噪声不应大于90dB</w:t>
      </w:r>
      <w:r>
        <w:rPr>
          <w:rFonts w:hint="eastAsia" w:ascii="宋体" w:hAnsi="宋体"/>
          <w:sz w:val="20"/>
          <w:szCs w:val="20"/>
        </w:rPr>
        <w:t>。</w:t>
      </w:r>
    </w:p>
    <w:p w14:paraId="0F0C2B88">
      <w:pPr>
        <w:snapToGrid w:val="0"/>
        <w:spacing w:line="288" w:lineRule="auto"/>
        <w:outlineLvl w:val="2"/>
        <w:rPr>
          <w:rFonts w:ascii="宋体" w:hAnsi="宋体"/>
          <w:sz w:val="20"/>
          <w:szCs w:val="20"/>
        </w:rPr>
      </w:pPr>
      <w:r>
        <w:rPr>
          <w:rFonts w:hint="eastAsia" w:hAnsi="Cambria Math"/>
          <w:b/>
          <w:sz w:val="20"/>
          <w:szCs w:val="20"/>
        </w:rPr>
        <w:t>5.17</w:t>
      </w:r>
      <w:r>
        <w:rPr>
          <w:rFonts w:hAnsi="Cambria Math"/>
          <w:b/>
          <w:sz w:val="20"/>
          <w:szCs w:val="20"/>
        </w:rPr>
        <w:t>.</w:t>
      </w:r>
      <w:r>
        <w:rPr>
          <w:rFonts w:hint="eastAsia" w:hAnsi="Cambria Math"/>
          <w:b/>
          <w:sz w:val="20"/>
          <w:szCs w:val="20"/>
        </w:rPr>
        <w:t>7</w:t>
      </w:r>
      <w:r>
        <w:rPr>
          <w:rFonts w:ascii="宋体" w:hAnsi="宋体"/>
          <w:sz w:val="20"/>
          <w:szCs w:val="20"/>
        </w:rPr>
        <w:t xml:space="preserve">  </w:t>
      </w:r>
      <w:r>
        <w:rPr>
          <w:rFonts w:hint="eastAsia" w:ascii="宋体" w:hAnsi="宋体"/>
          <w:sz w:val="20"/>
          <w:szCs w:val="20"/>
        </w:rPr>
        <w:t>顶管施工应采取措施降低施工噪声、振动、扬尘，避免对地下水、土壤造成污染。</w:t>
      </w:r>
    </w:p>
    <w:p w14:paraId="61CACFA0">
      <w:pPr>
        <w:snapToGrid w:val="0"/>
        <w:spacing w:line="288" w:lineRule="auto"/>
        <w:outlineLvl w:val="2"/>
        <w:rPr>
          <w:sz w:val="20"/>
          <w:szCs w:val="20"/>
        </w:rPr>
      </w:pPr>
      <w:r>
        <w:rPr>
          <w:rFonts w:hAnsi="Cambria Math"/>
          <w:b/>
          <w:sz w:val="20"/>
          <w:szCs w:val="20"/>
        </w:rPr>
        <w:t>5.1</w:t>
      </w:r>
      <w:r>
        <w:rPr>
          <w:rFonts w:hint="eastAsia" w:hAnsi="Cambria Math"/>
          <w:b/>
          <w:sz w:val="20"/>
          <w:szCs w:val="20"/>
        </w:rPr>
        <w:t>7</w:t>
      </w:r>
      <w:r>
        <w:rPr>
          <w:rFonts w:hAnsi="Cambria Math"/>
          <w:b/>
          <w:sz w:val="20"/>
          <w:szCs w:val="20"/>
        </w:rPr>
        <w:t>.</w:t>
      </w:r>
      <w:r>
        <w:rPr>
          <w:rFonts w:hint="eastAsia" w:hAnsi="Cambria Math"/>
          <w:b/>
          <w:sz w:val="20"/>
          <w:szCs w:val="20"/>
        </w:rPr>
        <w:t>8</w:t>
      </w:r>
      <w:r>
        <w:rPr>
          <w:rFonts w:ascii="宋体" w:hAnsi="宋体"/>
          <w:sz w:val="20"/>
          <w:szCs w:val="20"/>
        </w:rPr>
        <w:t xml:space="preserve">  </w:t>
      </w:r>
      <w:r>
        <w:rPr>
          <w:rFonts w:hint="eastAsia" w:ascii="宋体" w:hAnsi="宋体"/>
          <w:sz w:val="20"/>
          <w:szCs w:val="20"/>
        </w:rPr>
        <w:t>顶管施工应采取措施控制地面变形，减少对周边环境造成影响。</w:t>
      </w:r>
    </w:p>
    <w:p w14:paraId="48C33A27">
      <w:pPr>
        <w:snapToGrid w:val="0"/>
        <w:spacing w:line="288" w:lineRule="auto"/>
        <w:jc w:val="center"/>
        <w:outlineLvl w:val="0"/>
        <w:rPr>
          <w:rFonts w:eastAsia="黑体"/>
          <w:b/>
          <w:bCs/>
          <w:kern w:val="44"/>
          <w:sz w:val="26"/>
          <w:szCs w:val="26"/>
        </w:rPr>
      </w:pPr>
      <w:r>
        <w:rPr>
          <w:bCs/>
          <w:sz w:val="20"/>
          <w:szCs w:val="20"/>
        </w:rPr>
        <w:br w:type="page"/>
      </w:r>
      <w:bookmarkStart w:id="309" w:name="_Toc188798550"/>
      <w:bookmarkStart w:id="310" w:name="_Toc185236599"/>
      <w:bookmarkStart w:id="311" w:name="_Toc164082928"/>
      <w:bookmarkStart w:id="312" w:name="_Toc188612079"/>
      <w:bookmarkStart w:id="313" w:name="_Toc185235648"/>
      <w:r>
        <w:rPr>
          <w:rFonts w:eastAsia="黑体"/>
          <w:b/>
          <w:bCs/>
          <w:kern w:val="44"/>
          <w:sz w:val="26"/>
          <w:szCs w:val="26"/>
        </w:rPr>
        <w:t>6 特殊工况施工</w:t>
      </w:r>
      <w:bookmarkEnd w:id="309"/>
      <w:bookmarkEnd w:id="310"/>
      <w:bookmarkEnd w:id="311"/>
      <w:bookmarkEnd w:id="312"/>
      <w:bookmarkEnd w:id="313"/>
    </w:p>
    <w:p w14:paraId="2C02DEBF">
      <w:pPr>
        <w:pStyle w:val="3"/>
        <w:snapToGrid w:val="0"/>
        <w:spacing w:before="312" w:beforeLines="100" w:after="0" w:line="288" w:lineRule="auto"/>
        <w:jc w:val="center"/>
        <w:rPr>
          <w:rFonts w:ascii="Times New Roman" w:hAnsi="Times New Roman"/>
          <w:sz w:val="20"/>
          <w:szCs w:val="21"/>
        </w:rPr>
      </w:pPr>
      <w:bookmarkStart w:id="314" w:name="_Toc185235649"/>
      <w:bookmarkStart w:id="315" w:name="_Toc185236600"/>
      <w:bookmarkStart w:id="316" w:name="_Toc188612080"/>
      <w:bookmarkStart w:id="317" w:name="_Toc188798551"/>
      <w:r>
        <w:rPr>
          <w:rFonts w:hint="eastAsia" w:ascii="Times New Roman" w:hAnsi="Times New Roman"/>
          <w:sz w:val="20"/>
          <w:szCs w:val="21"/>
        </w:rPr>
        <w:t>6.1  一般规定</w:t>
      </w:r>
      <w:bookmarkEnd w:id="314"/>
      <w:bookmarkEnd w:id="315"/>
      <w:bookmarkEnd w:id="316"/>
      <w:bookmarkEnd w:id="317"/>
    </w:p>
    <w:p w14:paraId="3A78E4AB">
      <w:pPr>
        <w:snapToGrid w:val="0"/>
        <w:spacing w:line="288" w:lineRule="auto"/>
        <w:outlineLvl w:val="2"/>
        <w:rPr>
          <w:rFonts w:hAnsi="Cambria Math"/>
          <w:b/>
          <w:bCs/>
          <w:sz w:val="20"/>
          <w:szCs w:val="20"/>
        </w:rPr>
      </w:pPr>
      <w:r>
        <w:rPr>
          <w:rFonts w:hAnsi="Cambria Math"/>
          <w:b/>
          <w:bCs/>
          <w:sz w:val="20"/>
          <w:szCs w:val="20"/>
        </w:rPr>
        <w:t>6</w:t>
      </w:r>
      <w:r>
        <w:rPr>
          <w:rFonts w:hint="eastAsia" w:hAnsi="Cambria Math"/>
          <w:b/>
          <w:bCs/>
          <w:sz w:val="20"/>
          <w:szCs w:val="20"/>
        </w:rPr>
        <w:t xml:space="preserve">.1.1  </w:t>
      </w:r>
      <w:r>
        <w:rPr>
          <w:rFonts w:hint="eastAsia"/>
          <w:sz w:val="20"/>
          <w:szCs w:val="20"/>
        </w:rPr>
        <w:t>特殊工况施工</w:t>
      </w:r>
      <w:r>
        <w:rPr>
          <w:rFonts w:hint="eastAsia" w:hAnsi="Cambria Math"/>
          <w:bCs/>
          <w:sz w:val="20"/>
          <w:szCs w:val="20"/>
        </w:rPr>
        <w:t>包括下列情形：</w:t>
      </w:r>
    </w:p>
    <w:p w14:paraId="59DACDCF">
      <w:pPr>
        <w:snapToGrid w:val="0"/>
        <w:spacing w:line="288" w:lineRule="auto"/>
        <w:ind w:firstLine="300" w:firstLineChars="150"/>
        <w:rPr>
          <w:rFonts w:hAnsi="Cambria Math"/>
          <w:b/>
          <w:bCs/>
          <w:sz w:val="20"/>
          <w:szCs w:val="20"/>
        </w:rPr>
      </w:pPr>
      <w:r>
        <w:rPr>
          <w:rFonts w:hint="eastAsia" w:hAnsi="Cambria Math"/>
          <w:b/>
          <w:bCs/>
          <w:sz w:val="20"/>
          <w:szCs w:val="20"/>
        </w:rPr>
        <w:t>1</w:t>
      </w:r>
      <w:r>
        <w:rPr>
          <w:rFonts w:hAnsi="Cambria Math"/>
          <w:b/>
          <w:bCs/>
          <w:sz w:val="20"/>
          <w:szCs w:val="20"/>
        </w:rPr>
        <w:t xml:space="preserve"> </w:t>
      </w:r>
      <w:r>
        <w:rPr>
          <w:rFonts w:hint="eastAsia" w:hAnsi="Cambria Math"/>
          <w:bCs/>
          <w:sz w:val="20"/>
          <w:szCs w:val="20"/>
        </w:rPr>
        <w:t>利用车站结构始发、接收；</w:t>
      </w:r>
    </w:p>
    <w:p w14:paraId="22A00B05">
      <w:pPr>
        <w:snapToGrid w:val="0"/>
        <w:spacing w:line="288" w:lineRule="auto"/>
        <w:ind w:firstLine="300" w:firstLineChars="150"/>
        <w:rPr>
          <w:rFonts w:hAnsi="Cambria Math"/>
          <w:bCs/>
          <w:sz w:val="20"/>
          <w:szCs w:val="20"/>
        </w:rPr>
      </w:pPr>
      <w:r>
        <w:rPr>
          <w:rFonts w:hint="eastAsia" w:hAnsi="Cambria Math"/>
          <w:b/>
          <w:bCs/>
          <w:sz w:val="20"/>
          <w:szCs w:val="20"/>
        </w:rPr>
        <w:t xml:space="preserve">2 </w:t>
      </w:r>
      <w:r>
        <w:rPr>
          <w:rFonts w:hint="eastAsia" w:hAnsi="Cambria Math"/>
          <w:sz w:val="20"/>
          <w:szCs w:val="20"/>
        </w:rPr>
        <w:t>顶管工作井长度不足</w:t>
      </w:r>
      <w:r>
        <w:rPr>
          <w:rFonts w:hint="eastAsia" w:hAnsi="Cambria Math"/>
          <w:bCs/>
          <w:sz w:val="20"/>
          <w:szCs w:val="20"/>
        </w:rPr>
        <w:t>；</w:t>
      </w:r>
    </w:p>
    <w:p w14:paraId="5D2084C4">
      <w:pPr>
        <w:snapToGrid w:val="0"/>
        <w:spacing w:line="288" w:lineRule="auto"/>
        <w:ind w:firstLine="315" w:firstLineChars="150"/>
        <w:rPr>
          <w:rFonts w:hAnsi="Cambria Math"/>
          <w:sz w:val="20"/>
          <w:szCs w:val="20"/>
        </w:rPr>
      </w:pPr>
      <w:r>
        <w:rPr>
          <w:rFonts w:hint="eastAsia"/>
          <w:b/>
        </w:rPr>
        <w:t>3</w:t>
      </w:r>
      <w:r>
        <w:t xml:space="preserve"> </w:t>
      </w:r>
      <w:r>
        <w:rPr>
          <w:rFonts w:hint="eastAsia" w:hAnsi="Cambria Math"/>
          <w:sz w:val="20"/>
          <w:szCs w:val="20"/>
        </w:rPr>
        <w:t>弃壳；</w:t>
      </w:r>
    </w:p>
    <w:p w14:paraId="05E85748">
      <w:pPr>
        <w:snapToGrid w:val="0"/>
        <w:spacing w:line="288" w:lineRule="auto"/>
        <w:ind w:firstLine="300" w:firstLineChars="150"/>
        <w:rPr>
          <w:rFonts w:hAnsi="Cambria Math"/>
          <w:bCs/>
          <w:sz w:val="20"/>
          <w:szCs w:val="20"/>
        </w:rPr>
      </w:pPr>
      <w:r>
        <w:rPr>
          <w:rFonts w:hAnsi="Cambria Math"/>
          <w:b/>
          <w:bCs/>
          <w:sz w:val="20"/>
          <w:szCs w:val="20"/>
        </w:rPr>
        <w:t xml:space="preserve">4 </w:t>
      </w:r>
      <w:r>
        <w:rPr>
          <w:rFonts w:hint="eastAsia" w:hAnsi="Cambria Math"/>
          <w:sz w:val="20"/>
          <w:szCs w:val="20"/>
        </w:rPr>
        <w:t>钢套筒接收及空推过井；</w:t>
      </w:r>
    </w:p>
    <w:p w14:paraId="47E38E78">
      <w:pPr>
        <w:snapToGrid w:val="0"/>
        <w:spacing w:line="288" w:lineRule="auto"/>
        <w:ind w:firstLine="300" w:firstLineChars="150"/>
        <w:rPr>
          <w:rFonts w:hAnsi="Cambria Math"/>
          <w:sz w:val="20"/>
          <w:szCs w:val="20"/>
        </w:rPr>
      </w:pPr>
      <w:r>
        <w:rPr>
          <w:rFonts w:hAnsi="Cambria Math"/>
          <w:b/>
          <w:bCs/>
          <w:sz w:val="20"/>
          <w:szCs w:val="20"/>
        </w:rPr>
        <w:t xml:space="preserve">5 </w:t>
      </w:r>
      <w:r>
        <w:rPr>
          <w:rFonts w:hint="eastAsia" w:hAnsi="Cambria Math"/>
          <w:sz w:val="20"/>
          <w:szCs w:val="20"/>
        </w:rPr>
        <w:t>顶管覆土；</w:t>
      </w:r>
    </w:p>
    <w:p w14:paraId="2E18DFE6">
      <w:pPr>
        <w:snapToGrid w:val="0"/>
        <w:spacing w:line="288" w:lineRule="auto"/>
        <w:ind w:firstLine="300" w:firstLineChars="150"/>
        <w:rPr>
          <w:rFonts w:hAnsi="Cambria Math"/>
          <w:bCs/>
          <w:sz w:val="20"/>
          <w:szCs w:val="20"/>
        </w:rPr>
      </w:pPr>
      <w:r>
        <w:rPr>
          <w:rFonts w:hAnsi="Cambria Math"/>
          <w:b/>
          <w:bCs/>
          <w:sz w:val="20"/>
          <w:szCs w:val="20"/>
        </w:rPr>
        <w:t xml:space="preserve">6 </w:t>
      </w:r>
      <w:r>
        <w:rPr>
          <w:rFonts w:hint="eastAsia"/>
          <w:sz w:val="20"/>
        </w:rPr>
        <w:t>穿越特、一级风险源</w:t>
      </w:r>
      <w:r>
        <w:rPr>
          <w:rFonts w:hint="eastAsia" w:hAnsi="Cambria Math"/>
          <w:sz w:val="20"/>
          <w:szCs w:val="20"/>
        </w:rPr>
        <w:t>。</w:t>
      </w:r>
    </w:p>
    <w:p w14:paraId="491D8202">
      <w:pPr>
        <w:snapToGrid w:val="0"/>
        <w:spacing w:line="288" w:lineRule="auto"/>
        <w:outlineLvl w:val="2"/>
        <w:rPr>
          <w:rFonts w:hAnsi="Cambria Math"/>
          <w:bCs/>
          <w:sz w:val="20"/>
          <w:szCs w:val="20"/>
        </w:rPr>
      </w:pPr>
      <w:r>
        <w:rPr>
          <w:rFonts w:hint="eastAsia" w:hAnsi="Cambria Math"/>
          <w:b/>
          <w:bCs/>
          <w:sz w:val="20"/>
          <w:szCs w:val="20"/>
        </w:rPr>
        <w:t>6.</w:t>
      </w:r>
      <w:r>
        <w:rPr>
          <w:rFonts w:hAnsi="Cambria Math"/>
          <w:b/>
          <w:bCs/>
          <w:sz w:val="20"/>
          <w:szCs w:val="20"/>
        </w:rPr>
        <w:t>1</w:t>
      </w:r>
      <w:r>
        <w:rPr>
          <w:rFonts w:hint="eastAsia" w:hAnsi="Cambria Math"/>
          <w:b/>
          <w:bCs/>
          <w:sz w:val="20"/>
          <w:szCs w:val="20"/>
        </w:rPr>
        <w:t>.</w:t>
      </w:r>
      <w:r>
        <w:rPr>
          <w:rFonts w:hAnsi="Cambria Math"/>
          <w:b/>
          <w:bCs/>
          <w:sz w:val="20"/>
          <w:szCs w:val="20"/>
        </w:rPr>
        <w:t xml:space="preserve">2  </w:t>
      </w:r>
      <w:r>
        <w:rPr>
          <w:rFonts w:hint="eastAsia"/>
          <w:sz w:val="20"/>
          <w:szCs w:val="20"/>
        </w:rPr>
        <w:t>特殊工况顶管时</w:t>
      </w:r>
      <w:r>
        <w:rPr>
          <w:rFonts w:hint="eastAsia" w:hAnsi="Cambria Math"/>
          <w:bCs/>
          <w:sz w:val="20"/>
          <w:szCs w:val="20"/>
        </w:rPr>
        <w:t>，涉及车站结构安全的应由设计进行核算。</w:t>
      </w:r>
    </w:p>
    <w:p w14:paraId="176A0902">
      <w:pPr>
        <w:snapToGrid w:val="0"/>
        <w:spacing w:line="288" w:lineRule="auto"/>
        <w:outlineLvl w:val="2"/>
        <w:rPr>
          <w:rFonts w:hAnsi="Cambria Math"/>
          <w:b/>
          <w:bCs/>
          <w:sz w:val="20"/>
          <w:szCs w:val="20"/>
        </w:rPr>
      </w:pPr>
      <w:r>
        <w:rPr>
          <w:rFonts w:hAnsi="Cambria Math"/>
          <w:b/>
          <w:bCs/>
          <w:sz w:val="20"/>
          <w:szCs w:val="20"/>
        </w:rPr>
        <w:t>6</w:t>
      </w:r>
      <w:r>
        <w:rPr>
          <w:rFonts w:hint="eastAsia" w:hAnsi="Cambria Math"/>
          <w:b/>
          <w:bCs/>
          <w:sz w:val="20"/>
          <w:szCs w:val="20"/>
        </w:rPr>
        <w:t>.</w:t>
      </w:r>
      <w:r>
        <w:rPr>
          <w:rFonts w:hAnsi="Cambria Math"/>
          <w:b/>
          <w:bCs/>
          <w:sz w:val="20"/>
          <w:szCs w:val="20"/>
        </w:rPr>
        <w:t>1</w:t>
      </w:r>
      <w:r>
        <w:rPr>
          <w:rFonts w:hint="eastAsia" w:hAnsi="Cambria Math"/>
          <w:b/>
          <w:bCs/>
          <w:sz w:val="20"/>
          <w:szCs w:val="20"/>
        </w:rPr>
        <w:t>.</w:t>
      </w:r>
      <w:r>
        <w:rPr>
          <w:rFonts w:hAnsi="Cambria Math"/>
          <w:b/>
          <w:bCs/>
          <w:sz w:val="20"/>
          <w:szCs w:val="20"/>
        </w:rPr>
        <w:t xml:space="preserve">3  </w:t>
      </w:r>
      <w:r>
        <w:rPr>
          <w:rFonts w:hint="eastAsia"/>
          <w:sz w:val="20"/>
          <w:szCs w:val="20"/>
        </w:rPr>
        <w:t>邻近道路</w:t>
      </w:r>
      <w:r>
        <w:rPr>
          <w:rFonts w:hint="eastAsia" w:hAnsi="Cambria Math"/>
          <w:bCs/>
          <w:sz w:val="20"/>
          <w:szCs w:val="20"/>
        </w:rPr>
        <w:t>、桥梁、地铁、铁路等变形要求严格的建（构）筑物时，应编制专项施工方案和应急预案，并征得产权单位或管理单位的同意。</w:t>
      </w:r>
    </w:p>
    <w:p w14:paraId="767C6B6A">
      <w:pPr>
        <w:snapToGrid w:val="0"/>
        <w:spacing w:line="288" w:lineRule="auto"/>
        <w:outlineLvl w:val="2"/>
        <w:rPr>
          <w:rFonts w:hAnsi="Cambria Math"/>
          <w:bCs/>
          <w:sz w:val="20"/>
          <w:szCs w:val="20"/>
        </w:rPr>
      </w:pPr>
      <w:r>
        <w:rPr>
          <w:rFonts w:hAnsi="Cambria Math"/>
          <w:b/>
          <w:bCs/>
          <w:sz w:val="20"/>
          <w:szCs w:val="20"/>
        </w:rPr>
        <w:t>6</w:t>
      </w:r>
      <w:r>
        <w:rPr>
          <w:rFonts w:hint="eastAsia" w:hAnsi="Cambria Math"/>
          <w:b/>
          <w:bCs/>
          <w:sz w:val="20"/>
          <w:szCs w:val="20"/>
        </w:rPr>
        <w:t>.</w:t>
      </w:r>
      <w:r>
        <w:rPr>
          <w:rFonts w:hAnsi="Cambria Math"/>
          <w:b/>
          <w:bCs/>
          <w:sz w:val="20"/>
          <w:szCs w:val="20"/>
        </w:rPr>
        <w:t>1</w:t>
      </w:r>
      <w:r>
        <w:rPr>
          <w:rFonts w:hint="eastAsia" w:hAnsi="Cambria Math"/>
          <w:b/>
          <w:bCs/>
          <w:sz w:val="20"/>
          <w:szCs w:val="20"/>
        </w:rPr>
        <w:t>.</w:t>
      </w:r>
      <w:r>
        <w:rPr>
          <w:rFonts w:hAnsi="Cambria Math"/>
          <w:b/>
          <w:bCs/>
          <w:sz w:val="20"/>
          <w:szCs w:val="20"/>
        </w:rPr>
        <w:t>4</w:t>
      </w:r>
      <w:r>
        <w:rPr>
          <w:rFonts w:hAnsi="Cambria Math"/>
          <w:bCs/>
          <w:sz w:val="20"/>
          <w:szCs w:val="20"/>
        </w:rPr>
        <w:t xml:space="preserve">  </w:t>
      </w:r>
      <w:r>
        <w:rPr>
          <w:rFonts w:hint="eastAsia"/>
          <w:sz w:val="20"/>
          <w:szCs w:val="20"/>
        </w:rPr>
        <w:t>施工单位应会同设计单位</w:t>
      </w:r>
      <w:r>
        <w:rPr>
          <w:rFonts w:hint="eastAsia" w:hAnsi="Cambria Math"/>
          <w:bCs/>
          <w:sz w:val="20"/>
          <w:szCs w:val="20"/>
        </w:rPr>
        <w:t>，在保证施工安全、环境安全的前提下制定特殊工况的专项施工方案，并严格按照方案实施。</w:t>
      </w:r>
    </w:p>
    <w:p w14:paraId="612D01E0">
      <w:pPr>
        <w:snapToGrid w:val="0"/>
        <w:spacing w:line="288" w:lineRule="auto"/>
        <w:outlineLvl w:val="2"/>
        <w:rPr>
          <w:rFonts w:hAnsi="Cambria Math"/>
          <w:bCs/>
          <w:sz w:val="20"/>
          <w:szCs w:val="20"/>
        </w:rPr>
      </w:pPr>
      <w:r>
        <w:rPr>
          <w:rFonts w:hint="eastAsia" w:hAnsi="Cambria Math"/>
          <w:b/>
          <w:bCs/>
          <w:sz w:val="20"/>
          <w:szCs w:val="20"/>
        </w:rPr>
        <w:t>6.</w:t>
      </w:r>
      <w:r>
        <w:rPr>
          <w:rFonts w:hAnsi="Cambria Math"/>
          <w:b/>
          <w:bCs/>
          <w:sz w:val="20"/>
          <w:szCs w:val="20"/>
        </w:rPr>
        <w:t>1</w:t>
      </w:r>
      <w:r>
        <w:rPr>
          <w:rFonts w:hint="eastAsia" w:hAnsi="Cambria Math"/>
          <w:b/>
          <w:bCs/>
          <w:sz w:val="20"/>
          <w:szCs w:val="20"/>
        </w:rPr>
        <w:t>.</w:t>
      </w:r>
      <w:r>
        <w:rPr>
          <w:rFonts w:hAnsi="Cambria Math"/>
          <w:b/>
          <w:bCs/>
          <w:sz w:val="20"/>
          <w:szCs w:val="20"/>
        </w:rPr>
        <w:t>5</w:t>
      </w:r>
      <w:r>
        <w:rPr>
          <w:rFonts w:hAnsi="Cambria Math"/>
          <w:bCs/>
          <w:sz w:val="20"/>
          <w:szCs w:val="20"/>
        </w:rPr>
        <w:t xml:space="preserve">  </w:t>
      </w:r>
      <w:r>
        <w:rPr>
          <w:rFonts w:hint="eastAsia" w:hAnsi="Cambria Math"/>
          <w:bCs/>
          <w:sz w:val="20"/>
          <w:szCs w:val="20"/>
        </w:rPr>
        <w:t>穿越环境风险源前，应设置穿越试验段，验证设定顶进参数，并实时调整。</w:t>
      </w:r>
    </w:p>
    <w:p w14:paraId="18854F14">
      <w:pPr>
        <w:pStyle w:val="3"/>
        <w:snapToGrid w:val="0"/>
        <w:spacing w:before="312" w:beforeLines="100" w:after="0" w:line="288" w:lineRule="auto"/>
        <w:jc w:val="center"/>
        <w:rPr>
          <w:rFonts w:ascii="Times New Roman" w:hAnsi="Times New Roman"/>
          <w:sz w:val="20"/>
          <w:szCs w:val="21"/>
        </w:rPr>
      </w:pPr>
      <w:bookmarkStart w:id="318" w:name="_Toc188798552"/>
      <w:bookmarkStart w:id="319" w:name="_Toc185236601"/>
      <w:bookmarkStart w:id="320" w:name="_Toc185235650"/>
      <w:bookmarkStart w:id="321" w:name="_Toc188612081"/>
      <w:r>
        <w:rPr>
          <w:rFonts w:hint="eastAsia" w:ascii="Times New Roman" w:hAnsi="Times New Roman"/>
          <w:sz w:val="20"/>
          <w:szCs w:val="21"/>
        </w:rPr>
        <w:t>6.2</w:t>
      </w:r>
      <w:r>
        <w:rPr>
          <w:rFonts w:ascii="Times New Roman" w:hAnsi="Times New Roman"/>
          <w:sz w:val="20"/>
          <w:szCs w:val="21"/>
        </w:rPr>
        <w:t xml:space="preserve"> </w:t>
      </w:r>
      <w:r>
        <w:rPr>
          <w:rFonts w:hint="eastAsia" w:ascii="Times New Roman" w:hAnsi="Times New Roman"/>
          <w:sz w:val="20"/>
          <w:szCs w:val="21"/>
        </w:rPr>
        <w:t xml:space="preserve"> 利</w:t>
      </w:r>
      <w:bookmarkStart w:id="322" w:name="OLE_LINK11"/>
      <w:r>
        <w:rPr>
          <w:rFonts w:hint="eastAsia" w:ascii="Times New Roman" w:hAnsi="Times New Roman"/>
          <w:sz w:val="20"/>
          <w:szCs w:val="21"/>
        </w:rPr>
        <w:t>用车站结构始发、接收</w:t>
      </w:r>
      <w:bookmarkEnd w:id="318"/>
      <w:bookmarkEnd w:id="319"/>
      <w:bookmarkEnd w:id="320"/>
      <w:bookmarkEnd w:id="321"/>
      <w:bookmarkEnd w:id="322"/>
    </w:p>
    <w:p w14:paraId="6ABAFA01">
      <w:pPr>
        <w:snapToGrid w:val="0"/>
        <w:spacing w:line="288" w:lineRule="auto"/>
        <w:outlineLvl w:val="2"/>
        <w:rPr>
          <w:sz w:val="20"/>
          <w:szCs w:val="20"/>
        </w:rPr>
      </w:pPr>
      <w:r>
        <w:rPr>
          <w:rFonts w:hint="eastAsia"/>
          <w:b/>
          <w:sz w:val="20"/>
          <w:szCs w:val="20"/>
        </w:rPr>
        <w:t>6.2.1</w:t>
      </w:r>
      <w:r>
        <w:rPr>
          <w:b/>
          <w:sz w:val="20"/>
          <w:szCs w:val="20"/>
        </w:rPr>
        <w:t xml:space="preserve">  </w:t>
      </w:r>
      <w:r>
        <w:rPr>
          <w:rFonts w:hint="eastAsia"/>
          <w:sz w:val="20"/>
          <w:szCs w:val="20"/>
        </w:rPr>
        <w:t>利用车站主体结构</w:t>
      </w:r>
      <w:r>
        <w:rPr>
          <w:rFonts w:hint="eastAsia" w:hAnsi="Cambria Math"/>
          <w:bCs/>
          <w:sz w:val="20"/>
          <w:szCs w:val="20"/>
        </w:rPr>
        <w:t>作为</w:t>
      </w:r>
      <w:r>
        <w:rPr>
          <w:rFonts w:hint="eastAsia"/>
          <w:sz w:val="20"/>
          <w:szCs w:val="20"/>
        </w:rPr>
        <w:t>工作井时，应在结构顶板预留吊装洞口，洞口尺寸应满足顶管机组装、拆解及顶进要求；车站中板结构应能承受顶管机自重及施工荷载。</w:t>
      </w:r>
    </w:p>
    <w:p w14:paraId="7AB9234A">
      <w:pPr>
        <w:snapToGrid w:val="0"/>
        <w:spacing w:line="288" w:lineRule="auto"/>
        <w:outlineLvl w:val="2"/>
        <w:rPr>
          <w:sz w:val="20"/>
          <w:szCs w:val="20"/>
        </w:rPr>
      </w:pPr>
      <w:r>
        <w:rPr>
          <w:rFonts w:hint="eastAsia"/>
          <w:b/>
          <w:sz w:val="20"/>
          <w:szCs w:val="20"/>
        </w:rPr>
        <w:t>6.</w:t>
      </w:r>
      <w:r>
        <w:rPr>
          <w:b/>
          <w:sz w:val="20"/>
          <w:szCs w:val="20"/>
        </w:rPr>
        <w:t>2</w:t>
      </w:r>
      <w:r>
        <w:rPr>
          <w:rFonts w:hint="eastAsia"/>
          <w:b/>
          <w:sz w:val="20"/>
          <w:szCs w:val="20"/>
        </w:rPr>
        <w:t>.2</w:t>
      </w:r>
      <w:r>
        <w:rPr>
          <w:sz w:val="20"/>
          <w:szCs w:val="20"/>
        </w:rPr>
        <w:t xml:space="preserve">  </w:t>
      </w:r>
      <w:r>
        <w:rPr>
          <w:rFonts w:hint="eastAsia"/>
          <w:sz w:val="20"/>
          <w:szCs w:val="20"/>
        </w:rPr>
        <w:t>顶管结构</w:t>
      </w:r>
      <w:r>
        <w:rPr>
          <w:sz w:val="20"/>
          <w:szCs w:val="20"/>
        </w:rPr>
        <w:t>与</w:t>
      </w:r>
      <w:r>
        <w:rPr>
          <w:rFonts w:hint="eastAsia"/>
          <w:sz w:val="20"/>
          <w:szCs w:val="20"/>
        </w:rPr>
        <w:t>中板冲突时，应在中板位置预留洞口，洞口下方应设置临时支撑平台，支撑平台的强度、刚度、稳定性应满足顶管机组装、拆解、管节顶进工艺要求。</w:t>
      </w:r>
    </w:p>
    <w:p w14:paraId="62D4F713">
      <w:pPr>
        <w:snapToGrid w:val="0"/>
        <w:spacing w:line="288" w:lineRule="auto"/>
        <w:outlineLvl w:val="2"/>
        <w:rPr>
          <w:sz w:val="20"/>
          <w:szCs w:val="20"/>
        </w:rPr>
      </w:pPr>
      <w:r>
        <w:rPr>
          <w:rFonts w:hint="eastAsia"/>
          <w:b/>
          <w:sz w:val="20"/>
          <w:szCs w:val="20"/>
        </w:rPr>
        <w:t>6.</w:t>
      </w:r>
      <w:r>
        <w:rPr>
          <w:b/>
          <w:sz w:val="20"/>
          <w:szCs w:val="20"/>
        </w:rPr>
        <w:t>2</w:t>
      </w:r>
      <w:r>
        <w:rPr>
          <w:rFonts w:hint="eastAsia"/>
          <w:b/>
          <w:sz w:val="20"/>
          <w:szCs w:val="20"/>
        </w:rPr>
        <w:t>.3</w:t>
      </w:r>
      <w:r>
        <w:rPr>
          <w:sz w:val="20"/>
          <w:szCs w:val="20"/>
        </w:rPr>
        <w:t xml:space="preserve">  </w:t>
      </w:r>
      <w:r>
        <w:rPr>
          <w:rFonts w:hint="eastAsia"/>
          <w:sz w:val="20"/>
          <w:szCs w:val="20"/>
        </w:rPr>
        <w:t>车站中板上设置独立的后背墙时，宜采用型钢组合结构，并应在中板上设预埋件，型钢后背墙（架）结构应经计算确定。</w:t>
      </w:r>
    </w:p>
    <w:p w14:paraId="1D0B5054">
      <w:pPr>
        <w:snapToGrid w:val="0"/>
        <w:spacing w:line="288" w:lineRule="auto"/>
        <w:outlineLvl w:val="2"/>
        <w:rPr>
          <w:sz w:val="20"/>
          <w:szCs w:val="20"/>
        </w:rPr>
      </w:pPr>
      <w:r>
        <w:rPr>
          <w:rFonts w:hint="eastAsia"/>
          <w:b/>
          <w:sz w:val="20"/>
          <w:szCs w:val="20"/>
        </w:rPr>
        <w:t>6.</w:t>
      </w:r>
      <w:r>
        <w:rPr>
          <w:b/>
          <w:sz w:val="20"/>
          <w:szCs w:val="20"/>
        </w:rPr>
        <w:t>2</w:t>
      </w:r>
      <w:r>
        <w:rPr>
          <w:rFonts w:hint="eastAsia"/>
          <w:b/>
          <w:sz w:val="20"/>
          <w:szCs w:val="20"/>
        </w:rPr>
        <w:t>.4</w:t>
      </w:r>
      <w:r>
        <w:rPr>
          <w:sz w:val="20"/>
          <w:szCs w:val="20"/>
        </w:rPr>
        <w:t xml:space="preserve">  </w:t>
      </w:r>
      <w:r>
        <w:rPr>
          <w:rFonts w:hint="eastAsia"/>
          <w:sz w:val="20"/>
          <w:szCs w:val="20"/>
        </w:rPr>
        <w:t>工作井紧贴车站结构时，车站结构及围护结构作为顶管后背墙，应由设计核算车站结构安全。</w:t>
      </w:r>
    </w:p>
    <w:p w14:paraId="64D3140D">
      <w:pPr>
        <w:snapToGrid w:val="0"/>
        <w:spacing w:line="288" w:lineRule="auto"/>
        <w:outlineLvl w:val="2"/>
        <w:rPr>
          <w:sz w:val="20"/>
          <w:szCs w:val="20"/>
        </w:rPr>
      </w:pPr>
      <w:r>
        <w:rPr>
          <w:b/>
          <w:sz w:val="20"/>
          <w:szCs w:val="20"/>
        </w:rPr>
        <w:t>6</w:t>
      </w:r>
      <w:r>
        <w:rPr>
          <w:rFonts w:hint="eastAsia"/>
          <w:b/>
          <w:sz w:val="20"/>
          <w:szCs w:val="20"/>
        </w:rPr>
        <w:t>.</w:t>
      </w:r>
      <w:r>
        <w:rPr>
          <w:b/>
          <w:sz w:val="20"/>
          <w:szCs w:val="20"/>
        </w:rPr>
        <w:t>2</w:t>
      </w:r>
      <w:r>
        <w:rPr>
          <w:rFonts w:hint="eastAsia"/>
          <w:b/>
          <w:sz w:val="20"/>
          <w:szCs w:val="20"/>
        </w:rPr>
        <w:t>.5</w:t>
      </w:r>
      <w:r>
        <w:rPr>
          <w:rFonts w:hint="eastAsia"/>
          <w:sz w:val="20"/>
          <w:szCs w:val="20"/>
        </w:rPr>
        <w:t xml:space="preserve"> </w:t>
      </w:r>
      <w:r>
        <w:rPr>
          <w:sz w:val="20"/>
          <w:szCs w:val="20"/>
        </w:rPr>
        <w:t xml:space="preserve"> </w:t>
      </w:r>
      <w:r>
        <w:rPr>
          <w:rFonts w:hint="eastAsia"/>
          <w:sz w:val="20"/>
          <w:szCs w:val="20"/>
        </w:rPr>
        <w:t>顶管始发</w:t>
      </w:r>
      <w:r>
        <w:rPr>
          <w:sz w:val="20"/>
          <w:szCs w:val="20"/>
        </w:rPr>
        <w:t>井</w:t>
      </w:r>
      <w:r>
        <w:rPr>
          <w:rFonts w:hint="eastAsia"/>
          <w:sz w:val="20"/>
          <w:szCs w:val="20"/>
        </w:rPr>
        <w:t>与车站结构之间存在夹层土时，宜对顶管始发井与车站侧墙之间的夹层土体进行加固。</w:t>
      </w:r>
    </w:p>
    <w:p w14:paraId="373381C7">
      <w:pPr>
        <w:snapToGrid w:val="0"/>
        <w:spacing w:line="288" w:lineRule="auto"/>
        <w:outlineLvl w:val="2"/>
        <w:rPr>
          <w:sz w:val="20"/>
          <w:szCs w:val="20"/>
        </w:rPr>
      </w:pPr>
      <w:r>
        <w:rPr>
          <w:b/>
          <w:sz w:val="20"/>
          <w:szCs w:val="20"/>
        </w:rPr>
        <w:t>6</w:t>
      </w:r>
      <w:r>
        <w:rPr>
          <w:rFonts w:hint="eastAsia"/>
          <w:b/>
          <w:sz w:val="20"/>
          <w:szCs w:val="20"/>
        </w:rPr>
        <w:t>.</w:t>
      </w:r>
      <w:r>
        <w:rPr>
          <w:b/>
          <w:sz w:val="20"/>
          <w:szCs w:val="20"/>
        </w:rPr>
        <w:t>2</w:t>
      </w:r>
      <w:r>
        <w:rPr>
          <w:rFonts w:hint="eastAsia"/>
          <w:b/>
          <w:sz w:val="20"/>
          <w:szCs w:val="20"/>
        </w:rPr>
        <w:t>.6</w:t>
      </w:r>
      <w:r>
        <w:rPr>
          <w:rFonts w:hint="eastAsia"/>
          <w:sz w:val="20"/>
          <w:szCs w:val="20"/>
        </w:rPr>
        <w:t xml:space="preserve">  应对车站结构</w:t>
      </w:r>
      <w:r>
        <w:rPr>
          <w:sz w:val="20"/>
          <w:szCs w:val="20"/>
        </w:rPr>
        <w:t>及后背墙</w:t>
      </w:r>
      <w:r>
        <w:rPr>
          <w:rFonts w:hint="eastAsia"/>
          <w:sz w:val="20"/>
          <w:szCs w:val="20"/>
        </w:rPr>
        <w:t>进行变形及</w:t>
      </w:r>
      <w:r>
        <w:rPr>
          <w:sz w:val="20"/>
          <w:szCs w:val="20"/>
        </w:rPr>
        <w:t>受力</w:t>
      </w:r>
      <w:r>
        <w:rPr>
          <w:rFonts w:hint="eastAsia"/>
          <w:sz w:val="20"/>
          <w:szCs w:val="20"/>
        </w:rPr>
        <w:t>实时监测。</w:t>
      </w:r>
      <w:bookmarkStart w:id="323" w:name="_Toc185235651"/>
      <w:bookmarkStart w:id="324" w:name="_Toc188612082"/>
      <w:bookmarkStart w:id="325" w:name="_Toc185236602"/>
    </w:p>
    <w:p w14:paraId="4841D40B">
      <w:pPr>
        <w:pStyle w:val="3"/>
        <w:snapToGrid w:val="0"/>
        <w:spacing w:before="312" w:beforeLines="100" w:after="0" w:line="288" w:lineRule="auto"/>
        <w:jc w:val="center"/>
        <w:rPr>
          <w:rFonts w:ascii="Times New Roman" w:hAnsi="Times New Roman"/>
          <w:sz w:val="20"/>
          <w:szCs w:val="21"/>
        </w:rPr>
      </w:pPr>
      <w:bookmarkStart w:id="326" w:name="_Toc188798553"/>
      <w:r>
        <w:rPr>
          <w:rFonts w:hint="eastAsia" w:ascii="Times New Roman" w:hAnsi="Times New Roman"/>
          <w:sz w:val="20"/>
          <w:szCs w:val="21"/>
        </w:rPr>
        <w:t>6.</w:t>
      </w:r>
      <w:r>
        <w:rPr>
          <w:rFonts w:ascii="Times New Roman" w:hAnsi="Times New Roman"/>
          <w:sz w:val="20"/>
          <w:szCs w:val="21"/>
        </w:rPr>
        <w:t>3</w:t>
      </w:r>
      <w:r>
        <w:rPr>
          <w:rFonts w:hint="eastAsia" w:ascii="Times New Roman" w:hAnsi="Times New Roman"/>
          <w:sz w:val="20"/>
          <w:szCs w:val="21"/>
        </w:rPr>
        <w:t xml:space="preserve">  工作井长度不足</w:t>
      </w:r>
      <w:bookmarkEnd w:id="323"/>
      <w:bookmarkEnd w:id="324"/>
      <w:bookmarkEnd w:id="325"/>
      <w:bookmarkEnd w:id="326"/>
    </w:p>
    <w:p w14:paraId="137167D1">
      <w:pPr>
        <w:snapToGrid w:val="0"/>
        <w:spacing w:line="288" w:lineRule="auto"/>
        <w:outlineLvl w:val="2"/>
        <w:rPr>
          <w:sz w:val="20"/>
          <w:szCs w:val="20"/>
        </w:rPr>
      </w:pPr>
      <w:r>
        <w:rPr>
          <w:rFonts w:hint="eastAsia"/>
          <w:b/>
          <w:sz w:val="20"/>
          <w:szCs w:val="20"/>
        </w:rPr>
        <w:t>6.</w:t>
      </w:r>
      <w:r>
        <w:rPr>
          <w:b/>
          <w:sz w:val="20"/>
          <w:szCs w:val="20"/>
        </w:rPr>
        <w:t>3</w:t>
      </w:r>
      <w:r>
        <w:rPr>
          <w:rFonts w:hint="eastAsia"/>
          <w:b/>
          <w:sz w:val="20"/>
          <w:szCs w:val="20"/>
        </w:rPr>
        <w:t>.</w:t>
      </w:r>
      <w:r>
        <w:rPr>
          <w:b/>
          <w:sz w:val="20"/>
          <w:szCs w:val="20"/>
        </w:rPr>
        <w:t>1</w:t>
      </w:r>
      <w:r>
        <w:rPr>
          <w:sz w:val="20"/>
          <w:szCs w:val="20"/>
        </w:rPr>
        <w:t xml:space="preserve">  </w:t>
      </w:r>
      <w:r>
        <w:rPr>
          <w:rFonts w:hint="eastAsia"/>
          <w:sz w:val="20"/>
          <w:szCs w:val="20"/>
        </w:rPr>
        <w:t>当始发井</w:t>
      </w:r>
      <w:r>
        <w:rPr>
          <w:rFonts w:hint="eastAsia" w:hAnsi="Cambria Math"/>
          <w:bCs/>
          <w:sz w:val="20"/>
          <w:szCs w:val="20"/>
        </w:rPr>
        <w:t>长度不够，</w:t>
      </w:r>
      <w:r>
        <w:rPr>
          <w:rFonts w:hint="eastAsia"/>
          <w:sz w:val="20"/>
          <w:szCs w:val="20"/>
        </w:rPr>
        <w:t>应凿除始发洞口围护结构或在顶进方向暗挖一段隧洞满足顶管组装及顶进要求，</w:t>
      </w:r>
      <w:r>
        <w:rPr>
          <w:sz w:val="20"/>
          <w:szCs w:val="20"/>
        </w:rPr>
        <w:t>应</w:t>
      </w:r>
      <w:r>
        <w:rPr>
          <w:rFonts w:hint="eastAsia"/>
          <w:sz w:val="20"/>
          <w:szCs w:val="20"/>
        </w:rPr>
        <w:t>符合</w:t>
      </w:r>
      <w:r>
        <w:rPr>
          <w:sz w:val="20"/>
          <w:szCs w:val="20"/>
        </w:rPr>
        <w:t>下列规定：</w:t>
      </w:r>
    </w:p>
    <w:p w14:paraId="461C1C38">
      <w:pPr>
        <w:snapToGrid w:val="0"/>
        <w:spacing w:line="288" w:lineRule="auto"/>
        <w:ind w:firstLine="300" w:firstLineChars="150"/>
        <w:rPr>
          <w:rFonts w:hAnsi="Cambria Math"/>
          <w:b/>
          <w:bCs/>
          <w:sz w:val="20"/>
          <w:szCs w:val="20"/>
        </w:rPr>
      </w:pPr>
      <w:r>
        <w:rPr>
          <w:rFonts w:hAnsi="Cambria Math"/>
          <w:b/>
          <w:bCs/>
          <w:sz w:val="20"/>
          <w:szCs w:val="20"/>
        </w:rPr>
        <w:t xml:space="preserve">1 </w:t>
      </w:r>
      <w:r>
        <w:rPr>
          <w:rFonts w:hint="eastAsia" w:hAnsi="Cambria Math"/>
          <w:bCs/>
          <w:sz w:val="20"/>
          <w:szCs w:val="20"/>
        </w:rPr>
        <w:t>隧洞结构断面净尺寸不应大于洞口钢环内轮廓；</w:t>
      </w:r>
    </w:p>
    <w:p w14:paraId="67CECE02">
      <w:pPr>
        <w:snapToGrid w:val="0"/>
        <w:spacing w:line="288" w:lineRule="auto"/>
        <w:ind w:firstLine="300" w:firstLineChars="150"/>
        <w:rPr>
          <w:rFonts w:hAnsi="Cambria Math"/>
          <w:bCs/>
          <w:sz w:val="20"/>
          <w:szCs w:val="20"/>
        </w:rPr>
      </w:pPr>
      <w:r>
        <w:rPr>
          <w:rFonts w:hAnsi="Cambria Math"/>
          <w:b/>
          <w:bCs/>
          <w:sz w:val="20"/>
          <w:szCs w:val="20"/>
        </w:rPr>
        <w:t xml:space="preserve">2 </w:t>
      </w:r>
      <w:r>
        <w:rPr>
          <w:rFonts w:hint="eastAsia" w:hAnsi="Cambria Math"/>
          <w:bCs/>
          <w:sz w:val="20"/>
          <w:szCs w:val="20"/>
        </w:rPr>
        <w:t>长度按照本标准</w:t>
      </w:r>
      <w:r>
        <w:rPr>
          <w:rFonts w:hAnsi="Cambria Math"/>
          <w:bCs/>
          <w:sz w:val="20"/>
          <w:szCs w:val="20"/>
        </w:rPr>
        <w:t>4.5.3</w:t>
      </w:r>
      <w:r>
        <w:rPr>
          <w:rFonts w:hint="eastAsia" w:hAnsi="Cambria Math"/>
          <w:bCs/>
          <w:sz w:val="20"/>
          <w:szCs w:val="20"/>
        </w:rPr>
        <w:t>条计算确定；</w:t>
      </w:r>
    </w:p>
    <w:p w14:paraId="74B0C3AE">
      <w:pPr>
        <w:snapToGrid w:val="0"/>
        <w:spacing w:line="288" w:lineRule="auto"/>
        <w:ind w:firstLine="300" w:firstLineChars="150"/>
        <w:rPr>
          <w:rFonts w:hAnsi="Cambria Math"/>
          <w:b/>
          <w:bCs/>
          <w:sz w:val="20"/>
          <w:szCs w:val="20"/>
        </w:rPr>
      </w:pPr>
      <w:r>
        <w:rPr>
          <w:rFonts w:hAnsi="Cambria Math"/>
          <w:b/>
          <w:bCs/>
          <w:sz w:val="20"/>
          <w:szCs w:val="20"/>
        </w:rPr>
        <w:t xml:space="preserve">3 </w:t>
      </w:r>
      <w:r>
        <w:rPr>
          <w:rFonts w:hint="eastAsia" w:hAnsi="Cambria Math"/>
          <w:bCs/>
          <w:sz w:val="20"/>
          <w:szCs w:val="20"/>
        </w:rPr>
        <w:t>凿除始发洞口围护结构后应保证洞口安全，防止坍塌。</w:t>
      </w:r>
    </w:p>
    <w:p w14:paraId="33B9549D">
      <w:pPr>
        <w:snapToGrid w:val="0"/>
        <w:spacing w:line="288" w:lineRule="auto"/>
        <w:outlineLvl w:val="2"/>
        <w:rPr>
          <w:sz w:val="20"/>
          <w:szCs w:val="20"/>
        </w:rPr>
      </w:pPr>
      <w:r>
        <w:rPr>
          <w:rFonts w:hint="eastAsia"/>
          <w:b/>
          <w:sz w:val="20"/>
          <w:szCs w:val="20"/>
        </w:rPr>
        <w:t>6.</w:t>
      </w:r>
      <w:r>
        <w:rPr>
          <w:b/>
          <w:sz w:val="20"/>
          <w:szCs w:val="20"/>
        </w:rPr>
        <w:t>3</w:t>
      </w:r>
      <w:r>
        <w:rPr>
          <w:rFonts w:hint="eastAsia"/>
          <w:b/>
          <w:sz w:val="20"/>
          <w:szCs w:val="20"/>
        </w:rPr>
        <w:t>.</w:t>
      </w:r>
      <w:r>
        <w:rPr>
          <w:b/>
          <w:sz w:val="20"/>
          <w:szCs w:val="20"/>
        </w:rPr>
        <w:t>2</w:t>
      </w:r>
      <w:r>
        <w:rPr>
          <w:sz w:val="20"/>
          <w:szCs w:val="20"/>
        </w:rPr>
        <w:t xml:space="preserve">  </w:t>
      </w:r>
      <w:r>
        <w:rPr>
          <w:rFonts w:hint="eastAsia"/>
          <w:sz w:val="20"/>
          <w:szCs w:val="20"/>
        </w:rPr>
        <w:t>洞口加固范围及强度应根据隧洞断面尺寸由设计计算确定，施工工艺应根据工程条件合理选择。</w:t>
      </w:r>
      <w:bookmarkStart w:id="327" w:name="OLE_LINK10"/>
      <w:bookmarkStart w:id="328" w:name="OLE_LINK9"/>
    </w:p>
    <w:p w14:paraId="447BAD2D">
      <w:pPr>
        <w:snapToGrid w:val="0"/>
        <w:spacing w:line="288" w:lineRule="auto"/>
        <w:outlineLvl w:val="2"/>
        <w:rPr>
          <w:sz w:val="20"/>
          <w:szCs w:val="20"/>
        </w:rPr>
      </w:pPr>
      <w:r>
        <w:rPr>
          <w:b/>
          <w:sz w:val="20"/>
          <w:szCs w:val="20"/>
        </w:rPr>
        <w:t>6.3.3</w:t>
      </w:r>
      <w:r>
        <w:rPr>
          <w:sz w:val="20"/>
          <w:szCs w:val="20"/>
        </w:rPr>
        <w:t xml:space="preserve">  </w:t>
      </w:r>
      <w:bookmarkEnd w:id="327"/>
      <w:bookmarkEnd w:id="328"/>
      <w:r>
        <w:rPr>
          <w:rFonts w:hint="eastAsia"/>
          <w:sz w:val="20"/>
          <w:szCs w:val="20"/>
        </w:rPr>
        <w:t>接收井长度不足时，在顶管机机壳完全脱出洞口止水密封装置后，可采用边拆边顶的方式拆解顶管机。</w:t>
      </w:r>
    </w:p>
    <w:p w14:paraId="14C985C3">
      <w:pPr>
        <w:pStyle w:val="3"/>
        <w:snapToGrid w:val="0"/>
        <w:spacing w:before="312" w:beforeLines="100" w:after="0" w:line="288" w:lineRule="auto"/>
        <w:jc w:val="center"/>
        <w:rPr>
          <w:rFonts w:ascii="Times New Roman" w:hAnsi="Times New Roman"/>
          <w:sz w:val="20"/>
          <w:szCs w:val="21"/>
        </w:rPr>
      </w:pPr>
      <w:bookmarkStart w:id="329" w:name="_Toc188798554"/>
      <w:bookmarkStart w:id="330" w:name="_Toc185236603"/>
      <w:bookmarkStart w:id="331" w:name="_Toc188612083"/>
      <w:bookmarkStart w:id="332" w:name="_Toc185235652"/>
      <w:r>
        <w:rPr>
          <w:rFonts w:hint="eastAsia" w:ascii="Times New Roman" w:hAnsi="Times New Roman"/>
          <w:sz w:val="20"/>
          <w:szCs w:val="21"/>
        </w:rPr>
        <w:t>6.</w:t>
      </w:r>
      <w:r>
        <w:rPr>
          <w:rFonts w:ascii="Times New Roman" w:hAnsi="Times New Roman"/>
          <w:sz w:val="20"/>
          <w:szCs w:val="21"/>
        </w:rPr>
        <w:t xml:space="preserve">4 </w:t>
      </w:r>
      <w:r>
        <w:rPr>
          <w:rFonts w:hint="eastAsia" w:ascii="Times New Roman" w:hAnsi="Times New Roman"/>
          <w:sz w:val="20"/>
          <w:szCs w:val="21"/>
        </w:rPr>
        <w:t xml:space="preserve"> 弃壳</w:t>
      </w:r>
      <w:bookmarkEnd w:id="329"/>
      <w:bookmarkEnd w:id="330"/>
      <w:bookmarkEnd w:id="331"/>
      <w:bookmarkEnd w:id="332"/>
    </w:p>
    <w:p w14:paraId="7BF3DB22">
      <w:pPr>
        <w:snapToGrid w:val="0"/>
        <w:spacing w:line="288" w:lineRule="auto"/>
        <w:outlineLvl w:val="2"/>
        <w:rPr>
          <w:sz w:val="20"/>
          <w:szCs w:val="20"/>
        </w:rPr>
      </w:pPr>
      <w:r>
        <w:rPr>
          <w:rFonts w:hint="eastAsia"/>
          <w:b/>
          <w:sz w:val="20"/>
          <w:szCs w:val="20"/>
        </w:rPr>
        <w:t>6.</w:t>
      </w:r>
      <w:r>
        <w:rPr>
          <w:b/>
          <w:sz w:val="20"/>
          <w:szCs w:val="20"/>
        </w:rPr>
        <w:t>4</w:t>
      </w:r>
      <w:r>
        <w:rPr>
          <w:rFonts w:hint="eastAsia"/>
          <w:b/>
          <w:sz w:val="20"/>
          <w:szCs w:val="20"/>
        </w:rPr>
        <w:t>.</w:t>
      </w:r>
      <w:r>
        <w:rPr>
          <w:b/>
          <w:sz w:val="20"/>
          <w:szCs w:val="20"/>
        </w:rPr>
        <w:t>1</w:t>
      </w:r>
      <w:r>
        <w:rPr>
          <w:sz w:val="20"/>
          <w:szCs w:val="20"/>
        </w:rPr>
        <w:t xml:space="preserve">  </w:t>
      </w:r>
      <w:r>
        <w:rPr>
          <w:rFonts w:hint="eastAsia"/>
          <w:sz w:val="20"/>
          <w:szCs w:val="20"/>
        </w:rPr>
        <w:t>采用弃壳方案时，顶管机设计应考虑洞内拆解小空间作业条件。</w:t>
      </w:r>
    </w:p>
    <w:p w14:paraId="517EDDE8">
      <w:pPr>
        <w:snapToGrid w:val="0"/>
        <w:spacing w:line="288" w:lineRule="auto"/>
        <w:outlineLvl w:val="2"/>
        <w:rPr>
          <w:sz w:val="20"/>
          <w:szCs w:val="20"/>
        </w:rPr>
      </w:pPr>
      <w:r>
        <w:rPr>
          <w:rFonts w:hint="eastAsia"/>
          <w:b/>
          <w:sz w:val="20"/>
          <w:szCs w:val="20"/>
        </w:rPr>
        <w:t>6.</w:t>
      </w:r>
      <w:r>
        <w:rPr>
          <w:b/>
          <w:sz w:val="20"/>
          <w:szCs w:val="20"/>
        </w:rPr>
        <w:t>4</w:t>
      </w:r>
      <w:r>
        <w:rPr>
          <w:rFonts w:hint="eastAsia"/>
          <w:b/>
          <w:sz w:val="20"/>
          <w:szCs w:val="20"/>
        </w:rPr>
        <w:t>.</w:t>
      </w:r>
      <w:r>
        <w:rPr>
          <w:b/>
          <w:sz w:val="20"/>
          <w:szCs w:val="20"/>
        </w:rPr>
        <w:t>2</w:t>
      </w:r>
      <w:r>
        <w:rPr>
          <w:sz w:val="20"/>
          <w:szCs w:val="20"/>
        </w:rPr>
        <w:t xml:space="preserve">  </w:t>
      </w:r>
      <w:r>
        <w:rPr>
          <w:rFonts w:hint="eastAsia"/>
          <w:sz w:val="20"/>
          <w:szCs w:val="20"/>
        </w:rPr>
        <w:t>顶管与既有结构连通时，应对顶管机与既有结构之间的土体进行加固，且加固效果满足设计要求。</w:t>
      </w:r>
    </w:p>
    <w:p w14:paraId="15CB73FD">
      <w:pPr>
        <w:snapToGrid w:val="0"/>
        <w:spacing w:line="288" w:lineRule="auto"/>
        <w:outlineLvl w:val="2"/>
        <w:rPr>
          <w:sz w:val="20"/>
          <w:szCs w:val="20"/>
        </w:rPr>
      </w:pPr>
      <w:r>
        <w:rPr>
          <w:rFonts w:hint="eastAsia"/>
          <w:b/>
          <w:sz w:val="20"/>
          <w:szCs w:val="20"/>
        </w:rPr>
        <w:t>6.</w:t>
      </w:r>
      <w:r>
        <w:rPr>
          <w:b/>
          <w:sz w:val="20"/>
          <w:szCs w:val="20"/>
        </w:rPr>
        <w:t>4</w:t>
      </w:r>
      <w:r>
        <w:rPr>
          <w:rFonts w:hint="eastAsia"/>
          <w:b/>
          <w:sz w:val="20"/>
          <w:szCs w:val="20"/>
        </w:rPr>
        <w:t>.</w:t>
      </w:r>
      <w:r>
        <w:rPr>
          <w:b/>
          <w:sz w:val="20"/>
          <w:szCs w:val="20"/>
        </w:rPr>
        <w:t>3</w:t>
      </w:r>
      <w:r>
        <w:rPr>
          <w:sz w:val="20"/>
          <w:szCs w:val="20"/>
        </w:rPr>
        <w:t xml:space="preserve">  </w:t>
      </w:r>
      <w:r>
        <w:rPr>
          <w:rFonts w:hint="eastAsia"/>
          <w:sz w:val="20"/>
          <w:szCs w:val="20"/>
        </w:rPr>
        <w:t>顶管与既有结构不连通时，顶管机顶推到位后，土仓内注水泥浆，转动刀盘搅拌均匀，固化土仓内土体，顶管机面板应成为结构的封端可不拆除。</w:t>
      </w:r>
    </w:p>
    <w:p w14:paraId="024EF304">
      <w:pPr>
        <w:snapToGrid w:val="0"/>
        <w:spacing w:line="288" w:lineRule="auto"/>
        <w:outlineLvl w:val="2"/>
        <w:rPr>
          <w:sz w:val="20"/>
          <w:szCs w:val="20"/>
        </w:rPr>
      </w:pPr>
      <w:r>
        <w:rPr>
          <w:rFonts w:hint="eastAsia"/>
          <w:b/>
          <w:sz w:val="20"/>
          <w:szCs w:val="20"/>
        </w:rPr>
        <w:t>6.</w:t>
      </w:r>
      <w:r>
        <w:rPr>
          <w:b/>
          <w:sz w:val="20"/>
          <w:szCs w:val="20"/>
        </w:rPr>
        <w:t>4</w:t>
      </w:r>
      <w:r>
        <w:rPr>
          <w:rFonts w:hint="eastAsia"/>
          <w:b/>
          <w:sz w:val="20"/>
          <w:szCs w:val="20"/>
        </w:rPr>
        <w:t>.</w:t>
      </w:r>
      <w:r>
        <w:rPr>
          <w:b/>
          <w:sz w:val="20"/>
          <w:szCs w:val="20"/>
        </w:rPr>
        <w:t>4</w:t>
      </w:r>
      <w:r>
        <w:rPr>
          <w:sz w:val="20"/>
          <w:szCs w:val="20"/>
        </w:rPr>
        <w:t xml:space="preserve">  </w:t>
      </w:r>
      <w:r>
        <w:rPr>
          <w:rFonts w:hint="eastAsia"/>
          <w:sz w:val="20"/>
          <w:szCs w:val="20"/>
        </w:rPr>
        <w:t>顶管机弃壳拆解后，留置在土层中的钢壳强度不能满足受力要求，需采取机壳上设置加强肋板或架设支撑立柱的加固措施，支撑立柱在弃壳段内衬混凝土达到设计强度后方可拆除。</w:t>
      </w:r>
    </w:p>
    <w:p w14:paraId="347A0B78">
      <w:pPr>
        <w:snapToGrid w:val="0"/>
        <w:spacing w:line="288" w:lineRule="auto"/>
        <w:outlineLvl w:val="2"/>
        <w:rPr>
          <w:sz w:val="20"/>
          <w:szCs w:val="20"/>
        </w:rPr>
      </w:pPr>
      <w:r>
        <w:rPr>
          <w:rFonts w:hint="eastAsia"/>
          <w:b/>
          <w:sz w:val="20"/>
          <w:szCs w:val="20"/>
        </w:rPr>
        <w:t>6.</w:t>
      </w:r>
      <w:r>
        <w:rPr>
          <w:b/>
          <w:sz w:val="20"/>
          <w:szCs w:val="20"/>
        </w:rPr>
        <w:t>4</w:t>
      </w:r>
      <w:r>
        <w:rPr>
          <w:rFonts w:hint="eastAsia"/>
          <w:b/>
          <w:sz w:val="20"/>
          <w:szCs w:val="20"/>
        </w:rPr>
        <w:t>.</w:t>
      </w:r>
      <w:r>
        <w:rPr>
          <w:b/>
          <w:sz w:val="20"/>
          <w:szCs w:val="20"/>
        </w:rPr>
        <w:t>5</w:t>
      </w:r>
      <w:r>
        <w:rPr>
          <w:sz w:val="20"/>
          <w:szCs w:val="20"/>
        </w:rPr>
        <w:t xml:space="preserve">  </w:t>
      </w:r>
      <w:r>
        <w:rPr>
          <w:rFonts w:hint="eastAsia"/>
          <w:sz w:val="20"/>
          <w:szCs w:val="20"/>
        </w:rPr>
        <w:t>泥浆置换完成后依次拆解顶管机内部构件，拆解的构件退运至工作井吊出，剩余顶管机外壳留置在土体中作为弃壳段初期支护。</w:t>
      </w:r>
    </w:p>
    <w:p w14:paraId="53BE4BFA">
      <w:pPr>
        <w:pStyle w:val="3"/>
        <w:snapToGrid w:val="0"/>
        <w:spacing w:before="312" w:beforeLines="100" w:after="0" w:line="288" w:lineRule="auto"/>
        <w:jc w:val="center"/>
        <w:rPr>
          <w:rFonts w:ascii="Times New Roman" w:hAnsi="Times New Roman"/>
          <w:sz w:val="20"/>
          <w:szCs w:val="21"/>
        </w:rPr>
      </w:pPr>
      <w:bookmarkStart w:id="333" w:name="_Toc188612084"/>
      <w:bookmarkStart w:id="334" w:name="_Toc188798555"/>
      <w:bookmarkStart w:id="335" w:name="_Toc185236604"/>
      <w:bookmarkStart w:id="336" w:name="_Toc185235653"/>
      <w:r>
        <w:rPr>
          <w:rFonts w:hint="eastAsia" w:ascii="Times New Roman" w:hAnsi="Times New Roman"/>
          <w:sz w:val="20"/>
          <w:szCs w:val="21"/>
        </w:rPr>
        <w:t>6.</w:t>
      </w:r>
      <w:r>
        <w:rPr>
          <w:rFonts w:ascii="Times New Roman" w:hAnsi="Times New Roman"/>
          <w:sz w:val="20"/>
          <w:szCs w:val="21"/>
        </w:rPr>
        <w:t xml:space="preserve">5 </w:t>
      </w:r>
      <w:r>
        <w:rPr>
          <w:rFonts w:hint="eastAsia" w:ascii="Times New Roman" w:hAnsi="Times New Roman"/>
          <w:sz w:val="20"/>
          <w:szCs w:val="21"/>
        </w:rPr>
        <w:t xml:space="preserve"> 钢套筒接收及过井</w:t>
      </w:r>
      <w:bookmarkEnd w:id="333"/>
      <w:bookmarkEnd w:id="334"/>
      <w:bookmarkEnd w:id="335"/>
      <w:bookmarkEnd w:id="336"/>
    </w:p>
    <w:p w14:paraId="2968E1E6">
      <w:pPr>
        <w:snapToGrid w:val="0"/>
        <w:spacing w:line="288" w:lineRule="auto"/>
        <w:outlineLvl w:val="2"/>
        <w:rPr>
          <w:sz w:val="20"/>
          <w:szCs w:val="20"/>
        </w:rPr>
      </w:pPr>
      <w:r>
        <w:rPr>
          <w:rFonts w:hint="eastAsia"/>
          <w:b/>
          <w:sz w:val="20"/>
          <w:szCs w:val="20"/>
        </w:rPr>
        <w:t>6</w:t>
      </w:r>
      <w:r>
        <w:rPr>
          <w:b/>
          <w:sz w:val="20"/>
          <w:szCs w:val="20"/>
        </w:rPr>
        <w:t>.5.1</w:t>
      </w:r>
      <w:r>
        <w:rPr>
          <w:sz w:val="20"/>
          <w:szCs w:val="20"/>
        </w:rPr>
        <w:t xml:space="preserve"> </w:t>
      </w:r>
      <w:r>
        <w:rPr>
          <w:rFonts w:hint="eastAsia"/>
          <w:sz w:val="20"/>
          <w:szCs w:val="20"/>
        </w:rPr>
        <w:t xml:space="preserve"> 钢套筒接收应符合下列规定：</w:t>
      </w:r>
    </w:p>
    <w:p w14:paraId="755BF114">
      <w:pPr>
        <w:snapToGrid w:val="0"/>
        <w:spacing w:line="288" w:lineRule="auto"/>
        <w:ind w:firstLine="300" w:firstLineChars="150"/>
        <w:rPr>
          <w:rFonts w:ascii="Cambria Math" w:hAnsi="Cambria Math" w:cs="Cambria Math"/>
          <w:kern w:val="0"/>
          <w:sz w:val="20"/>
          <w:szCs w:val="20"/>
          <w:lang w:bidi="ar"/>
        </w:rPr>
      </w:pPr>
      <w:r>
        <w:rPr>
          <w:b/>
          <w:sz w:val="20"/>
          <w:szCs w:val="20"/>
        </w:rPr>
        <w:t>1</w:t>
      </w:r>
      <w:r>
        <w:rPr>
          <w:rFonts w:hint="eastAsia"/>
          <w:sz w:val="20"/>
          <w:szCs w:val="20"/>
        </w:rPr>
        <w:t xml:space="preserve"> 钢套筒基础应满足承载力要求，钢套筒安装时应按照结构轴线进行定位；</w:t>
      </w:r>
    </w:p>
    <w:p w14:paraId="1C888879">
      <w:pPr>
        <w:snapToGrid w:val="0"/>
        <w:spacing w:line="288" w:lineRule="auto"/>
        <w:ind w:firstLine="300" w:firstLineChars="150"/>
        <w:rPr>
          <w:sz w:val="20"/>
          <w:szCs w:val="20"/>
        </w:rPr>
      </w:pPr>
      <w:r>
        <w:rPr>
          <w:b/>
          <w:sz w:val="20"/>
          <w:szCs w:val="20"/>
        </w:rPr>
        <w:t>2</w:t>
      </w:r>
      <w:r>
        <w:rPr>
          <w:sz w:val="20"/>
          <w:szCs w:val="20"/>
        </w:rPr>
        <w:t xml:space="preserve"> </w:t>
      </w:r>
      <w:r>
        <w:rPr>
          <w:rFonts w:hint="eastAsia"/>
          <w:sz w:val="20"/>
          <w:szCs w:val="20"/>
        </w:rPr>
        <w:t>钢套筒应与洞门钢环连接固定，采用焊接的应对焊缝质量进行检测；采用螺栓连接的应保证连接螺栓数量符合要求；</w:t>
      </w:r>
    </w:p>
    <w:p w14:paraId="0C8679EB">
      <w:pPr>
        <w:snapToGrid w:val="0"/>
        <w:spacing w:line="288" w:lineRule="auto"/>
        <w:ind w:firstLine="300" w:firstLineChars="150"/>
        <w:rPr>
          <w:sz w:val="20"/>
          <w:szCs w:val="20"/>
        </w:rPr>
      </w:pPr>
      <w:r>
        <w:rPr>
          <w:b/>
          <w:sz w:val="20"/>
          <w:szCs w:val="20"/>
        </w:rPr>
        <w:t>3</w:t>
      </w:r>
      <w:r>
        <w:rPr>
          <w:sz w:val="20"/>
          <w:szCs w:val="20"/>
        </w:rPr>
        <w:t xml:space="preserve"> </w:t>
      </w:r>
      <w:r>
        <w:rPr>
          <w:rFonts w:hint="eastAsia"/>
          <w:sz w:val="20"/>
          <w:szCs w:val="20"/>
        </w:rPr>
        <w:t>钢套筒侧面应固定，端面应设置反力支撑；</w:t>
      </w:r>
    </w:p>
    <w:p w14:paraId="550B2856">
      <w:pPr>
        <w:snapToGrid w:val="0"/>
        <w:spacing w:line="288" w:lineRule="auto"/>
        <w:ind w:firstLine="300" w:firstLineChars="150"/>
        <w:rPr>
          <w:sz w:val="20"/>
          <w:szCs w:val="20"/>
        </w:rPr>
      </w:pPr>
      <w:r>
        <w:rPr>
          <w:rFonts w:hint="eastAsia"/>
          <w:b/>
          <w:sz w:val="20"/>
          <w:szCs w:val="20"/>
        </w:rPr>
        <w:t>4</w:t>
      </w:r>
      <w:r>
        <w:rPr>
          <w:sz w:val="20"/>
          <w:szCs w:val="20"/>
        </w:rPr>
        <w:t xml:space="preserve"> </w:t>
      </w:r>
      <w:r>
        <w:rPr>
          <w:rFonts w:hint="eastAsia"/>
          <w:sz w:val="20"/>
          <w:szCs w:val="20"/>
        </w:rPr>
        <w:t>钢套筒内应设置导轨，导轨高程应根据顶管机姿态确定；</w:t>
      </w:r>
    </w:p>
    <w:p w14:paraId="6295B89D">
      <w:pPr>
        <w:snapToGrid w:val="0"/>
        <w:spacing w:line="288" w:lineRule="auto"/>
        <w:ind w:firstLine="300" w:firstLineChars="150"/>
        <w:rPr>
          <w:sz w:val="20"/>
          <w:szCs w:val="20"/>
        </w:rPr>
      </w:pPr>
      <w:r>
        <w:rPr>
          <w:b/>
          <w:sz w:val="20"/>
          <w:szCs w:val="20"/>
        </w:rPr>
        <w:t>5</w:t>
      </w:r>
      <w:r>
        <w:rPr>
          <w:sz w:val="20"/>
          <w:szCs w:val="20"/>
        </w:rPr>
        <w:t xml:space="preserve"> </w:t>
      </w:r>
      <w:r>
        <w:rPr>
          <w:rFonts w:hint="eastAsia"/>
          <w:sz w:val="20"/>
          <w:szCs w:val="20"/>
        </w:rPr>
        <w:t>分层凿除洞门，分层回填密实，回填料宜采用粘性土，及时安装钢套筒上半部分，并通过钢套筒上方的注入口充填密实；</w:t>
      </w:r>
    </w:p>
    <w:p w14:paraId="26A2077B">
      <w:pPr>
        <w:snapToGrid w:val="0"/>
        <w:spacing w:line="288" w:lineRule="auto"/>
        <w:ind w:firstLine="300" w:firstLineChars="150"/>
        <w:rPr>
          <w:rFonts w:ascii="Cambria Math" w:hAnsi="Cambria Math" w:cs="Cambria Math"/>
          <w:kern w:val="0"/>
          <w:sz w:val="20"/>
          <w:szCs w:val="20"/>
          <w:lang w:bidi="ar"/>
        </w:rPr>
      </w:pPr>
      <w:r>
        <w:rPr>
          <w:b/>
          <w:sz w:val="20"/>
          <w:szCs w:val="20"/>
        </w:rPr>
        <w:t>6</w:t>
      </w:r>
      <w:r>
        <w:rPr>
          <w:rFonts w:ascii="Cambria Math" w:hAnsi="Cambria Math" w:eastAsia="Cambria Math" w:cs="Cambria Math"/>
          <w:b/>
          <w:bCs/>
          <w:kern w:val="0"/>
          <w:sz w:val="20"/>
          <w:szCs w:val="20"/>
          <w:lang w:bidi="ar"/>
        </w:rPr>
        <w:t xml:space="preserve"> </w:t>
      </w:r>
      <w:r>
        <w:rPr>
          <w:rFonts w:hint="eastAsia" w:ascii="Cambria Math" w:hAnsi="Cambria Math" w:cs="Cambria Math"/>
          <w:kern w:val="0"/>
          <w:sz w:val="20"/>
          <w:szCs w:val="20"/>
          <w:lang w:bidi="ar"/>
        </w:rPr>
        <w:t>钢套筒安装完成后应进行渗漏及</w:t>
      </w:r>
      <w:r>
        <w:rPr>
          <w:rFonts w:ascii="Cambria Math" w:hAnsi="Cambria Math" w:cs="Cambria Math"/>
          <w:kern w:val="0"/>
          <w:sz w:val="20"/>
          <w:szCs w:val="20"/>
          <w:lang w:bidi="ar"/>
        </w:rPr>
        <w:t>变形</w:t>
      </w:r>
      <w:r>
        <w:rPr>
          <w:rFonts w:hint="eastAsia" w:ascii="Cambria Math" w:hAnsi="Cambria Math" w:cs="Cambria Math"/>
          <w:kern w:val="0"/>
          <w:sz w:val="20"/>
          <w:szCs w:val="20"/>
          <w:lang w:bidi="ar"/>
        </w:rPr>
        <w:t>检测。渗漏</w:t>
      </w:r>
      <w:r>
        <w:rPr>
          <w:rFonts w:ascii="Cambria Math" w:hAnsi="Cambria Math" w:cs="Cambria Math"/>
          <w:kern w:val="0"/>
          <w:sz w:val="20"/>
          <w:szCs w:val="20"/>
          <w:lang w:bidi="ar"/>
        </w:rPr>
        <w:t>检测</w:t>
      </w:r>
      <w:r>
        <w:rPr>
          <w:rFonts w:hint="eastAsia" w:ascii="Cambria Math" w:hAnsi="Cambria Math" w:cs="Cambria Math"/>
          <w:kern w:val="0"/>
          <w:sz w:val="20"/>
          <w:szCs w:val="20"/>
          <w:lang w:bidi="ar"/>
        </w:rPr>
        <w:t>压力不低于接收段水土压力；洞口环板与钢套筒的连接位置允许变形量为</w:t>
      </w:r>
      <w:r>
        <w:rPr>
          <w:kern w:val="0"/>
          <w:sz w:val="20"/>
          <w:szCs w:val="20"/>
          <w:lang w:bidi="ar"/>
        </w:rPr>
        <w:t>2mm，筒体允许变形量为5mm</w:t>
      </w:r>
      <w:r>
        <w:rPr>
          <w:rFonts w:hint="eastAsia" w:ascii="Cambria Math" w:hAnsi="Cambria Math" w:cs="Cambria Math"/>
          <w:kern w:val="0"/>
          <w:sz w:val="20"/>
          <w:szCs w:val="20"/>
          <w:lang w:bidi="ar"/>
        </w:rPr>
        <w:t>；</w:t>
      </w:r>
    </w:p>
    <w:p w14:paraId="381858F9">
      <w:pPr>
        <w:snapToGrid w:val="0"/>
        <w:spacing w:line="288" w:lineRule="auto"/>
        <w:ind w:firstLine="300" w:firstLineChars="150"/>
        <w:rPr>
          <w:rFonts w:ascii="Cambria Math" w:hAnsi="Cambria Math" w:cs="Cambria Math"/>
          <w:kern w:val="0"/>
          <w:sz w:val="20"/>
          <w:szCs w:val="20"/>
          <w:lang w:bidi="ar"/>
        </w:rPr>
      </w:pPr>
      <w:r>
        <w:rPr>
          <w:b/>
          <w:sz w:val="20"/>
          <w:szCs w:val="20"/>
        </w:rPr>
        <w:t>7</w:t>
      </w:r>
      <w:r>
        <w:rPr>
          <w:rFonts w:ascii="Cambria Math" w:hAnsi="Cambria Math" w:eastAsia="Cambria Math" w:cs="Cambria Math"/>
          <w:b/>
          <w:bCs/>
          <w:kern w:val="0"/>
          <w:sz w:val="20"/>
          <w:szCs w:val="20"/>
          <w:lang w:bidi="ar"/>
        </w:rPr>
        <w:t xml:space="preserve"> </w:t>
      </w:r>
      <w:r>
        <w:rPr>
          <w:rFonts w:hint="eastAsia" w:ascii="Cambria Math" w:hAnsi="Cambria Math" w:cs="Cambria Math"/>
          <w:kern w:val="0"/>
          <w:sz w:val="20"/>
          <w:szCs w:val="20"/>
          <w:lang w:bidi="ar"/>
        </w:rPr>
        <w:t>顶管机在钢套筒内顶进，推速宜小于</w:t>
      </w:r>
      <w:r>
        <w:rPr>
          <w:kern w:val="0"/>
          <w:sz w:val="20"/>
          <w:szCs w:val="20"/>
          <w:lang w:bidi="ar"/>
        </w:rPr>
        <w:t>5mm/min</w:t>
      </w:r>
      <w:r>
        <w:rPr>
          <w:rFonts w:hint="eastAsia" w:ascii="Cambria Math" w:hAnsi="Cambria Math" w:cs="Cambria Math"/>
          <w:kern w:val="0"/>
          <w:sz w:val="20"/>
          <w:szCs w:val="20"/>
          <w:lang w:bidi="ar"/>
        </w:rPr>
        <w:t xml:space="preserve">；顶进过程中，一旦发现套筒变形量超限或渗漏时，应立即停止顶进，及时采取补救措施； </w:t>
      </w:r>
    </w:p>
    <w:p w14:paraId="19D64C22">
      <w:pPr>
        <w:snapToGrid w:val="0"/>
        <w:spacing w:line="288" w:lineRule="auto"/>
        <w:ind w:firstLine="300" w:firstLineChars="150"/>
        <w:rPr>
          <w:sz w:val="20"/>
          <w:szCs w:val="20"/>
        </w:rPr>
      </w:pPr>
      <w:r>
        <w:rPr>
          <w:b/>
          <w:sz w:val="20"/>
          <w:szCs w:val="20"/>
        </w:rPr>
        <w:t xml:space="preserve">8 </w:t>
      </w:r>
      <w:r>
        <w:rPr>
          <w:rFonts w:hint="eastAsia" w:ascii="Cambria Math" w:hAnsi="Cambria Math" w:cs="Cambria Math"/>
          <w:kern w:val="0"/>
          <w:sz w:val="20"/>
          <w:szCs w:val="20"/>
          <w:lang w:bidi="ar"/>
        </w:rPr>
        <w:t xml:space="preserve">根据钢套筒顶部安装的压力表读数，及时调整顶进压力； </w:t>
      </w:r>
    </w:p>
    <w:p w14:paraId="086AD5AA">
      <w:pPr>
        <w:snapToGrid w:val="0"/>
        <w:spacing w:line="288" w:lineRule="auto"/>
        <w:ind w:firstLine="300" w:firstLineChars="150"/>
        <w:rPr>
          <w:sz w:val="20"/>
          <w:szCs w:val="20"/>
        </w:rPr>
      </w:pPr>
      <w:r>
        <w:rPr>
          <w:b/>
          <w:sz w:val="20"/>
          <w:szCs w:val="20"/>
        </w:rPr>
        <w:t>9</w:t>
      </w:r>
      <w:r>
        <w:rPr>
          <w:rFonts w:ascii="Cambria Math" w:hAnsi="Cambria Math" w:eastAsia="Cambria Math" w:cs="Cambria Math"/>
          <w:b/>
          <w:bCs/>
          <w:kern w:val="0"/>
          <w:sz w:val="20"/>
          <w:szCs w:val="20"/>
          <w:lang w:bidi="ar"/>
        </w:rPr>
        <w:t xml:space="preserve"> </w:t>
      </w:r>
      <w:r>
        <w:rPr>
          <w:rFonts w:hint="eastAsia" w:ascii="Cambria Math" w:hAnsi="Cambria Math" w:cs="Cambria Math"/>
          <w:kern w:val="0"/>
          <w:sz w:val="20"/>
          <w:szCs w:val="20"/>
          <w:lang w:bidi="ar"/>
        </w:rPr>
        <w:t>进入钢</w:t>
      </w:r>
      <w:r>
        <w:rPr>
          <w:rFonts w:hint="eastAsia"/>
          <w:sz w:val="20"/>
          <w:szCs w:val="20"/>
        </w:rPr>
        <w:t>套筒</w:t>
      </w:r>
      <w:r>
        <w:rPr>
          <w:rFonts w:hint="eastAsia" w:ascii="Cambria Math" w:hAnsi="Cambria Math" w:cs="Cambria Math"/>
          <w:kern w:val="0"/>
          <w:sz w:val="20"/>
          <w:szCs w:val="20"/>
          <w:lang w:bidi="ar"/>
        </w:rPr>
        <w:t>内顶管机中心线偏差控制在±</w:t>
      </w:r>
      <w:r>
        <w:rPr>
          <w:kern w:val="0"/>
          <w:sz w:val="20"/>
          <w:szCs w:val="20"/>
          <w:lang w:bidi="ar"/>
        </w:rPr>
        <w:t>20mm</w:t>
      </w:r>
      <w:r>
        <w:rPr>
          <w:rFonts w:hint="eastAsia" w:ascii="Cambria Math" w:hAnsi="Cambria Math" w:cs="Cambria Math"/>
          <w:kern w:val="0"/>
          <w:sz w:val="20"/>
          <w:szCs w:val="20"/>
          <w:lang w:bidi="ar"/>
        </w:rPr>
        <w:t xml:space="preserve">之内； </w:t>
      </w:r>
    </w:p>
    <w:p w14:paraId="33755570">
      <w:pPr>
        <w:snapToGrid w:val="0"/>
        <w:spacing w:line="288" w:lineRule="auto"/>
        <w:ind w:firstLine="300" w:firstLineChars="150"/>
        <w:rPr>
          <w:sz w:val="20"/>
          <w:szCs w:val="20"/>
        </w:rPr>
      </w:pPr>
      <w:r>
        <w:rPr>
          <w:b/>
          <w:sz w:val="20"/>
          <w:szCs w:val="20"/>
        </w:rPr>
        <w:t xml:space="preserve">10 </w:t>
      </w:r>
      <w:r>
        <w:rPr>
          <w:rFonts w:hint="eastAsia" w:ascii="Cambria Math" w:hAnsi="Cambria Math" w:cs="Cambria Math"/>
          <w:kern w:val="0"/>
          <w:sz w:val="20"/>
          <w:szCs w:val="20"/>
          <w:lang w:bidi="ar"/>
        </w:rPr>
        <w:t>完成泥浆</w:t>
      </w:r>
      <w:r>
        <w:rPr>
          <w:rFonts w:hint="eastAsia"/>
          <w:sz w:val="20"/>
          <w:szCs w:val="20"/>
        </w:rPr>
        <w:t>置换</w:t>
      </w:r>
      <w:r>
        <w:rPr>
          <w:rFonts w:hint="eastAsia" w:ascii="Cambria Math" w:hAnsi="Cambria Math" w:cs="Cambria Math"/>
          <w:kern w:val="0"/>
          <w:sz w:val="20"/>
          <w:szCs w:val="20"/>
          <w:lang w:bidi="ar"/>
        </w:rPr>
        <w:t>后方可拆除钢套筒。</w:t>
      </w:r>
    </w:p>
    <w:p w14:paraId="21FF35ED">
      <w:pPr>
        <w:snapToGrid w:val="0"/>
        <w:spacing w:line="288" w:lineRule="auto"/>
        <w:outlineLvl w:val="2"/>
        <w:rPr>
          <w:sz w:val="20"/>
          <w:szCs w:val="20"/>
        </w:rPr>
      </w:pPr>
      <w:r>
        <w:rPr>
          <w:b/>
          <w:sz w:val="20"/>
          <w:szCs w:val="20"/>
        </w:rPr>
        <w:t>6</w:t>
      </w:r>
      <w:r>
        <w:rPr>
          <w:rFonts w:hint="eastAsia"/>
          <w:b/>
          <w:sz w:val="20"/>
          <w:szCs w:val="20"/>
        </w:rPr>
        <w:t>.</w:t>
      </w:r>
      <w:r>
        <w:rPr>
          <w:b/>
          <w:sz w:val="20"/>
          <w:szCs w:val="20"/>
        </w:rPr>
        <w:t>5</w:t>
      </w:r>
      <w:r>
        <w:rPr>
          <w:rFonts w:hint="eastAsia"/>
          <w:b/>
          <w:sz w:val="20"/>
          <w:szCs w:val="20"/>
        </w:rPr>
        <w:t>.</w:t>
      </w:r>
      <w:r>
        <w:rPr>
          <w:b/>
          <w:sz w:val="20"/>
          <w:szCs w:val="20"/>
        </w:rPr>
        <w:t>2</w:t>
      </w:r>
      <w:r>
        <w:rPr>
          <w:sz w:val="20"/>
          <w:szCs w:val="20"/>
        </w:rPr>
        <w:t xml:space="preserve">  </w:t>
      </w:r>
      <w:r>
        <w:rPr>
          <w:rFonts w:hint="eastAsia"/>
          <w:sz w:val="20"/>
          <w:szCs w:val="20"/>
        </w:rPr>
        <w:t>钢套筒过井应符合下列规定：</w:t>
      </w:r>
    </w:p>
    <w:p w14:paraId="1541783D">
      <w:pPr>
        <w:snapToGrid w:val="0"/>
        <w:spacing w:line="288" w:lineRule="auto"/>
        <w:ind w:firstLine="300" w:firstLineChars="150"/>
        <w:rPr>
          <w:sz w:val="20"/>
          <w:szCs w:val="20"/>
        </w:rPr>
      </w:pPr>
      <w:r>
        <w:rPr>
          <w:rFonts w:hint="eastAsia"/>
          <w:b/>
          <w:sz w:val="20"/>
          <w:szCs w:val="20"/>
        </w:rPr>
        <w:t>1</w:t>
      </w:r>
      <w:r>
        <w:rPr>
          <w:sz w:val="20"/>
          <w:szCs w:val="20"/>
        </w:rPr>
        <w:t xml:space="preserve"> </w:t>
      </w:r>
      <w:r>
        <w:rPr>
          <w:rFonts w:hint="eastAsia"/>
          <w:sz w:val="20"/>
          <w:szCs w:val="20"/>
        </w:rPr>
        <w:t>钢套筒应连接始发洞门与接收洞口之间的整个井段，钢套筒应与洞口预埋钢环焊接牢固，并进行渗漏检测；</w:t>
      </w:r>
      <w:r>
        <w:rPr>
          <w:sz w:val="20"/>
          <w:szCs w:val="20"/>
        </w:rPr>
        <w:t xml:space="preserve"> </w:t>
      </w:r>
    </w:p>
    <w:p w14:paraId="3E538E42">
      <w:pPr>
        <w:snapToGrid w:val="0"/>
        <w:spacing w:line="288" w:lineRule="auto"/>
        <w:ind w:firstLine="300" w:firstLineChars="150"/>
        <w:rPr>
          <w:sz w:val="20"/>
          <w:szCs w:val="20"/>
        </w:rPr>
      </w:pPr>
      <w:r>
        <w:rPr>
          <w:b/>
          <w:sz w:val="20"/>
          <w:szCs w:val="20"/>
        </w:rPr>
        <w:t>2</w:t>
      </w:r>
      <w:r>
        <w:rPr>
          <w:sz w:val="20"/>
          <w:szCs w:val="20"/>
        </w:rPr>
        <w:t xml:space="preserve"> </w:t>
      </w:r>
      <w:r>
        <w:rPr>
          <w:rFonts w:hint="eastAsia"/>
          <w:sz w:val="20"/>
          <w:szCs w:val="20"/>
        </w:rPr>
        <w:t>钢套筒基础应满足承载力要求，钢套筒安装轴线应根据顶管机姿态及结构轴线确定；</w:t>
      </w:r>
    </w:p>
    <w:p w14:paraId="43BFFCA6">
      <w:pPr>
        <w:snapToGrid w:val="0"/>
        <w:spacing w:line="288" w:lineRule="auto"/>
        <w:ind w:firstLine="300" w:firstLineChars="150"/>
        <w:rPr>
          <w:sz w:val="20"/>
          <w:szCs w:val="20"/>
        </w:rPr>
      </w:pPr>
      <w:r>
        <w:rPr>
          <w:rFonts w:hint="eastAsia"/>
          <w:b/>
          <w:sz w:val="20"/>
          <w:szCs w:val="20"/>
        </w:rPr>
        <w:t>3</w:t>
      </w:r>
      <w:r>
        <w:rPr>
          <w:sz w:val="20"/>
          <w:szCs w:val="20"/>
        </w:rPr>
        <w:t xml:space="preserve"> </w:t>
      </w:r>
      <w:r>
        <w:rPr>
          <w:rFonts w:hint="eastAsia"/>
          <w:sz w:val="20"/>
          <w:szCs w:val="20"/>
        </w:rPr>
        <w:t>钢套筒下半部分安装固定完成后，应在内底铺设混凝土垫层，垫层高程与预埋钢环内底高程一致；</w:t>
      </w:r>
    </w:p>
    <w:p w14:paraId="505E8AEC">
      <w:pPr>
        <w:snapToGrid w:val="0"/>
        <w:spacing w:line="288" w:lineRule="auto"/>
        <w:ind w:firstLine="300" w:firstLineChars="150"/>
        <w:rPr>
          <w:sz w:val="20"/>
          <w:szCs w:val="20"/>
        </w:rPr>
      </w:pPr>
      <w:r>
        <w:rPr>
          <w:rFonts w:hint="eastAsia"/>
          <w:b/>
          <w:sz w:val="20"/>
          <w:szCs w:val="20"/>
        </w:rPr>
        <w:t>4</w:t>
      </w:r>
      <w:r>
        <w:rPr>
          <w:sz w:val="20"/>
          <w:szCs w:val="20"/>
        </w:rPr>
        <w:t xml:space="preserve"> </w:t>
      </w:r>
      <w:r>
        <w:rPr>
          <w:rFonts w:hint="eastAsia"/>
          <w:sz w:val="20"/>
          <w:szCs w:val="20"/>
        </w:rPr>
        <w:t>钢套筒内垫层达到设计强度后，方可凿除洞门；</w:t>
      </w:r>
    </w:p>
    <w:p w14:paraId="0D14B990">
      <w:pPr>
        <w:snapToGrid w:val="0"/>
        <w:spacing w:line="288" w:lineRule="auto"/>
        <w:ind w:firstLine="300" w:firstLineChars="150"/>
        <w:rPr>
          <w:sz w:val="20"/>
          <w:szCs w:val="20"/>
        </w:rPr>
      </w:pPr>
      <w:r>
        <w:rPr>
          <w:b/>
          <w:sz w:val="20"/>
          <w:szCs w:val="20"/>
        </w:rPr>
        <w:t>5</w:t>
      </w:r>
      <w:r>
        <w:rPr>
          <w:sz w:val="20"/>
          <w:szCs w:val="20"/>
        </w:rPr>
        <w:t xml:space="preserve"> </w:t>
      </w:r>
      <w:r>
        <w:rPr>
          <w:rFonts w:hint="eastAsia"/>
          <w:sz w:val="20"/>
          <w:szCs w:val="20"/>
        </w:rPr>
        <w:t>分层凿除洞门，分层回填密实，回填料宜采用粘性土，及时安装钢套筒上半部分，并通过钢套筒上方的注入口充填密实。</w:t>
      </w:r>
    </w:p>
    <w:p w14:paraId="25C43F31">
      <w:pPr>
        <w:snapToGrid w:val="0"/>
        <w:spacing w:line="288" w:lineRule="auto"/>
        <w:outlineLvl w:val="2"/>
        <w:rPr>
          <w:sz w:val="20"/>
          <w:szCs w:val="20"/>
        </w:rPr>
      </w:pPr>
      <w:r>
        <w:rPr>
          <w:rFonts w:hint="eastAsia"/>
          <w:b/>
          <w:sz w:val="20"/>
          <w:szCs w:val="20"/>
        </w:rPr>
        <w:t>6.</w:t>
      </w:r>
      <w:r>
        <w:rPr>
          <w:b/>
          <w:sz w:val="20"/>
          <w:szCs w:val="20"/>
        </w:rPr>
        <w:t>5</w:t>
      </w:r>
      <w:r>
        <w:rPr>
          <w:rFonts w:hint="eastAsia"/>
          <w:b/>
          <w:sz w:val="20"/>
          <w:szCs w:val="20"/>
        </w:rPr>
        <w:t>.</w:t>
      </w:r>
      <w:r>
        <w:rPr>
          <w:b/>
          <w:sz w:val="20"/>
          <w:szCs w:val="20"/>
        </w:rPr>
        <w:t>3</w:t>
      </w:r>
      <w:r>
        <w:rPr>
          <w:sz w:val="20"/>
          <w:szCs w:val="20"/>
        </w:rPr>
        <w:t xml:space="preserve">  </w:t>
      </w:r>
      <w:r>
        <w:rPr>
          <w:rFonts w:hint="eastAsia"/>
          <w:sz w:val="20"/>
          <w:szCs w:val="20"/>
        </w:rPr>
        <w:t>空推过井应符合下列规定：</w:t>
      </w:r>
    </w:p>
    <w:p w14:paraId="7AA0F322">
      <w:pPr>
        <w:snapToGrid w:val="0"/>
        <w:spacing w:line="288" w:lineRule="auto"/>
        <w:ind w:firstLine="300" w:firstLineChars="150"/>
        <w:rPr>
          <w:sz w:val="20"/>
          <w:szCs w:val="20"/>
        </w:rPr>
      </w:pPr>
      <w:r>
        <w:rPr>
          <w:b/>
          <w:sz w:val="20"/>
          <w:szCs w:val="20"/>
        </w:rPr>
        <w:t xml:space="preserve">1 </w:t>
      </w:r>
      <w:r>
        <w:rPr>
          <w:rFonts w:hint="eastAsia"/>
          <w:sz w:val="20"/>
          <w:szCs w:val="20"/>
        </w:rPr>
        <w:t>顶管空推过井始发侧洞口密封装置可采用与工作井洞口相同的密封装置，接收侧洞口密封装置应采用双层或多层密封装置，减少洞口漏浆；</w:t>
      </w:r>
    </w:p>
    <w:p w14:paraId="499B838F">
      <w:pPr>
        <w:snapToGrid w:val="0"/>
        <w:spacing w:line="288" w:lineRule="auto"/>
        <w:ind w:firstLine="300" w:firstLineChars="150"/>
        <w:rPr>
          <w:sz w:val="20"/>
          <w:szCs w:val="20"/>
        </w:rPr>
      </w:pPr>
      <w:r>
        <w:rPr>
          <w:rFonts w:hint="eastAsia"/>
          <w:b/>
          <w:sz w:val="20"/>
          <w:szCs w:val="20"/>
        </w:rPr>
        <w:t>2</w:t>
      </w:r>
      <w:r>
        <w:rPr>
          <w:sz w:val="20"/>
          <w:szCs w:val="20"/>
        </w:rPr>
        <w:t xml:space="preserve"> </w:t>
      </w:r>
      <w:r>
        <w:rPr>
          <w:rFonts w:hint="eastAsia"/>
          <w:sz w:val="20"/>
          <w:szCs w:val="20"/>
        </w:rPr>
        <w:t>洞口位置对应的管节应持续补充触变泥浆，同时应设专人维护洞口密封装置；</w:t>
      </w:r>
    </w:p>
    <w:p w14:paraId="201114F3">
      <w:pPr>
        <w:snapToGrid w:val="0"/>
        <w:spacing w:line="288" w:lineRule="auto"/>
        <w:ind w:firstLine="300" w:firstLineChars="150"/>
        <w:rPr>
          <w:sz w:val="20"/>
          <w:szCs w:val="20"/>
        </w:rPr>
      </w:pPr>
      <w:r>
        <w:rPr>
          <w:rFonts w:hint="eastAsia"/>
          <w:b/>
          <w:sz w:val="20"/>
          <w:szCs w:val="20"/>
        </w:rPr>
        <w:t>3</w:t>
      </w:r>
      <w:r>
        <w:rPr>
          <w:sz w:val="20"/>
          <w:szCs w:val="20"/>
        </w:rPr>
        <w:t xml:space="preserve"> </w:t>
      </w:r>
      <w:r>
        <w:rPr>
          <w:rFonts w:hint="eastAsia"/>
          <w:sz w:val="20"/>
          <w:szCs w:val="20"/>
        </w:rPr>
        <w:t>井内导轨高程应根据顶管机实际高程安装。</w:t>
      </w:r>
    </w:p>
    <w:p w14:paraId="73DA3FC8">
      <w:pPr>
        <w:snapToGrid w:val="0"/>
        <w:spacing w:line="288" w:lineRule="auto"/>
        <w:outlineLvl w:val="2"/>
        <w:rPr>
          <w:sz w:val="20"/>
          <w:szCs w:val="20"/>
        </w:rPr>
      </w:pPr>
      <w:r>
        <w:rPr>
          <w:b/>
          <w:sz w:val="20"/>
          <w:szCs w:val="20"/>
        </w:rPr>
        <w:t>6</w:t>
      </w:r>
      <w:r>
        <w:rPr>
          <w:rFonts w:hint="eastAsia"/>
          <w:b/>
          <w:sz w:val="20"/>
          <w:szCs w:val="20"/>
        </w:rPr>
        <w:t>.</w:t>
      </w:r>
      <w:r>
        <w:rPr>
          <w:b/>
          <w:sz w:val="20"/>
          <w:szCs w:val="20"/>
        </w:rPr>
        <w:t>5</w:t>
      </w:r>
      <w:r>
        <w:rPr>
          <w:rFonts w:hint="eastAsia"/>
          <w:b/>
          <w:sz w:val="20"/>
          <w:szCs w:val="20"/>
        </w:rPr>
        <w:t>.</w:t>
      </w:r>
      <w:r>
        <w:rPr>
          <w:b/>
          <w:sz w:val="20"/>
          <w:szCs w:val="20"/>
        </w:rPr>
        <w:t>4</w:t>
      </w:r>
      <w:r>
        <w:rPr>
          <w:sz w:val="20"/>
          <w:szCs w:val="20"/>
        </w:rPr>
        <w:t xml:space="preserve">  </w:t>
      </w:r>
      <w:r>
        <w:rPr>
          <w:rFonts w:hint="eastAsia"/>
          <w:sz w:val="20"/>
          <w:szCs w:val="20"/>
        </w:rPr>
        <w:t>回填过井应符合下列规定：</w:t>
      </w:r>
    </w:p>
    <w:p w14:paraId="1A72B4F0">
      <w:pPr>
        <w:snapToGrid w:val="0"/>
        <w:spacing w:line="288" w:lineRule="auto"/>
        <w:ind w:firstLine="300" w:firstLineChars="150"/>
        <w:rPr>
          <w:sz w:val="20"/>
          <w:szCs w:val="20"/>
        </w:rPr>
      </w:pPr>
      <w:r>
        <w:rPr>
          <w:b/>
          <w:sz w:val="20"/>
          <w:szCs w:val="20"/>
        </w:rPr>
        <w:t>1</w:t>
      </w:r>
      <w:r>
        <w:rPr>
          <w:sz w:val="20"/>
          <w:szCs w:val="20"/>
        </w:rPr>
        <w:t xml:space="preserve"> </w:t>
      </w:r>
      <w:r>
        <w:rPr>
          <w:rFonts w:hint="eastAsia"/>
          <w:sz w:val="20"/>
          <w:szCs w:val="20"/>
        </w:rPr>
        <w:t>井内铺设混凝土垫层，垫层高程与预留洞口底高程一致；</w:t>
      </w:r>
    </w:p>
    <w:p w14:paraId="6BF34929">
      <w:pPr>
        <w:snapToGrid w:val="0"/>
        <w:spacing w:line="288" w:lineRule="auto"/>
        <w:ind w:firstLine="300" w:firstLineChars="150"/>
        <w:rPr>
          <w:sz w:val="20"/>
          <w:szCs w:val="20"/>
        </w:rPr>
      </w:pPr>
      <w:r>
        <w:rPr>
          <w:rFonts w:hint="eastAsia"/>
          <w:b/>
          <w:sz w:val="20"/>
          <w:szCs w:val="20"/>
        </w:rPr>
        <w:t>2</w:t>
      </w:r>
      <w:r>
        <w:rPr>
          <w:sz w:val="20"/>
          <w:szCs w:val="20"/>
        </w:rPr>
        <w:t xml:space="preserve"> </w:t>
      </w:r>
      <w:r>
        <w:rPr>
          <w:rFonts w:hint="eastAsia"/>
          <w:sz w:val="20"/>
          <w:szCs w:val="20"/>
        </w:rPr>
        <w:t>回填时应分层凿除，分层回填，分层夯实，填土宜采用粘性土，填土高度和密实度满足设计要求。</w:t>
      </w:r>
    </w:p>
    <w:p w14:paraId="4A3E13DB">
      <w:pPr>
        <w:snapToGrid w:val="0"/>
        <w:spacing w:line="288" w:lineRule="auto"/>
        <w:outlineLvl w:val="2"/>
        <w:rPr>
          <w:rFonts w:ascii="Cambria Math" w:hAnsi="Cambria Math" w:cs="Cambria Math"/>
          <w:kern w:val="0"/>
          <w:sz w:val="20"/>
          <w:szCs w:val="20"/>
          <w:lang w:bidi="ar"/>
        </w:rPr>
      </w:pPr>
      <w:r>
        <w:rPr>
          <w:rFonts w:hint="eastAsia"/>
          <w:b/>
          <w:sz w:val="20"/>
          <w:szCs w:val="20"/>
        </w:rPr>
        <w:t>6.</w:t>
      </w:r>
      <w:r>
        <w:rPr>
          <w:b/>
          <w:sz w:val="20"/>
          <w:szCs w:val="20"/>
        </w:rPr>
        <w:t>5</w:t>
      </w:r>
      <w:r>
        <w:rPr>
          <w:rFonts w:hint="eastAsia"/>
          <w:b/>
          <w:sz w:val="20"/>
          <w:szCs w:val="20"/>
        </w:rPr>
        <w:t>.</w:t>
      </w:r>
      <w:r>
        <w:rPr>
          <w:b/>
          <w:sz w:val="20"/>
          <w:szCs w:val="20"/>
        </w:rPr>
        <w:t>5</w:t>
      </w:r>
      <w:r>
        <w:rPr>
          <w:sz w:val="20"/>
          <w:szCs w:val="20"/>
        </w:rPr>
        <w:t xml:space="preserve">  </w:t>
      </w:r>
      <w:r>
        <w:rPr>
          <w:rFonts w:hint="eastAsia"/>
          <w:sz w:val="20"/>
          <w:szCs w:val="20"/>
        </w:rPr>
        <w:t>泥浆置换完成后方可拆除井内管节，及时施作洞口环梁。</w:t>
      </w:r>
    </w:p>
    <w:p w14:paraId="7F23338E">
      <w:pPr>
        <w:pStyle w:val="3"/>
        <w:snapToGrid w:val="0"/>
        <w:spacing w:before="312" w:beforeLines="100" w:after="0" w:line="288" w:lineRule="auto"/>
        <w:jc w:val="center"/>
        <w:rPr>
          <w:rFonts w:ascii="Times New Roman" w:hAnsi="Times New Roman"/>
          <w:sz w:val="20"/>
          <w:szCs w:val="21"/>
        </w:rPr>
      </w:pPr>
      <w:bookmarkStart w:id="337" w:name="_Toc188798556"/>
      <w:bookmarkStart w:id="338" w:name="_Toc185236605"/>
      <w:bookmarkStart w:id="339" w:name="_Toc185235654"/>
      <w:bookmarkStart w:id="340" w:name="_Toc188612085"/>
      <w:r>
        <w:rPr>
          <w:rFonts w:hint="eastAsia" w:ascii="Times New Roman" w:hAnsi="Times New Roman"/>
          <w:sz w:val="20"/>
          <w:szCs w:val="21"/>
        </w:rPr>
        <w:t>6.</w:t>
      </w:r>
      <w:r>
        <w:rPr>
          <w:rFonts w:ascii="Times New Roman" w:hAnsi="Times New Roman"/>
          <w:sz w:val="20"/>
          <w:szCs w:val="21"/>
        </w:rPr>
        <w:t>6</w:t>
      </w:r>
      <w:r>
        <w:rPr>
          <w:rFonts w:hint="eastAsia" w:ascii="Times New Roman" w:hAnsi="Times New Roman"/>
          <w:sz w:val="20"/>
          <w:szCs w:val="21"/>
        </w:rPr>
        <w:t xml:space="preserve"> </w:t>
      </w:r>
      <w:bookmarkStart w:id="341" w:name="_Hlk179555375"/>
      <w:r>
        <w:rPr>
          <w:rFonts w:hint="eastAsia" w:ascii="Times New Roman" w:hAnsi="Times New Roman"/>
          <w:sz w:val="20"/>
          <w:szCs w:val="21"/>
        </w:rPr>
        <w:t xml:space="preserve"> 浅覆土</w:t>
      </w:r>
      <w:bookmarkEnd w:id="337"/>
      <w:bookmarkEnd w:id="338"/>
      <w:bookmarkEnd w:id="339"/>
      <w:bookmarkEnd w:id="340"/>
      <w:bookmarkEnd w:id="341"/>
    </w:p>
    <w:p w14:paraId="2352630C">
      <w:pPr>
        <w:snapToGrid w:val="0"/>
        <w:spacing w:line="288" w:lineRule="auto"/>
        <w:outlineLvl w:val="2"/>
        <w:rPr>
          <w:sz w:val="20"/>
        </w:rPr>
      </w:pPr>
      <w:r>
        <w:rPr>
          <w:b/>
          <w:sz w:val="20"/>
          <w:szCs w:val="20"/>
        </w:rPr>
        <w:t>6.6.1</w:t>
      </w:r>
      <w:r>
        <w:rPr>
          <w:sz w:val="20"/>
        </w:rPr>
        <w:t xml:space="preserve">  </w:t>
      </w:r>
      <w:r>
        <w:rPr>
          <w:rFonts w:hint="eastAsia"/>
          <w:sz w:val="20"/>
        </w:rPr>
        <w:t>减阻泥浆、</w:t>
      </w:r>
      <w:r>
        <w:rPr>
          <w:sz w:val="20"/>
          <w:szCs w:val="20"/>
        </w:rPr>
        <w:t>浓泥注入</w:t>
      </w:r>
      <w:r>
        <w:rPr>
          <w:rFonts w:hint="eastAsia"/>
          <w:sz w:val="20"/>
          <w:szCs w:val="20"/>
        </w:rPr>
        <w:t>及泥浆置换</w:t>
      </w:r>
      <w:r>
        <w:rPr>
          <w:sz w:val="20"/>
          <w:szCs w:val="20"/>
        </w:rPr>
        <w:t>应</w:t>
      </w:r>
      <w:r>
        <w:rPr>
          <w:rFonts w:hint="eastAsia"/>
          <w:sz w:val="20"/>
          <w:szCs w:val="20"/>
        </w:rPr>
        <w:t>以注入</w:t>
      </w:r>
      <w:r>
        <w:rPr>
          <w:sz w:val="20"/>
          <w:szCs w:val="20"/>
        </w:rPr>
        <w:t>压力为主控参数</w:t>
      </w:r>
      <w:r>
        <w:rPr>
          <w:sz w:val="20"/>
        </w:rPr>
        <w:t>，注浆量作为</w:t>
      </w:r>
      <w:r>
        <w:rPr>
          <w:rFonts w:hint="eastAsia"/>
          <w:sz w:val="20"/>
        </w:rPr>
        <w:t>参考。</w:t>
      </w:r>
    </w:p>
    <w:p w14:paraId="298F7428">
      <w:pPr>
        <w:snapToGrid w:val="0"/>
        <w:spacing w:line="288" w:lineRule="auto"/>
        <w:outlineLvl w:val="2"/>
        <w:rPr>
          <w:sz w:val="20"/>
        </w:rPr>
      </w:pPr>
      <w:r>
        <w:rPr>
          <w:b/>
          <w:sz w:val="20"/>
          <w:szCs w:val="20"/>
        </w:rPr>
        <w:t>6.6.2</w:t>
      </w:r>
      <w:r>
        <w:rPr>
          <w:sz w:val="20"/>
        </w:rPr>
        <w:t xml:space="preserve">  </w:t>
      </w:r>
      <w:r>
        <w:rPr>
          <w:rFonts w:hint="eastAsia"/>
          <w:sz w:val="20"/>
          <w:szCs w:val="20"/>
        </w:rPr>
        <w:t>管节外壁应采取涂蜡措施</w:t>
      </w:r>
      <w:r>
        <w:rPr>
          <w:rFonts w:hint="eastAsia"/>
          <w:sz w:val="20"/>
        </w:rPr>
        <w:t>，并</w:t>
      </w:r>
      <w:r>
        <w:rPr>
          <w:sz w:val="20"/>
        </w:rPr>
        <w:t>保证泥浆套</w:t>
      </w:r>
      <w:r>
        <w:rPr>
          <w:rFonts w:hint="eastAsia"/>
          <w:sz w:val="20"/>
        </w:rPr>
        <w:t>的减阻</w:t>
      </w:r>
      <w:r>
        <w:rPr>
          <w:sz w:val="20"/>
        </w:rPr>
        <w:t>效果，减小</w:t>
      </w:r>
      <w:r>
        <w:rPr>
          <w:rFonts w:hint="eastAsia"/>
          <w:sz w:val="20"/>
        </w:rPr>
        <w:t>背土</w:t>
      </w:r>
      <w:r>
        <w:rPr>
          <w:sz w:val="20"/>
        </w:rPr>
        <w:t>效应</w:t>
      </w:r>
      <w:r>
        <w:rPr>
          <w:rFonts w:hint="eastAsia"/>
          <w:sz w:val="20"/>
        </w:rPr>
        <w:t>对地层产生</w:t>
      </w:r>
      <w:r>
        <w:rPr>
          <w:sz w:val="20"/>
        </w:rPr>
        <w:t>的扰动</w:t>
      </w:r>
      <w:r>
        <w:rPr>
          <w:rFonts w:hint="eastAsia"/>
          <w:sz w:val="20"/>
        </w:rPr>
        <w:t>。</w:t>
      </w:r>
    </w:p>
    <w:p w14:paraId="28DAA14F">
      <w:pPr>
        <w:snapToGrid w:val="0"/>
        <w:spacing w:line="288" w:lineRule="auto"/>
        <w:outlineLvl w:val="2"/>
        <w:rPr>
          <w:sz w:val="20"/>
        </w:rPr>
      </w:pPr>
      <w:r>
        <w:rPr>
          <w:rFonts w:hint="eastAsia"/>
          <w:b/>
          <w:sz w:val="20"/>
          <w:szCs w:val="20"/>
        </w:rPr>
        <w:t>6.6.</w:t>
      </w:r>
      <w:r>
        <w:rPr>
          <w:b/>
          <w:sz w:val="20"/>
          <w:szCs w:val="20"/>
        </w:rPr>
        <w:t>3</w:t>
      </w:r>
      <w:r>
        <w:rPr>
          <w:sz w:val="20"/>
        </w:rPr>
        <w:t xml:space="preserve">  </w:t>
      </w:r>
      <w:r>
        <w:rPr>
          <w:rFonts w:hint="eastAsia"/>
          <w:sz w:val="20"/>
          <w:szCs w:val="20"/>
        </w:rPr>
        <w:t>始发土仓压力计算宜取高于静止土压力</w:t>
      </w:r>
      <w:r>
        <w:rPr>
          <w:sz w:val="20"/>
          <w:szCs w:val="20"/>
        </w:rPr>
        <w:t>20Kpa</w:t>
      </w:r>
      <w:r>
        <w:rPr>
          <w:rFonts w:hint="eastAsia"/>
          <w:sz w:val="20"/>
          <w:szCs w:val="20"/>
        </w:rPr>
        <w:t>～</w:t>
      </w:r>
      <w:r>
        <w:rPr>
          <w:sz w:val="20"/>
          <w:szCs w:val="20"/>
        </w:rPr>
        <w:t>30Kpa</w:t>
      </w:r>
      <w:r>
        <w:rPr>
          <w:rFonts w:hint="eastAsia"/>
          <w:sz w:val="20"/>
        </w:rPr>
        <w:t>，在施工试验段进行验证后调整。</w:t>
      </w:r>
    </w:p>
    <w:p w14:paraId="50050FB2">
      <w:pPr>
        <w:snapToGrid w:val="0"/>
        <w:spacing w:line="288" w:lineRule="auto"/>
        <w:outlineLvl w:val="2"/>
        <w:rPr>
          <w:sz w:val="20"/>
        </w:rPr>
      </w:pPr>
      <w:r>
        <w:rPr>
          <w:rFonts w:hint="eastAsia"/>
          <w:b/>
          <w:sz w:val="20"/>
          <w:szCs w:val="20"/>
        </w:rPr>
        <w:t>6.6.</w:t>
      </w:r>
      <w:r>
        <w:rPr>
          <w:b/>
          <w:sz w:val="20"/>
          <w:szCs w:val="20"/>
        </w:rPr>
        <w:t>4</w:t>
      </w:r>
      <w:r>
        <w:rPr>
          <w:sz w:val="20"/>
        </w:rPr>
        <w:t xml:space="preserve">  </w:t>
      </w:r>
      <w:r>
        <w:rPr>
          <w:rFonts w:hint="eastAsia"/>
          <w:sz w:val="20"/>
        </w:rPr>
        <w:t>顶进速度、</w:t>
      </w:r>
      <w:r>
        <w:rPr>
          <w:rFonts w:hint="eastAsia"/>
          <w:sz w:val="20"/>
          <w:szCs w:val="20"/>
        </w:rPr>
        <w:t>刀盘转速等参数应均匀</w:t>
      </w:r>
      <w:r>
        <w:rPr>
          <w:rFonts w:hint="eastAsia"/>
          <w:sz w:val="20"/>
        </w:rPr>
        <w:t>、稳定，顶</w:t>
      </w:r>
      <w:r>
        <w:rPr>
          <w:rFonts w:hint="eastAsia"/>
          <w:sz w:val="20"/>
          <w:szCs w:val="20"/>
        </w:rPr>
        <w:t>进速度宜控制在</w:t>
      </w:r>
      <w:r>
        <w:rPr>
          <w:sz w:val="20"/>
          <w:szCs w:val="20"/>
        </w:rPr>
        <w:t>10mm/min</w:t>
      </w:r>
      <w:r>
        <w:rPr>
          <w:rFonts w:hint="eastAsia"/>
          <w:sz w:val="20"/>
          <w:szCs w:val="20"/>
        </w:rPr>
        <w:t>～</w:t>
      </w:r>
      <w:r>
        <w:rPr>
          <w:sz w:val="20"/>
          <w:szCs w:val="20"/>
        </w:rPr>
        <w:t>20mm/min</w:t>
      </w:r>
      <w:r>
        <w:rPr>
          <w:rFonts w:hint="eastAsia"/>
          <w:sz w:val="20"/>
          <w:szCs w:val="20"/>
        </w:rPr>
        <w:t>；初始顶进阶段，顶进速度不宜过快，宜控制在</w:t>
      </w:r>
      <w:r>
        <w:rPr>
          <w:sz w:val="20"/>
          <w:szCs w:val="20"/>
        </w:rPr>
        <w:t xml:space="preserve">10mm/min </w:t>
      </w:r>
      <w:r>
        <w:rPr>
          <w:rFonts w:hint="eastAsia"/>
          <w:sz w:val="20"/>
          <w:szCs w:val="20"/>
        </w:rPr>
        <w:t>以内。</w:t>
      </w:r>
    </w:p>
    <w:p w14:paraId="74F8895C">
      <w:pPr>
        <w:snapToGrid w:val="0"/>
        <w:spacing w:line="288" w:lineRule="auto"/>
        <w:outlineLvl w:val="2"/>
        <w:rPr>
          <w:sz w:val="20"/>
        </w:rPr>
      </w:pPr>
      <w:r>
        <w:rPr>
          <w:rFonts w:hint="eastAsia"/>
          <w:b/>
          <w:sz w:val="20"/>
          <w:szCs w:val="20"/>
        </w:rPr>
        <w:t>6.6.</w:t>
      </w:r>
      <w:r>
        <w:rPr>
          <w:b/>
          <w:sz w:val="20"/>
          <w:szCs w:val="20"/>
        </w:rPr>
        <w:t>5</w:t>
      </w:r>
      <w:r>
        <w:rPr>
          <w:sz w:val="20"/>
        </w:rPr>
        <w:t xml:space="preserve">  </w:t>
      </w:r>
      <w:r>
        <w:rPr>
          <w:rFonts w:hint="eastAsia"/>
          <w:sz w:val="20"/>
          <w:szCs w:val="20"/>
        </w:rPr>
        <w:t>顶进过程中应遵循</w:t>
      </w:r>
      <w:r>
        <w:rPr>
          <w:rFonts w:hint="eastAsia"/>
          <w:sz w:val="20"/>
        </w:rPr>
        <w:t>“勤测量、勤纠偏、微纠偏”的原则，保持姿态平稳。</w:t>
      </w:r>
    </w:p>
    <w:p w14:paraId="14ED45B4">
      <w:pPr>
        <w:snapToGrid w:val="0"/>
        <w:spacing w:line="288" w:lineRule="auto"/>
        <w:outlineLvl w:val="2"/>
        <w:rPr>
          <w:sz w:val="20"/>
        </w:rPr>
      </w:pPr>
      <w:r>
        <w:rPr>
          <w:rFonts w:hint="eastAsia"/>
          <w:b/>
          <w:sz w:val="20"/>
          <w:szCs w:val="20"/>
        </w:rPr>
        <w:t>6.6.</w:t>
      </w:r>
      <w:r>
        <w:rPr>
          <w:b/>
          <w:sz w:val="20"/>
          <w:szCs w:val="20"/>
        </w:rPr>
        <w:t>6</w:t>
      </w:r>
      <w:r>
        <w:rPr>
          <w:rFonts w:hint="eastAsia"/>
          <w:sz w:val="20"/>
        </w:rPr>
        <w:t xml:space="preserve"> </w:t>
      </w:r>
      <w:r>
        <w:rPr>
          <w:sz w:val="20"/>
        </w:rPr>
        <w:t xml:space="preserve"> </w:t>
      </w:r>
      <w:r>
        <w:rPr>
          <w:rFonts w:hint="eastAsia"/>
          <w:sz w:val="20"/>
          <w:szCs w:val="20"/>
        </w:rPr>
        <w:t>沉降速率趋大时</w:t>
      </w:r>
      <w:r>
        <w:rPr>
          <w:rFonts w:hint="eastAsia"/>
          <w:sz w:val="20"/>
        </w:rPr>
        <w:t>，应注入浓泥补偿地层损失，控制地表沉降。</w:t>
      </w:r>
    </w:p>
    <w:p w14:paraId="469E38D8">
      <w:pPr>
        <w:snapToGrid w:val="0"/>
        <w:spacing w:line="288" w:lineRule="auto"/>
        <w:outlineLvl w:val="2"/>
        <w:rPr>
          <w:sz w:val="20"/>
        </w:rPr>
      </w:pPr>
      <w:r>
        <w:rPr>
          <w:rFonts w:hint="eastAsia"/>
          <w:b/>
          <w:sz w:val="20"/>
          <w:szCs w:val="20"/>
        </w:rPr>
        <w:t>6.6.</w:t>
      </w:r>
      <w:r>
        <w:rPr>
          <w:b/>
          <w:sz w:val="20"/>
          <w:szCs w:val="20"/>
        </w:rPr>
        <w:t xml:space="preserve">7 </w:t>
      </w:r>
      <w:r>
        <w:rPr>
          <w:sz w:val="20"/>
        </w:rPr>
        <w:t xml:space="preserve"> </w:t>
      </w:r>
      <w:r>
        <w:rPr>
          <w:rFonts w:hint="eastAsia"/>
          <w:sz w:val="20"/>
        </w:rPr>
        <w:t>顶进时</w:t>
      </w:r>
      <w:r>
        <w:rPr>
          <w:rFonts w:hint="eastAsia"/>
          <w:sz w:val="20"/>
          <w:szCs w:val="20"/>
        </w:rPr>
        <w:t>应根据监测数据及时调整施工参数</w:t>
      </w:r>
      <w:r>
        <w:rPr>
          <w:rFonts w:hint="eastAsia"/>
          <w:sz w:val="20"/>
        </w:rPr>
        <w:t>。</w:t>
      </w:r>
    </w:p>
    <w:p w14:paraId="2DBEB8F7">
      <w:pPr>
        <w:pStyle w:val="3"/>
        <w:snapToGrid w:val="0"/>
        <w:spacing w:before="312" w:beforeLines="100" w:after="0" w:line="288" w:lineRule="auto"/>
        <w:jc w:val="center"/>
        <w:rPr>
          <w:rFonts w:ascii="Times New Roman" w:hAnsi="Times New Roman"/>
          <w:sz w:val="20"/>
          <w:szCs w:val="21"/>
        </w:rPr>
      </w:pPr>
      <w:bookmarkStart w:id="342" w:name="_Toc188612086"/>
      <w:bookmarkStart w:id="343" w:name="_Toc188798557"/>
      <w:r>
        <w:rPr>
          <w:rFonts w:ascii="Times New Roman" w:hAnsi="Times New Roman"/>
          <w:sz w:val="20"/>
          <w:szCs w:val="21"/>
        </w:rPr>
        <w:t>6.7</w:t>
      </w:r>
      <w:r>
        <w:rPr>
          <w:rFonts w:hint="eastAsia" w:ascii="Times New Roman" w:hAnsi="Times New Roman"/>
          <w:sz w:val="20"/>
          <w:szCs w:val="21"/>
        </w:rPr>
        <w:t xml:space="preserve"> 穿越特、一级风险源</w:t>
      </w:r>
      <w:bookmarkEnd w:id="342"/>
      <w:bookmarkEnd w:id="343"/>
    </w:p>
    <w:p w14:paraId="022F8FA8">
      <w:pPr>
        <w:snapToGrid w:val="0"/>
        <w:spacing w:line="288" w:lineRule="auto"/>
        <w:outlineLvl w:val="2"/>
        <w:rPr>
          <w:sz w:val="20"/>
        </w:rPr>
      </w:pPr>
      <w:r>
        <w:rPr>
          <w:rFonts w:hint="eastAsia"/>
          <w:b/>
          <w:sz w:val="20"/>
          <w:szCs w:val="20"/>
        </w:rPr>
        <w:t>6.7.1</w:t>
      </w:r>
      <w:r>
        <w:rPr>
          <w:sz w:val="20"/>
        </w:rPr>
        <w:t xml:space="preserve">  </w:t>
      </w:r>
      <w:r>
        <w:rPr>
          <w:rFonts w:hint="eastAsia"/>
          <w:sz w:val="20"/>
          <w:szCs w:val="20"/>
        </w:rPr>
        <w:t>穿越前应详细查明风险源的结构情况</w:t>
      </w:r>
      <w:r>
        <w:rPr>
          <w:rFonts w:hint="eastAsia" w:ascii="Cambria Math" w:hAnsi="Cambria Math" w:cs="Cambria Math" w:eastAsiaTheme="minorEastAsia"/>
          <w:kern w:val="0"/>
          <w:sz w:val="20"/>
          <w:szCs w:val="20"/>
          <w:lang w:bidi="ar"/>
        </w:rPr>
        <w:t>、现状情况、工程地质、水文地质及与顶管结构的相对位置关系，确保顶管机与风险源的立体空间满足顶管要求</w:t>
      </w:r>
      <w:r>
        <w:rPr>
          <w:rFonts w:hint="eastAsia"/>
          <w:sz w:val="20"/>
          <w:szCs w:val="20"/>
        </w:rPr>
        <w:t>。</w:t>
      </w:r>
    </w:p>
    <w:p w14:paraId="744B36D3">
      <w:pPr>
        <w:snapToGrid w:val="0"/>
        <w:spacing w:line="288" w:lineRule="auto"/>
        <w:outlineLvl w:val="2"/>
        <w:rPr>
          <w:sz w:val="20"/>
          <w:szCs w:val="20"/>
        </w:rPr>
      </w:pPr>
      <w:r>
        <w:rPr>
          <w:rFonts w:hint="eastAsia"/>
          <w:b/>
          <w:sz w:val="20"/>
          <w:szCs w:val="20"/>
        </w:rPr>
        <w:t>6.7.2</w:t>
      </w:r>
      <w:r>
        <w:rPr>
          <w:sz w:val="20"/>
        </w:rPr>
        <w:t xml:space="preserve">  </w:t>
      </w:r>
      <w:r>
        <w:rPr>
          <w:rFonts w:hint="eastAsia" w:ascii="Cambria Math" w:hAnsi="Cambria Math" w:cs="Cambria Math" w:eastAsiaTheme="minorEastAsia"/>
          <w:kern w:val="0"/>
          <w:sz w:val="20"/>
          <w:szCs w:val="20"/>
          <w:lang w:bidi="ar"/>
        </w:rPr>
        <w:t>在穿越特、一级风险源条件下顶管施工应满足相应的技术要求规定，并</w:t>
      </w:r>
      <w:r>
        <w:rPr>
          <w:rFonts w:hint="eastAsia" w:ascii="Cambria Math" w:hAnsi="Cambria Math" w:eastAsia="Cambria Math" w:cs="Cambria Math"/>
          <w:kern w:val="0"/>
          <w:sz w:val="20"/>
          <w:szCs w:val="20"/>
          <w:lang w:bidi="ar"/>
        </w:rPr>
        <w:t>制定专项方案</w:t>
      </w:r>
      <w:r>
        <w:rPr>
          <w:rFonts w:hint="eastAsia" w:ascii="Cambria Math" w:hAnsi="Cambria Math" w:cs="Cambria Math" w:eastAsiaTheme="minorEastAsia"/>
          <w:kern w:val="0"/>
          <w:sz w:val="20"/>
          <w:szCs w:val="20"/>
          <w:lang w:bidi="ar"/>
        </w:rPr>
        <w:t>（含应急预案），报权属部门审批认可</w:t>
      </w:r>
      <w:r>
        <w:rPr>
          <w:rFonts w:hint="eastAsia"/>
          <w:sz w:val="20"/>
          <w:szCs w:val="20"/>
        </w:rPr>
        <w:t>。</w:t>
      </w:r>
    </w:p>
    <w:p w14:paraId="60B6C16A">
      <w:pPr>
        <w:snapToGrid w:val="0"/>
        <w:spacing w:line="288" w:lineRule="auto"/>
        <w:outlineLvl w:val="2"/>
        <w:rPr>
          <w:sz w:val="20"/>
        </w:rPr>
      </w:pPr>
      <w:r>
        <w:rPr>
          <w:rFonts w:hint="eastAsia"/>
          <w:b/>
          <w:sz w:val="20"/>
          <w:szCs w:val="20"/>
        </w:rPr>
        <w:t>6.7.3</w:t>
      </w:r>
      <w:r>
        <w:rPr>
          <w:sz w:val="20"/>
        </w:rPr>
        <w:t xml:space="preserve">  </w:t>
      </w:r>
      <w:r>
        <w:rPr>
          <w:rFonts w:hint="eastAsia" w:ascii="Cambria Math" w:hAnsi="Cambria Math" w:cs="Cambria Math" w:eastAsiaTheme="minorEastAsia"/>
          <w:kern w:val="0"/>
          <w:sz w:val="20"/>
          <w:szCs w:val="20"/>
          <w:lang w:bidi="ar"/>
        </w:rPr>
        <w:t>穿越前应对顶管机进行保养和维护</w:t>
      </w:r>
      <w:r>
        <w:rPr>
          <w:rFonts w:hint="eastAsia"/>
          <w:sz w:val="20"/>
          <w:szCs w:val="20"/>
        </w:rPr>
        <w:t>。</w:t>
      </w:r>
    </w:p>
    <w:p w14:paraId="3E51D076">
      <w:pPr>
        <w:snapToGrid w:val="0"/>
        <w:spacing w:line="288" w:lineRule="auto"/>
        <w:outlineLvl w:val="2"/>
        <w:rPr>
          <w:sz w:val="20"/>
        </w:rPr>
      </w:pPr>
      <w:r>
        <w:rPr>
          <w:rFonts w:hint="eastAsia"/>
          <w:b/>
          <w:sz w:val="20"/>
          <w:szCs w:val="20"/>
        </w:rPr>
        <w:t>6.7.4</w:t>
      </w:r>
      <w:r>
        <w:rPr>
          <w:sz w:val="20"/>
        </w:rPr>
        <w:t xml:space="preserve">  </w:t>
      </w:r>
      <w:r>
        <w:rPr>
          <w:rFonts w:hint="eastAsia" w:ascii="宋体" w:hAnsi="宋体" w:cs="宋体"/>
          <w:kern w:val="0"/>
          <w:sz w:val="20"/>
          <w:szCs w:val="20"/>
          <w:lang w:bidi="ar"/>
        </w:rPr>
        <w:t>宜</w:t>
      </w:r>
      <w:r>
        <w:rPr>
          <w:rFonts w:hint="eastAsia" w:ascii="Cambria Math" w:hAnsi="Cambria Math" w:eastAsia="Cambria Math" w:cs="Cambria Math"/>
          <w:kern w:val="0"/>
          <w:sz w:val="20"/>
          <w:szCs w:val="20"/>
          <w:lang w:bidi="ar"/>
        </w:rPr>
        <w:t>设穿越前试验段，</w:t>
      </w:r>
      <w:r>
        <w:rPr>
          <w:rFonts w:hint="eastAsia" w:ascii="Cambria Math" w:hAnsi="Cambria Math" w:cs="Cambria Math" w:eastAsiaTheme="minorEastAsia"/>
          <w:kern w:val="0"/>
          <w:sz w:val="20"/>
          <w:szCs w:val="20"/>
          <w:lang w:bidi="ar"/>
        </w:rPr>
        <w:t>通过试验段确定穿越顶进参数</w:t>
      </w:r>
      <w:r>
        <w:rPr>
          <w:rFonts w:hint="eastAsia"/>
          <w:sz w:val="20"/>
          <w:szCs w:val="20"/>
        </w:rPr>
        <w:t>。</w:t>
      </w:r>
    </w:p>
    <w:p w14:paraId="0961CB29">
      <w:pPr>
        <w:snapToGrid w:val="0"/>
        <w:spacing w:line="288" w:lineRule="auto"/>
        <w:outlineLvl w:val="2"/>
        <w:rPr>
          <w:sz w:val="20"/>
        </w:rPr>
      </w:pPr>
      <w:r>
        <w:rPr>
          <w:rFonts w:hint="eastAsia"/>
          <w:b/>
          <w:sz w:val="20"/>
          <w:szCs w:val="20"/>
        </w:rPr>
        <w:t>6.7.5</w:t>
      </w:r>
      <w:r>
        <w:rPr>
          <w:sz w:val="20"/>
        </w:rPr>
        <w:t xml:space="preserve">  </w:t>
      </w:r>
      <w:r>
        <w:rPr>
          <w:rFonts w:hint="eastAsia" w:ascii="Cambria Math" w:hAnsi="Cambria Math" w:cs="Cambria Math" w:eastAsiaTheme="minorEastAsia"/>
          <w:kern w:val="0"/>
          <w:sz w:val="20"/>
          <w:szCs w:val="20"/>
          <w:lang w:bidi="ar"/>
        </w:rPr>
        <w:t>穿越应匀速顶进，速度宜控制在</w:t>
      </w:r>
      <w:r>
        <w:rPr>
          <w:sz w:val="20"/>
          <w:szCs w:val="20"/>
        </w:rPr>
        <w:t>10 mm/min</w:t>
      </w:r>
      <w:r>
        <w:rPr>
          <w:rFonts w:hint="eastAsia"/>
          <w:sz w:val="20"/>
          <w:szCs w:val="20"/>
        </w:rPr>
        <w:t>～</w:t>
      </w:r>
      <w:r>
        <w:rPr>
          <w:sz w:val="20"/>
          <w:szCs w:val="20"/>
        </w:rPr>
        <w:t>20 mm/min</w:t>
      </w:r>
      <w:r>
        <w:rPr>
          <w:rFonts w:hint="eastAsia"/>
          <w:sz w:val="20"/>
          <w:szCs w:val="20"/>
        </w:rPr>
        <w:t>。</w:t>
      </w:r>
    </w:p>
    <w:p w14:paraId="45D91002">
      <w:pPr>
        <w:snapToGrid w:val="0"/>
        <w:spacing w:line="288" w:lineRule="auto"/>
        <w:outlineLvl w:val="2"/>
        <w:rPr>
          <w:sz w:val="20"/>
        </w:rPr>
      </w:pPr>
      <w:r>
        <w:rPr>
          <w:rFonts w:hint="eastAsia"/>
          <w:b/>
          <w:sz w:val="20"/>
          <w:szCs w:val="20"/>
        </w:rPr>
        <w:t>6.7.6</w:t>
      </w:r>
      <w:r>
        <w:rPr>
          <w:sz w:val="20"/>
        </w:rPr>
        <w:t xml:space="preserve">  </w:t>
      </w:r>
      <w:r>
        <w:rPr>
          <w:rFonts w:hint="eastAsia"/>
          <w:sz w:val="20"/>
          <w:szCs w:val="20"/>
        </w:rPr>
        <w:t>穿越时宜</w:t>
      </w:r>
      <w:r>
        <w:rPr>
          <w:rFonts w:hint="eastAsia" w:ascii="Cambria Math" w:hAnsi="Cambria Math" w:eastAsia="Cambria Math" w:cs="Cambria Math"/>
          <w:kern w:val="0"/>
          <w:sz w:val="20"/>
          <w:szCs w:val="20"/>
          <w:lang w:bidi="ar"/>
        </w:rPr>
        <w:t>实时连续</w:t>
      </w:r>
      <w:r>
        <w:rPr>
          <w:rFonts w:hint="eastAsia" w:ascii="Cambria Math" w:hAnsi="Cambria Math" w:cs="Cambria Math" w:eastAsiaTheme="minorEastAsia"/>
          <w:kern w:val="0"/>
          <w:sz w:val="20"/>
          <w:szCs w:val="20"/>
          <w:lang w:bidi="ar"/>
        </w:rPr>
        <w:t>对风险源进行</w:t>
      </w:r>
      <w:r>
        <w:rPr>
          <w:rFonts w:hint="eastAsia" w:ascii="Cambria Math" w:hAnsi="Cambria Math" w:eastAsia="Cambria Math" w:cs="Cambria Math"/>
          <w:kern w:val="0"/>
          <w:sz w:val="20"/>
          <w:szCs w:val="20"/>
          <w:lang w:bidi="ar"/>
        </w:rPr>
        <w:t>监测</w:t>
      </w:r>
      <w:r>
        <w:rPr>
          <w:rFonts w:hint="eastAsia" w:ascii="Cambria Math" w:hAnsi="Cambria Math" w:cs="Cambria Math" w:eastAsiaTheme="minorEastAsia"/>
          <w:kern w:val="0"/>
          <w:sz w:val="20"/>
          <w:szCs w:val="20"/>
          <w:lang w:bidi="ar"/>
        </w:rPr>
        <w:t>，并应</w:t>
      </w:r>
      <w:r>
        <w:rPr>
          <w:rFonts w:hint="eastAsia"/>
          <w:sz w:val="20"/>
          <w:szCs w:val="20"/>
        </w:rPr>
        <w:t>及时反馈风险源变形情况</w:t>
      </w:r>
      <w:r>
        <w:rPr>
          <w:rFonts w:hint="eastAsia" w:ascii="Cambria Math" w:hAnsi="Cambria Math" w:cs="Cambria Math" w:eastAsiaTheme="minorEastAsia"/>
          <w:kern w:val="0"/>
          <w:sz w:val="20"/>
          <w:szCs w:val="20"/>
          <w:lang w:bidi="ar"/>
        </w:rPr>
        <w:t>，根据变形情况调整</w:t>
      </w:r>
      <w:r>
        <w:rPr>
          <w:rFonts w:hint="eastAsia" w:ascii="Cambria Math" w:hAnsi="Cambria Math" w:eastAsia="Cambria Math" w:cs="Cambria Math"/>
          <w:kern w:val="0"/>
          <w:sz w:val="20"/>
          <w:szCs w:val="20"/>
          <w:lang w:bidi="ar"/>
        </w:rPr>
        <w:t>开挖面压力、</w:t>
      </w:r>
      <w:r>
        <w:rPr>
          <w:rFonts w:hint="eastAsia" w:ascii="Cambria Math" w:hAnsi="Cambria Math" w:cs="Cambria Math"/>
          <w:kern w:val="0"/>
          <w:sz w:val="20"/>
          <w:szCs w:val="20"/>
          <w:lang w:bidi="ar"/>
        </w:rPr>
        <w:t>顶进</w:t>
      </w:r>
      <w:r>
        <w:rPr>
          <w:rFonts w:hint="eastAsia" w:ascii="Cambria Math" w:hAnsi="Cambria Math" w:eastAsia="Cambria Math" w:cs="Cambria Math"/>
          <w:kern w:val="0"/>
          <w:sz w:val="20"/>
          <w:szCs w:val="20"/>
          <w:lang w:bidi="ar"/>
        </w:rPr>
        <w:t>速度、出渣量</w:t>
      </w:r>
      <w:r>
        <w:rPr>
          <w:rFonts w:hint="eastAsia" w:ascii="Cambria Math" w:hAnsi="Cambria Math" w:cs="Cambria Math"/>
          <w:kern w:val="0"/>
          <w:sz w:val="20"/>
          <w:szCs w:val="20"/>
          <w:lang w:bidi="ar"/>
        </w:rPr>
        <w:t>、浓泥注入</w:t>
      </w:r>
      <w:r>
        <w:rPr>
          <w:rFonts w:hint="eastAsia" w:ascii="Cambria Math" w:hAnsi="Cambria Math" w:eastAsia="Cambria Math" w:cs="Cambria Math"/>
          <w:kern w:val="0"/>
          <w:sz w:val="20"/>
          <w:szCs w:val="20"/>
          <w:lang w:bidi="ar"/>
        </w:rPr>
        <w:t>等施工参数</w:t>
      </w:r>
      <w:r>
        <w:rPr>
          <w:rFonts w:hint="eastAsia"/>
          <w:sz w:val="20"/>
          <w:szCs w:val="20"/>
        </w:rPr>
        <w:t>。</w:t>
      </w:r>
    </w:p>
    <w:p w14:paraId="564D18FB">
      <w:pPr>
        <w:snapToGrid w:val="0"/>
        <w:spacing w:line="288" w:lineRule="auto"/>
        <w:outlineLvl w:val="2"/>
        <w:rPr>
          <w:sz w:val="20"/>
        </w:rPr>
      </w:pPr>
      <w:r>
        <w:rPr>
          <w:rFonts w:hint="eastAsia"/>
          <w:b/>
          <w:sz w:val="20"/>
          <w:szCs w:val="20"/>
        </w:rPr>
        <w:t>6.7.7</w:t>
      </w:r>
      <w:r>
        <w:rPr>
          <w:sz w:val="20"/>
        </w:rPr>
        <w:t xml:space="preserve">  </w:t>
      </w:r>
      <w:r>
        <w:rPr>
          <w:rFonts w:hint="eastAsia" w:ascii="Cambria Math" w:hAnsi="Cambria Math" w:cs="Cambria Math"/>
          <w:kern w:val="0"/>
          <w:sz w:val="20"/>
          <w:szCs w:val="20"/>
          <w:lang w:bidi="ar"/>
        </w:rPr>
        <w:t>顶管</w:t>
      </w:r>
      <w:r>
        <w:rPr>
          <w:rFonts w:hint="eastAsia" w:ascii="Cambria Math" w:hAnsi="Cambria Math" w:eastAsia="Cambria Math" w:cs="Cambria Math"/>
          <w:kern w:val="0"/>
          <w:sz w:val="20"/>
          <w:szCs w:val="20"/>
          <w:lang w:bidi="ar"/>
        </w:rPr>
        <w:t>穿越后，</w:t>
      </w:r>
      <w:r>
        <w:rPr>
          <w:rFonts w:hint="eastAsia" w:ascii="Cambria Math" w:hAnsi="Cambria Math" w:cs="Cambria Math" w:eastAsiaTheme="minorEastAsia"/>
          <w:kern w:val="0"/>
          <w:sz w:val="20"/>
          <w:szCs w:val="20"/>
          <w:lang w:bidi="ar"/>
        </w:rPr>
        <w:t>应</w:t>
      </w:r>
      <w:r>
        <w:rPr>
          <w:rFonts w:hint="eastAsia" w:ascii="Cambria Math" w:hAnsi="Cambria Math" w:cs="Cambria Math"/>
          <w:kern w:val="0"/>
          <w:sz w:val="20"/>
          <w:szCs w:val="20"/>
          <w:lang w:bidi="ar"/>
        </w:rPr>
        <w:t>根据监测结果，</w:t>
      </w:r>
      <w:r>
        <w:rPr>
          <w:rFonts w:hint="eastAsia" w:ascii="Cambria Math" w:hAnsi="Cambria Math" w:cs="Cambria Math" w:eastAsiaTheme="minorEastAsia"/>
          <w:kern w:val="0"/>
          <w:sz w:val="20"/>
          <w:szCs w:val="20"/>
          <w:lang w:bidi="ar"/>
        </w:rPr>
        <w:t>通过</w:t>
      </w:r>
      <w:r>
        <w:rPr>
          <w:rFonts w:hint="eastAsia" w:ascii="Cambria Math" w:hAnsi="Cambria Math" w:eastAsia="Cambria Math" w:cs="Cambria Math"/>
          <w:kern w:val="0"/>
          <w:sz w:val="20"/>
          <w:szCs w:val="20"/>
          <w:lang w:bidi="ar"/>
        </w:rPr>
        <w:t>穿越段</w:t>
      </w:r>
      <w:r>
        <w:rPr>
          <w:rFonts w:hint="eastAsia" w:ascii="Cambria Math" w:hAnsi="Cambria Math" w:cs="Cambria Math"/>
          <w:kern w:val="0"/>
          <w:sz w:val="20"/>
          <w:szCs w:val="20"/>
          <w:lang w:bidi="ar"/>
        </w:rPr>
        <w:t>管节</w:t>
      </w:r>
      <w:r>
        <w:rPr>
          <w:rFonts w:hint="eastAsia" w:ascii="Cambria Math" w:hAnsi="Cambria Math" w:eastAsia="Cambria Math" w:cs="Cambria Math"/>
          <w:kern w:val="0"/>
          <w:sz w:val="20"/>
          <w:szCs w:val="20"/>
          <w:lang w:bidi="ar"/>
        </w:rPr>
        <w:t>预留注浆孔进行多点、少量、多次、均匀地</w:t>
      </w:r>
      <w:r>
        <w:rPr>
          <w:rFonts w:hint="eastAsia" w:ascii="Cambria Math" w:hAnsi="Cambria Math" w:cs="Cambria Math"/>
          <w:kern w:val="0"/>
          <w:sz w:val="20"/>
          <w:szCs w:val="20"/>
          <w:lang w:bidi="ar"/>
        </w:rPr>
        <w:t>分层压入浓泥</w:t>
      </w:r>
      <w:r>
        <w:rPr>
          <w:rFonts w:hint="eastAsia"/>
          <w:sz w:val="20"/>
          <w:szCs w:val="20"/>
        </w:rPr>
        <w:t>。</w:t>
      </w:r>
    </w:p>
    <w:p w14:paraId="4DEFD948">
      <w:pPr>
        <w:snapToGrid w:val="0"/>
        <w:spacing w:line="288" w:lineRule="auto"/>
        <w:outlineLvl w:val="2"/>
        <w:rPr>
          <w:sz w:val="20"/>
        </w:rPr>
      </w:pPr>
      <w:r>
        <w:rPr>
          <w:rFonts w:hint="eastAsia"/>
          <w:b/>
          <w:sz w:val="20"/>
          <w:szCs w:val="20"/>
        </w:rPr>
        <w:t>6.7.8</w:t>
      </w:r>
      <w:r>
        <w:rPr>
          <w:sz w:val="20"/>
        </w:rPr>
        <w:t xml:space="preserve">  </w:t>
      </w:r>
      <w:r>
        <w:rPr>
          <w:rFonts w:hint="eastAsia" w:ascii="Cambria Math" w:hAnsi="Cambria Math" w:cs="Cambria Math"/>
          <w:kern w:val="0"/>
          <w:sz w:val="20"/>
          <w:szCs w:val="20"/>
          <w:lang w:bidi="ar"/>
        </w:rPr>
        <w:t>顶管</w:t>
      </w:r>
      <w:r>
        <w:rPr>
          <w:rFonts w:hint="eastAsia" w:ascii="Cambria Math" w:hAnsi="Cambria Math" w:eastAsia="Cambria Math" w:cs="Cambria Math"/>
          <w:kern w:val="0"/>
          <w:sz w:val="20"/>
          <w:szCs w:val="20"/>
          <w:lang w:bidi="ar"/>
        </w:rPr>
        <w:t>穿越后，</w:t>
      </w:r>
      <w:r>
        <w:rPr>
          <w:rFonts w:hint="eastAsia" w:ascii="Cambria Math" w:hAnsi="Cambria Math" w:cs="Cambria Math" w:eastAsiaTheme="minorEastAsia"/>
          <w:kern w:val="0"/>
          <w:sz w:val="20"/>
          <w:szCs w:val="20"/>
          <w:lang w:bidi="ar"/>
        </w:rPr>
        <w:t>应</w:t>
      </w:r>
      <w:r>
        <w:rPr>
          <w:rFonts w:hint="eastAsia" w:ascii="Cambria Math" w:hAnsi="Cambria Math" w:cs="Cambria Math"/>
          <w:kern w:val="0"/>
          <w:sz w:val="20"/>
          <w:szCs w:val="20"/>
          <w:lang w:bidi="ar"/>
        </w:rPr>
        <w:t>持续监测直至变形稳定</w:t>
      </w:r>
      <w:r>
        <w:rPr>
          <w:rFonts w:hint="eastAsia"/>
          <w:sz w:val="20"/>
          <w:szCs w:val="20"/>
        </w:rPr>
        <w:t>。</w:t>
      </w:r>
    </w:p>
    <w:p w14:paraId="63782252">
      <w:pPr>
        <w:snapToGrid w:val="0"/>
        <w:spacing w:line="288" w:lineRule="auto"/>
        <w:outlineLvl w:val="2"/>
        <w:rPr>
          <w:sz w:val="20"/>
        </w:rPr>
      </w:pPr>
      <w:r>
        <w:rPr>
          <w:rFonts w:hint="eastAsia"/>
          <w:b/>
          <w:sz w:val="20"/>
          <w:szCs w:val="20"/>
        </w:rPr>
        <w:t>6.7.9</w:t>
      </w:r>
      <w:r>
        <w:rPr>
          <w:sz w:val="20"/>
        </w:rPr>
        <w:t xml:space="preserve">  </w:t>
      </w:r>
      <w:r>
        <w:rPr>
          <w:rFonts w:hint="eastAsia" w:ascii="Cambria Math" w:hAnsi="Cambria Math" w:cs="Cambria Math"/>
          <w:kern w:val="0"/>
          <w:sz w:val="20"/>
          <w:szCs w:val="20"/>
          <w:lang w:bidi="ar"/>
        </w:rPr>
        <w:t>顶管</w:t>
      </w:r>
      <w:r>
        <w:rPr>
          <w:rFonts w:hint="eastAsia" w:ascii="Cambria Math" w:hAnsi="Cambria Math" w:eastAsia="Cambria Math" w:cs="Cambria Math"/>
          <w:kern w:val="0"/>
          <w:sz w:val="20"/>
          <w:szCs w:val="20"/>
          <w:lang w:bidi="ar"/>
        </w:rPr>
        <w:t>穿越河湖</w:t>
      </w:r>
      <w:r>
        <w:rPr>
          <w:rFonts w:hint="eastAsia" w:ascii="Cambria Math" w:hAnsi="Cambria Math" w:cs="Cambria Math" w:eastAsiaTheme="minorEastAsia"/>
          <w:kern w:val="0"/>
          <w:sz w:val="20"/>
          <w:szCs w:val="20"/>
          <w:lang w:bidi="ar"/>
        </w:rPr>
        <w:t>时</w:t>
      </w:r>
      <w:r>
        <w:rPr>
          <w:rFonts w:hint="eastAsia" w:ascii="Cambria Math" w:hAnsi="Cambria Math" w:eastAsia="Cambria Math" w:cs="Cambria Math"/>
          <w:kern w:val="0"/>
          <w:sz w:val="20"/>
          <w:szCs w:val="20"/>
          <w:lang w:bidi="ar"/>
        </w:rPr>
        <w:t>，</w:t>
      </w:r>
      <w:r>
        <w:rPr>
          <w:rFonts w:hint="eastAsia" w:ascii="Cambria Math" w:hAnsi="Cambria Math" w:cs="Cambria Math" w:eastAsiaTheme="minorEastAsia"/>
          <w:kern w:val="0"/>
          <w:sz w:val="20"/>
          <w:szCs w:val="20"/>
          <w:lang w:bidi="ar"/>
        </w:rPr>
        <w:t>穿越前</w:t>
      </w:r>
      <w:r>
        <w:rPr>
          <w:rFonts w:hint="eastAsia" w:ascii="Cambria Math" w:hAnsi="Cambria Math" w:eastAsia="Cambria Math" w:cs="Cambria Math"/>
          <w:kern w:val="0"/>
          <w:sz w:val="20"/>
          <w:szCs w:val="20"/>
          <w:lang w:bidi="ar"/>
        </w:rPr>
        <w:t>应对</w:t>
      </w:r>
      <w:r>
        <w:rPr>
          <w:rFonts w:hint="eastAsia" w:ascii="Cambria Math" w:hAnsi="Cambria Math" w:cs="Cambria Math"/>
          <w:kern w:val="0"/>
          <w:sz w:val="20"/>
          <w:szCs w:val="20"/>
          <w:lang w:bidi="ar"/>
        </w:rPr>
        <w:t>顶管</w:t>
      </w:r>
      <w:r>
        <w:rPr>
          <w:rFonts w:hint="eastAsia" w:ascii="Cambria Math" w:hAnsi="Cambria Math" w:eastAsia="Cambria Math" w:cs="Cambria Math"/>
          <w:kern w:val="0"/>
          <w:sz w:val="20"/>
          <w:szCs w:val="20"/>
          <w:lang w:bidi="ar"/>
        </w:rPr>
        <w:t>机密封系统做全面检查和处理</w:t>
      </w:r>
      <w:r>
        <w:rPr>
          <w:rFonts w:hint="eastAsia" w:ascii="Cambria Math" w:hAnsi="Cambria Math" w:cs="Cambria Math" w:eastAsiaTheme="minorEastAsia"/>
          <w:kern w:val="0"/>
          <w:sz w:val="20"/>
          <w:szCs w:val="20"/>
          <w:lang w:bidi="ar"/>
        </w:rPr>
        <w:t>，</w:t>
      </w:r>
      <w:r>
        <w:rPr>
          <w:rFonts w:hint="eastAsia" w:ascii="Cambria Math" w:hAnsi="Cambria Math" w:eastAsia="Cambria Math" w:cs="Cambria Math"/>
          <w:kern w:val="0"/>
          <w:sz w:val="20"/>
          <w:szCs w:val="20"/>
          <w:lang w:bidi="ar"/>
        </w:rPr>
        <w:t>应配备足够的排水设备与设施</w:t>
      </w:r>
      <w:r>
        <w:rPr>
          <w:rFonts w:hint="eastAsia"/>
          <w:sz w:val="20"/>
          <w:szCs w:val="20"/>
        </w:rPr>
        <w:t>。</w:t>
      </w:r>
    </w:p>
    <w:p w14:paraId="4E7D2AAB">
      <w:pPr>
        <w:snapToGrid w:val="0"/>
        <w:spacing w:line="288" w:lineRule="auto"/>
        <w:outlineLvl w:val="2"/>
        <w:rPr>
          <w:sz w:val="20"/>
        </w:rPr>
      </w:pPr>
      <w:r>
        <w:rPr>
          <w:rFonts w:hint="eastAsia"/>
          <w:b/>
          <w:sz w:val="20"/>
          <w:szCs w:val="20"/>
        </w:rPr>
        <w:t>6.7.10</w:t>
      </w:r>
      <w:r>
        <w:rPr>
          <w:sz w:val="20"/>
        </w:rPr>
        <w:t xml:space="preserve">  </w:t>
      </w:r>
      <w:r>
        <w:rPr>
          <w:rFonts w:hint="eastAsia" w:ascii="Cambria Math" w:hAnsi="Cambria Math" w:cs="Cambria Math"/>
          <w:kern w:val="0"/>
          <w:sz w:val="20"/>
          <w:szCs w:val="20"/>
          <w:lang w:bidi="ar"/>
        </w:rPr>
        <w:t>顶管</w:t>
      </w:r>
      <w:r>
        <w:rPr>
          <w:rFonts w:hint="eastAsia" w:ascii="Cambria Math" w:hAnsi="Cambria Math" w:eastAsia="Cambria Math" w:cs="Cambria Math"/>
          <w:kern w:val="0"/>
          <w:sz w:val="20"/>
          <w:szCs w:val="20"/>
          <w:lang w:bidi="ar"/>
        </w:rPr>
        <w:t>穿越</w:t>
      </w:r>
      <w:r>
        <w:rPr>
          <w:rFonts w:hint="eastAsia" w:ascii="Cambria Math" w:hAnsi="Cambria Math" w:cs="Cambria Math" w:eastAsiaTheme="minorEastAsia"/>
          <w:kern w:val="0"/>
          <w:sz w:val="20"/>
          <w:szCs w:val="20"/>
          <w:lang w:bidi="ar"/>
        </w:rPr>
        <w:t>段完成泥浆置换后，应对管节结构外侧进行密实度检测</w:t>
      </w:r>
      <w:r>
        <w:rPr>
          <w:rFonts w:hint="eastAsia"/>
          <w:sz w:val="20"/>
          <w:szCs w:val="20"/>
        </w:rPr>
        <w:t>。</w:t>
      </w:r>
    </w:p>
    <w:p w14:paraId="602C9689">
      <w:pPr>
        <w:snapToGrid w:val="0"/>
        <w:spacing w:line="288" w:lineRule="auto"/>
        <w:ind w:firstLine="300" w:firstLineChars="150"/>
        <w:rPr>
          <w:sz w:val="20"/>
          <w:szCs w:val="20"/>
        </w:rPr>
      </w:pPr>
    </w:p>
    <w:p w14:paraId="0967821A"/>
    <w:p w14:paraId="4F6DB3EC">
      <w:pPr>
        <w:snapToGrid w:val="0"/>
        <w:spacing w:line="288" w:lineRule="auto"/>
        <w:ind w:left="2" w:hanging="2"/>
        <w:jc w:val="center"/>
        <w:outlineLvl w:val="0"/>
        <w:rPr>
          <w:rFonts w:eastAsia="黑体"/>
          <w:b/>
          <w:bCs/>
          <w:kern w:val="44"/>
          <w:sz w:val="26"/>
          <w:szCs w:val="26"/>
        </w:rPr>
      </w:pPr>
      <w:r>
        <w:rPr>
          <w:bCs/>
          <w:sz w:val="20"/>
          <w:szCs w:val="20"/>
        </w:rPr>
        <w:br w:type="page"/>
      </w:r>
      <w:bookmarkStart w:id="344" w:name="_Toc164082929"/>
      <w:bookmarkStart w:id="345" w:name="_Toc185235655"/>
      <w:bookmarkStart w:id="346" w:name="_Toc185236606"/>
      <w:bookmarkStart w:id="347" w:name="_Toc188798558"/>
      <w:bookmarkStart w:id="348" w:name="_Toc188612087"/>
      <w:r>
        <w:rPr>
          <w:rFonts w:eastAsia="黑体"/>
          <w:b/>
          <w:bCs/>
          <w:kern w:val="44"/>
          <w:sz w:val="26"/>
          <w:szCs w:val="26"/>
        </w:rPr>
        <w:t>7</w:t>
      </w:r>
      <w:r>
        <w:rPr>
          <w:rFonts w:hint="eastAsia" w:eastAsia="黑体"/>
          <w:b/>
          <w:bCs/>
          <w:kern w:val="44"/>
          <w:sz w:val="26"/>
          <w:szCs w:val="26"/>
        </w:rPr>
        <w:t xml:space="preserve">  </w:t>
      </w:r>
      <w:bookmarkEnd w:id="344"/>
      <w:r>
        <w:rPr>
          <w:rFonts w:hint="eastAsia" w:eastAsia="黑体"/>
          <w:b/>
          <w:bCs/>
          <w:kern w:val="44"/>
          <w:sz w:val="26"/>
          <w:szCs w:val="26"/>
        </w:rPr>
        <w:t>质量检验</w:t>
      </w:r>
      <w:bookmarkEnd w:id="345"/>
      <w:bookmarkEnd w:id="346"/>
      <w:r>
        <w:rPr>
          <w:rFonts w:hint="eastAsia" w:eastAsia="黑体"/>
          <w:b/>
          <w:bCs/>
          <w:kern w:val="44"/>
          <w:sz w:val="26"/>
          <w:szCs w:val="26"/>
        </w:rPr>
        <w:t>与验收</w:t>
      </w:r>
      <w:bookmarkEnd w:id="347"/>
      <w:bookmarkEnd w:id="348"/>
    </w:p>
    <w:p w14:paraId="4019660C">
      <w:pPr>
        <w:pStyle w:val="3"/>
        <w:snapToGrid w:val="0"/>
        <w:spacing w:before="312" w:beforeLines="100" w:after="0" w:line="288" w:lineRule="auto"/>
        <w:jc w:val="center"/>
        <w:rPr>
          <w:rFonts w:ascii="Times New Roman" w:hAnsi="Times New Roman"/>
          <w:sz w:val="20"/>
          <w:szCs w:val="21"/>
        </w:rPr>
      </w:pPr>
      <w:bookmarkStart w:id="349" w:name="_Toc185236607"/>
      <w:bookmarkStart w:id="350" w:name="_Toc164082930"/>
      <w:bookmarkStart w:id="351" w:name="_Toc185235656"/>
      <w:bookmarkStart w:id="352" w:name="_Toc188612088"/>
      <w:bookmarkStart w:id="353" w:name="_Toc188798559"/>
      <w:r>
        <w:rPr>
          <w:rFonts w:ascii="Times New Roman" w:hAnsi="Times New Roman"/>
          <w:sz w:val="20"/>
          <w:szCs w:val="21"/>
        </w:rPr>
        <w:t xml:space="preserve">7.1 </w:t>
      </w:r>
      <w:r>
        <w:rPr>
          <w:rFonts w:hint="eastAsia" w:ascii="Times New Roman" w:hAnsi="Times New Roman"/>
          <w:sz w:val="20"/>
          <w:szCs w:val="21"/>
        </w:rPr>
        <w:t xml:space="preserve"> 一般规定</w:t>
      </w:r>
      <w:bookmarkEnd w:id="349"/>
      <w:bookmarkEnd w:id="350"/>
      <w:bookmarkEnd w:id="351"/>
      <w:bookmarkEnd w:id="352"/>
      <w:bookmarkEnd w:id="353"/>
      <w:r>
        <w:rPr>
          <w:rFonts w:hint="eastAsia" w:ascii="Times New Roman" w:hAnsi="Times New Roman"/>
          <w:sz w:val="20"/>
          <w:szCs w:val="21"/>
        </w:rPr>
        <w:t xml:space="preserve"> </w:t>
      </w:r>
    </w:p>
    <w:p w14:paraId="16C0D103">
      <w:pPr>
        <w:snapToGrid w:val="0"/>
        <w:spacing w:line="288" w:lineRule="auto"/>
        <w:outlineLvl w:val="2"/>
        <w:rPr>
          <w:sz w:val="20"/>
          <w:szCs w:val="20"/>
        </w:rPr>
      </w:pPr>
      <w:r>
        <w:rPr>
          <w:b/>
          <w:bCs/>
          <w:sz w:val="20"/>
          <w:szCs w:val="20"/>
        </w:rPr>
        <w:t xml:space="preserve">7.1.1  </w:t>
      </w:r>
      <w:r>
        <w:rPr>
          <w:rFonts w:hint="eastAsia"/>
          <w:sz w:val="20"/>
          <w:szCs w:val="20"/>
        </w:rPr>
        <w:t>单位工程、分部工程、分项工程和检验批的划分可按本标准附录A执行。</w:t>
      </w:r>
    </w:p>
    <w:p w14:paraId="6653F3B3">
      <w:pPr>
        <w:snapToGrid w:val="0"/>
        <w:spacing w:line="288" w:lineRule="auto"/>
        <w:outlineLvl w:val="2"/>
        <w:rPr>
          <w:sz w:val="20"/>
          <w:szCs w:val="20"/>
        </w:rPr>
      </w:pPr>
      <w:r>
        <w:rPr>
          <w:b/>
          <w:bCs/>
          <w:sz w:val="20"/>
          <w:szCs w:val="20"/>
        </w:rPr>
        <w:t xml:space="preserve">7.1.2  </w:t>
      </w:r>
      <w:r>
        <w:rPr>
          <w:sz w:val="20"/>
          <w:szCs w:val="20"/>
        </w:rPr>
        <w:t>顶管</w:t>
      </w:r>
      <w:r>
        <w:rPr>
          <w:kern w:val="0"/>
          <w:sz w:val="20"/>
          <w:szCs w:val="20"/>
          <w:lang w:bidi="ar"/>
        </w:rPr>
        <w:t>工程施工</w:t>
      </w:r>
      <w:r>
        <w:rPr>
          <w:sz w:val="20"/>
          <w:szCs w:val="20"/>
        </w:rPr>
        <w:t>质量验收应在施工单位自检基础上，按检验批、分项工程、分部工程、单位工程的顺序进行</w:t>
      </w:r>
      <w:r>
        <w:rPr>
          <w:rFonts w:hint="eastAsia"/>
          <w:sz w:val="20"/>
          <w:szCs w:val="20"/>
        </w:rPr>
        <w:t>，并填写现行《城市轨道交通工程资料管理规程》</w:t>
      </w:r>
      <w:r>
        <w:rPr>
          <w:sz w:val="20"/>
          <w:szCs w:val="20"/>
        </w:rPr>
        <w:t>DB</w:t>
      </w:r>
      <w:r>
        <w:rPr>
          <w:rFonts w:hint="eastAsia"/>
          <w:sz w:val="20"/>
          <w:szCs w:val="20"/>
        </w:rPr>
        <w:t xml:space="preserve"> </w:t>
      </w:r>
      <w:r>
        <w:rPr>
          <w:sz w:val="20"/>
          <w:szCs w:val="20"/>
        </w:rPr>
        <w:t>11</w:t>
      </w:r>
      <w:r>
        <w:rPr>
          <w:rFonts w:hint="eastAsia"/>
          <w:sz w:val="20"/>
          <w:szCs w:val="20"/>
        </w:rPr>
        <w:t>/</w:t>
      </w:r>
      <w:r>
        <w:rPr>
          <w:sz w:val="20"/>
          <w:szCs w:val="20"/>
        </w:rPr>
        <w:t>T 1448</w:t>
      </w:r>
      <w:r>
        <w:rPr>
          <w:rFonts w:hint="eastAsia"/>
          <w:sz w:val="20"/>
          <w:szCs w:val="20"/>
        </w:rPr>
        <w:t>中相应验收记录表</w:t>
      </w:r>
      <w:r>
        <w:rPr>
          <w:sz w:val="20"/>
          <w:szCs w:val="20"/>
        </w:rPr>
        <w:t>。</w:t>
      </w:r>
    </w:p>
    <w:p w14:paraId="4E565C6E">
      <w:pPr>
        <w:snapToGrid w:val="0"/>
        <w:spacing w:line="288" w:lineRule="auto"/>
        <w:outlineLvl w:val="2"/>
        <w:rPr>
          <w:sz w:val="20"/>
          <w:szCs w:val="20"/>
        </w:rPr>
      </w:pPr>
      <w:r>
        <w:rPr>
          <w:b/>
          <w:bCs/>
          <w:sz w:val="20"/>
          <w:szCs w:val="20"/>
        </w:rPr>
        <w:t xml:space="preserve">7.1.3  </w:t>
      </w:r>
      <w:r>
        <w:rPr>
          <w:sz w:val="20"/>
          <w:szCs w:val="20"/>
        </w:rPr>
        <w:t>顶管工程施工质量验收应在施工单位自检合格的基础上，由建设单位组织施工单位、勘察单位、设计单位、监理单位进行验收并应符合下列规定：</w:t>
      </w:r>
    </w:p>
    <w:p w14:paraId="28FFA9BA">
      <w:pPr>
        <w:snapToGrid w:val="0"/>
        <w:spacing w:line="288" w:lineRule="auto"/>
        <w:ind w:firstLine="300" w:firstLineChars="150"/>
        <w:rPr>
          <w:sz w:val="20"/>
          <w:szCs w:val="20"/>
        </w:rPr>
      </w:pPr>
      <w:r>
        <w:rPr>
          <w:b/>
          <w:sz w:val="20"/>
          <w:szCs w:val="20"/>
        </w:rPr>
        <w:t>1</w:t>
      </w:r>
      <w:r>
        <w:rPr>
          <w:sz w:val="20"/>
          <w:szCs w:val="20"/>
        </w:rPr>
        <w:t xml:space="preserve"> 工程施工质量应符合本标准和相关专业验收规范的规定</w:t>
      </w:r>
      <w:r>
        <w:rPr>
          <w:rFonts w:hint="eastAsia"/>
          <w:sz w:val="20"/>
          <w:szCs w:val="20"/>
        </w:rPr>
        <w:t>；</w:t>
      </w:r>
    </w:p>
    <w:p w14:paraId="1957C701">
      <w:pPr>
        <w:snapToGrid w:val="0"/>
        <w:spacing w:line="288" w:lineRule="auto"/>
        <w:ind w:firstLine="300" w:firstLineChars="150"/>
        <w:rPr>
          <w:sz w:val="20"/>
          <w:szCs w:val="20"/>
        </w:rPr>
      </w:pPr>
      <w:r>
        <w:rPr>
          <w:b/>
          <w:sz w:val="20"/>
          <w:szCs w:val="20"/>
        </w:rPr>
        <w:t>2</w:t>
      </w:r>
      <w:r>
        <w:rPr>
          <w:sz w:val="20"/>
          <w:szCs w:val="20"/>
        </w:rPr>
        <w:t xml:space="preserve"> 工程施工质量应符合工程勘察、设计文件的要求</w:t>
      </w:r>
      <w:r>
        <w:rPr>
          <w:rFonts w:hint="eastAsia"/>
          <w:sz w:val="20"/>
          <w:szCs w:val="20"/>
        </w:rPr>
        <w:t>；</w:t>
      </w:r>
    </w:p>
    <w:p w14:paraId="7E69036A">
      <w:pPr>
        <w:snapToGrid w:val="0"/>
        <w:spacing w:line="288" w:lineRule="auto"/>
        <w:ind w:firstLine="300" w:firstLineChars="150"/>
        <w:rPr>
          <w:sz w:val="20"/>
          <w:szCs w:val="20"/>
        </w:rPr>
      </w:pPr>
      <w:r>
        <w:rPr>
          <w:b/>
          <w:sz w:val="20"/>
          <w:szCs w:val="20"/>
        </w:rPr>
        <w:t>3</w:t>
      </w:r>
      <w:r>
        <w:rPr>
          <w:sz w:val="20"/>
          <w:szCs w:val="20"/>
        </w:rPr>
        <w:t xml:space="preserve"> 参加工程施工质量验收的各方人员应具备相应的资格</w:t>
      </w:r>
      <w:r>
        <w:rPr>
          <w:rFonts w:hint="eastAsia"/>
          <w:sz w:val="20"/>
          <w:szCs w:val="20"/>
        </w:rPr>
        <w:t>；</w:t>
      </w:r>
    </w:p>
    <w:p w14:paraId="4493358A">
      <w:pPr>
        <w:snapToGrid w:val="0"/>
        <w:spacing w:line="288" w:lineRule="auto"/>
        <w:ind w:firstLine="300" w:firstLineChars="150"/>
        <w:rPr>
          <w:sz w:val="20"/>
          <w:szCs w:val="20"/>
        </w:rPr>
      </w:pPr>
      <w:r>
        <w:rPr>
          <w:b/>
          <w:sz w:val="20"/>
          <w:szCs w:val="20"/>
        </w:rPr>
        <w:t>4</w:t>
      </w:r>
      <w:r>
        <w:rPr>
          <w:sz w:val="20"/>
          <w:szCs w:val="20"/>
        </w:rPr>
        <w:t xml:space="preserve"> 隐蔽工程在隐蔽前应由施工单位通知监理等单位进行验收，并形成验收文件</w:t>
      </w:r>
      <w:r>
        <w:rPr>
          <w:rFonts w:hint="eastAsia"/>
          <w:sz w:val="20"/>
          <w:szCs w:val="20"/>
        </w:rPr>
        <w:t>；</w:t>
      </w:r>
    </w:p>
    <w:p w14:paraId="6152C4A0">
      <w:pPr>
        <w:snapToGrid w:val="0"/>
        <w:spacing w:line="288" w:lineRule="auto"/>
        <w:ind w:firstLine="300" w:firstLineChars="150"/>
        <w:rPr>
          <w:sz w:val="20"/>
          <w:szCs w:val="20"/>
        </w:rPr>
      </w:pPr>
      <w:r>
        <w:rPr>
          <w:b/>
          <w:sz w:val="20"/>
          <w:szCs w:val="20"/>
        </w:rPr>
        <w:t>5</w:t>
      </w:r>
      <w:r>
        <w:rPr>
          <w:sz w:val="20"/>
          <w:szCs w:val="20"/>
        </w:rPr>
        <w:t xml:space="preserve"> 涉及结构安全和使用功能的试块、试件和现场检测项目，应按规定进行平行检测或见证取样检测</w:t>
      </w:r>
      <w:r>
        <w:rPr>
          <w:rFonts w:hint="eastAsia"/>
          <w:sz w:val="20"/>
          <w:szCs w:val="20"/>
        </w:rPr>
        <w:t>；</w:t>
      </w:r>
    </w:p>
    <w:p w14:paraId="0CBF9082">
      <w:pPr>
        <w:snapToGrid w:val="0"/>
        <w:spacing w:line="288" w:lineRule="auto"/>
        <w:ind w:firstLine="300" w:firstLineChars="150"/>
        <w:rPr>
          <w:sz w:val="20"/>
          <w:szCs w:val="20"/>
        </w:rPr>
      </w:pPr>
      <w:r>
        <w:rPr>
          <w:b/>
          <w:sz w:val="20"/>
          <w:szCs w:val="20"/>
        </w:rPr>
        <w:t>6</w:t>
      </w:r>
      <w:r>
        <w:rPr>
          <w:sz w:val="20"/>
          <w:szCs w:val="20"/>
        </w:rPr>
        <w:t xml:space="preserve"> 承担检测的单位应具有相应资质</w:t>
      </w:r>
      <w:r>
        <w:rPr>
          <w:rFonts w:hint="eastAsia"/>
          <w:sz w:val="20"/>
          <w:szCs w:val="20"/>
        </w:rPr>
        <w:t>；</w:t>
      </w:r>
    </w:p>
    <w:p w14:paraId="4441CD56">
      <w:pPr>
        <w:snapToGrid w:val="0"/>
        <w:spacing w:line="288" w:lineRule="auto"/>
        <w:ind w:firstLine="300" w:firstLineChars="150"/>
        <w:rPr>
          <w:sz w:val="20"/>
          <w:szCs w:val="20"/>
        </w:rPr>
      </w:pPr>
      <w:r>
        <w:rPr>
          <w:b/>
          <w:sz w:val="20"/>
          <w:szCs w:val="20"/>
        </w:rPr>
        <w:t>7</w:t>
      </w:r>
      <w:r>
        <w:rPr>
          <w:sz w:val="20"/>
          <w:szCs w:val="20"/>
        </w:rPr>
        <w:t xml:space="preserve"> 外观质量应由质量验收人员通过现场检査共同确认。</w:t>
      </w:r>
    </w:p>
    <w:p w14:paraId="1D17DC86">
      <w:pPr>
        <w:snapToGrid w:val="0"/>
        <w:spacing w:line="288" w:lineRule="auto"/>
        <w:outlineLvl w:val="2"/>
        <w:rPr>
          <w:sz w:val="20"/>
          <w:szCs w:val="20"/>
        </w:rPr>
      </w:pPr>
      <w:r>
        <w:rPr>
          <w:b/>
          <w:bCs/>
          <w:sz w:val="20"/>
          <w:szCs w:val="20"/>
        </w:rPr>
        <w:t xml:space="preserve">7.1.4  </w:t>
      </w:r>
      <w:r>
        <w:rPr>
          <w:rFonts w:hint="eastAsia"/>
          <w:sz w:val="20"/>
          <w:szCs w:val="20"/>
        </w:rPr>
        <w:t>工程质量验收不合格时，应按下列规定处理：</w:t>
      </w:r>
    </w:p>
    <w:p w14:paraId="7632F4CD">
      <w:pPr>
        <w:snapToGrid w:val="0"/>
        <w:spacing w:line="288" w:lineRule="auto"/>
        <w:ind w:firstLine="300" w:firstLineChars="150"/>
        <w:rPr>
          <w:sz w:val="20"/>
          <w:szCs w:val="20"/>
        </w:rPr>
      </w:pPr>
      <w:r>
        <w:rPr>
          <w:rFonts w:hint="eastAsia"/>
          <w:b/>
          <w:sz w:val="20"/>
          <w:szCs w:val="20"/>
        </w:rPr>
        <w:t>1</w:t>
      </w:r>
      <w:r>
        <w:rPr>
          <w:sz w:val="20"/>
          <w:szCs w:val="20"/>
        </w:rPr>
        <w:t xml:space="preserve">  </w:t>
      </w:r>
      <w:r>
        <w:rPr>
          <w:rFonts w:hint="eastAsia"/>
          <w:sz w:val="20"/>
          <w:szCs w:val="20"/>
        </w:rPr>
        <w:t>经返工重做的检验批，应重新进行验收；</w:t>
      </w:r>
    </w:p>
    <w:p w14:paraId="51F664CD">
      <w:pPr>
        <w:snapToGrid w:val="0"/>
        <w:spacing w:line="288" w:lineRule="auto"/>
        <w:ind w:firstLine="300" w:firstLineChars="150"/>
        <w:rPr>
          <w:sz w:val="20"/>
          <w:szCs w:val="20"/>
        </w:rPr>
      </w:pPr>
      <w:r>
        <w:rPr>
          <w:b/>
          <w:sz w:val="20"/>
          <w:szCs w:val="20"/>
        </w:rPr>
        <w:t xml:space="preserve">2 </w:t>
      </w:r>
      <w:r>
        <w:rPr>
          <w:sz w:val="20"/>
          <w:szCs w:val="20"/>
        </w:rPr>
        <w:t xml:space="preserve"> </w:t>
      </w:r>
      <w:r>
        <w:rPr>
          <w:rFonts w:hint="eastAsia"/>
          <w:sz w:val="20"/>
          <w:szCs w:val="20"/>
        </w:rPr>
        <w:t>经检测单位检测鉴定能够达到设计要求的检验批，应予以验收；</w:t>
      </w:r>
    </w:p>
    <w:p w14:paraId="734C6E4A">
      <w:pPr>
        <w:snapToGrid w:val="0"/>
        <w:spacing w:line="288" w:lineRule="auto"/>
        <w:ind w:firstLine="300" w:firstLineChars="150"/>
        <w:rPr>
          <w:sz w:val="20"/>
          <w:szCs w:val="20"/>
        </w:rPr>
      </w:pPr>
      <w:r>
        <w:rPr>
          <w:rFonts w:hint="eastAsia"/>
          <w:b/>
          <w:sz w:val="20"/>
          <w:szCs w:val="20"/>
        </w:rPr>
        <w:t>3</w:t>
      </w:r>
      <w:r>
        <w:rPr>
          <w:b/>
          <w:sz w:val="20"/>
          <w:szCs w:val="20"/>
        </w:rPr>
        <w:t xml:space="preserve"> </w:t>
      </w:r>
      <w:r>
        <w:rPr>
          <w:rFonts w:hint="eastAsia"/>
          <w:sz w:val="20"/>
          <w:szCs w:val="20"/>
        </w:rPr>
        <w:t xml:space="preserve"> 经检测单位检测鉴定达不到设计要求，但经原设计单位验算认可，能够满足结构安全和使用功能要求的检验批，可予以验收；</w:t>
      </w:r>
    </w:p>
    <w:p w14:paraId="261A98B1">
      <w:pPr>
        <w:snapToGrid w:val="0"/>
        <w:spacing w:line="288" w:lineRule="auto"/>
        <w:ind w:firstLine="300" w:firstLineChars="150"/>
        <w:rPr>
          <w:sz w:val="20"/>
          <w:szCs w:val="20"/>
        </w:rPr>
      </w:pPr>
      <w:r>
        <w:rPr>
          <w:b/>
          <w:sz w:val="20"/>
          <w:szCs w:val="20"/>
        </w:rPr>
        <w:t xml:space="preserve">4 </w:t>
      </w:r>
      <w:r>
        <w:rPr>
          <w:sz w:val="20"/>
          <w:szCs w:val="20"/>
        </w:rPr>
        <w:t xml:space="preserve"> </w:t>
      </w:r>
      <w:r>
        <w:rPr>
          <w:rFonts w:hint="eastAsia"/>
          <w:sz w:val="20"/>
          <w:szCs w:val="20"/>
        </w:rPr>
        <w:t>经返修或加固处理的分项工程、分部工程虽改变外形尺寸但仍能满足结构安全和使用功能要求，可按技术处理方案文件和协商文件进行验收。</w:t>
      </w:r>
    </w:p>
    <w:p w14:paraId="2A1950AB">
      <w:pPr>
        <w:snapToGrid w:val="0"/>
        <w:spacing w:line="288" w:lineRule="auto"/>
        <w:outlineLvl w:val="2"/>
        <w:rPr>
          <w:bCs/>
          <w:sz w:val="20"/>
          <w:szCs w:val="20"/>
        </w:rPr>
      </w:pPr>
      <w:r>
        <w:rPr>
          <w:b/>
          <w:bCs/>
          <w:sz w:val="20"/>
          <w:szCs w:val="20"/>
        </w:rPr>
        <w:t>7.1.</w:t>
      </w:r>
      <w:r>
        <w:rPr>
          <w:rFonts w:hint="eastAsia"/>
          <w:b/>
          <w:bCs/>
          <w:sz w:val="20"/>
          <w:szCs w:val="20"/>
        </w:rPr>
        <w:t xml:space="preserve">5  </w:t>
      </w:r>
      <w:r>
        <w:rPr>
          <w:rFonts w:hint="eastAsia"/>
          <w:bCs/>
          <w:sz w:val="20"/>
          <w:szCs w:val="20"/>
        </w:rPr>
        <w:t>矩形顶管施工质量检验除符合本标准要求外，尚应符合现行《城市轨道交通工程质量验收标准 第1部分：土建工程》D</w:t>
      </w:r>
      <w:r>
        <w:rPr>
          <w:bCs/>
          <w:sz w:val="20"/>
          <w:szCs w:val="20"/>
        </w:rPr>
        <w:t>B11/T 311.1</w:t>
      </w:r>
      <w:r>
        <w:rPr>
          <w:rFonts w:hint="eastAsia"/>
          <w:bCs/>
          <w:sz w:val="20"/>
          <w:szCs w:val="20"/>
        </w:rPr>
        <w:t>的规定。</w:t>
      </w:r>
    </w:p>
    <w:p w14:paraId="26CB96B8">
      <w:pPr>
        <w:pStyle w:val="3"/>
        <w:snapToGrid w:val="0"/>
        <w:spacing w:before="312" w:beforeLines="100" w:after="0" w:line="288" w:lineRule="auto"/>
        <w:jc w:val="center"/>
        <w:rPr>
          <w:rFonts w:ascii="Times New Roman" w:hAnsi="Times New Roman"/>
          <w:sz w:val="20"/>
          <w:szCs w:val="21"/>
        </w:rPr>
      </w:pPr>
      <w:bookmarkStart w:id="354" w:name="_Toc170810218"/>
      <w:bookmarkStart w:id="355" w:name="_Toc188798560"/>
      <w:bookmarkStart w:id="356" w:name="_Toc185235657"/>
      <w:bookmarkStart w:id="357" w:name="_Toc185236608"/>
      <w:bookmarkStart w:id="358" w:name="_Toc188612089"/>
      <w:r>
        <w:rPr>
          <w:rFonts w:ascii="Times New Roman" w:hAnsi="Times New Roman"/>
          <w:sz w:val="20"/>
          <w:szCs w:val="21"/>
        </w:rPr>
        <w:t xml:space="preserve">7.2 </w:t>
      </w:r>
      <w:r>
        <w:rPr>
          <w:rFonts w:hint="eastAsia" w:ascii="Times New Roman" w:hAnsi="Times New Roman"/>
          <w:sz w:val="20"/>
          <w:szCs w:val="21"/>
        </w:rPr>
        <w:t xml:space="preserve"> </w:t>
      </w:r>
      <w:r>
        <w:rPr>
          <w:rFonts w:ascii="Times New Roman" w:hAnsi="Times New Roman"/>
          <w:sz w:val="20"/>
          <w:szCs w:val="21"/>
        </w:rPr>
        <w:t>管节现场质量</w:t>
      </w:r>
      <w:bookmarkEnd w:id="354"/>
      <w:r>
        <w:rPr>
          <w:rFonts w:hint="eastAsia" w:ascii="Times New Roman" w:hAnsi="Times New Roman"/>
          <w:sz w:val="20"/>
          <w:szCs w:val="21"/>
        </w:rPr>
        <w:t>检验</w:t>
      </w:r>
      <w:bookmarkEnd w:id="355"/>
      <w:bookmarkEnd w:id="356"/>
      <w:bookmarkEnd w:id="357"/>
      <w:bookmarkEnd w:id="358"/>
    </w:p>
    <w:p w14:paraId="1FD079BD">
      <w:pPr>
        <w:snapToGrid w:val="0"/>
        <w:spacing w:before="156" w:beforeLines="50" w:after="156" w:afterLines="50" w:line="288" w:lineRule="auto"/>
        <w:jc w:val="center"/>
        <w:rPr>
          <w:b/>
          <w:bCs/>
          <w:sz w:val="20"/>
        </w:rPr>
      </w:pPr>
      <w:r>
        <w:rPr>
          <w:b/>
          <w:bCs/>
          <w:sz w:val="20"/>
        </w:rPr>
        <w:t>主控项目</w:t>
      </w:r>
    </w:p>
    <w:p w14:paraId="200D4530">
      <w:pPr>
        <w:snapToGrid w:val="0"/>
        <w:spacing w:line="288" w:lineRule="auto"/>
        <w:outlineLvl w:val="2"/>
        <w:rPr>
          <w:sz w:val="20"/>
          <w:szCs w:val="20"/>
        </w:rPr>
      </w:pPr>
      <w:r>
        <w:rPr>
          <w:b/>
          <w:bCs/>
          <w:sz w:val="20"/>
        </w:rPr>
        <w:t xml:space="preserve">7.2.1  </w:t>
      </w:r>
      <w:r>
        <w:rPr>
          <w:rFonts w:hint="eastAsia"/>
          <w:sz w:val="20"/>
          <w:szCs w:val="20"/>
        </w:rPr>
        <w:t>管节的混凝土强度及抗渗等级应满足设计要求。</w:t>
      </w:r>
    </w:p>
    <w:p w14:paraId="09D2904B">
      <w:pPr>
        <w:snapToGrid w:val="0"/>
        <w:spacing w:line="288" w:lineRule="auto"/>
        <w:ind w:firstLine="300" w:firstLineChars="150"/>
        <w:rPr>
          <w:sz w:val="20"/>
          <w:szCs w:val="20"/>
        </w:rPr>
      </w:pPr>
      <w:r>
        <w:rPr>
          <w:rFonts w:hint="eastAsia"/>
          <w:sz w:val="20"/>
          <w:szCs w:val="20"/>
        </w:rPr>
        <w:t>检验方法：检查管节质量证明文件。</w:t>
      </w:r>
    </w:p>
    <w:p w14:paraId="0CF480CB">
      <w:pPr>
        <w:snapToGrid w:val="0"/>
        <w:spacing w:line="288" w:lineRule="auto"/>
        <w:ind w:firstLine="300" w:firstLineChars="150"/>
        <w:rPr>
          <w:sz w:val="20"/>
          <w:szCs w:val="20"/>
        </w:rPr>
      </w:pPr>
      <w:r>
        <w:rPr>
          <w:rFonts w:hint="eastAsia"/>
          <w:sz w:val="20"/>
          <w:szCs w:val="20"/>
        </w:rPr>
        <w:t>检查数量：逐节检验。</w:t>
      </w:r>
    </w:p>
    <w:p w14:paraId="18AF34EB">
      <w:pPr>
        <w:snapToGrid w:val="0"/>
        <w:spacing w:line="288" w:lineRule="auto"/>
        <w:outlineLvl w:val="2"/>
        <w:rPr>
          <w:sz w:val="20"/>
          <w:szCs w:val="20"/>
        </w:rPr>
      </w:pPr>
      <w:r>
        <w:rPr>
          <w:b/>
          <w:bCs/>
          <w:sz w:val="20"/>
        </w:rPr>
        <w:t xml:space="preserve">7.2.2  </w:t>
      </w:r>
      <w:r>
        <w:rPr>
          <w:rFonts w:hint="eastAsia"/>
          <w:sz w:val="20"/>
          <w:szCs w:val="20"/>
        </w:rPr>
        <w:t>管节上的预埋件、预留插筋、预埋管线和预留孔洞的规格、位置和数量应满足设计要求。</w:t>
      </w:r>
    </w:p>
    <w:p w14:paraId="567C8CC1">
      <w:pPr>
        <w:snapToGrid w:val="0"/>
        <w:spacing w:line="288" w:lineRule="auto"/>
        <w:ind w:firstLine="300" w:firstLineChars="150"/>
        <w:rPr>
          <w:sz w:val="20"/>
          <w:szCs w:val="20"/>
        </w:rPr>
      </w:pPr>
      <w:r>
        <w:rPr>
          <w:rFonts w:hint="eastAsia"/>
          <w:sz w:val="20"/>
          <w:szCs w:val="20"/>
        </w:rPr>
        <w:t>检验方法：查阅设计文件，目测，量测。</w:t>
      </w:r>
    </w:p>
    <w:p w14:paraId="5EEFB4CB">
      <w:pPr>
        <w:snapToGrid w:val="0"/>
        <w:spacing w:line="288" w:lineRule="auto"/>
        <w:ind w:firstLine="300" w:firstLineChars="150"/>
        <w:rPr>
          <w:rFonts w:hAnsi="Cambria Math"/>
          <w:bCs/>
          <w:sz w:val="20"/>
          <w:szCs w:val="20"/>
        </w:rPr>
      </w:pPr>
      <w:r>
        <w:rPr>
          <w:rFonts w:hint="eastAsia"/>
          <w:sz w:val="20"/>
          <w:szCs w:val="20"/>
        </w:rPr>
        <w:t>检查数量：全数检查。</w:t>
      </w:r>
    </w:p>
    <w:p w14:paraId="643E0C4B">
      <w:pPr>
        <w:snapToGrid w:val="0"/>
        <w:spacing w:line="288" w:lineRule="auto"/>
        <w:outlineLvl w:val="2"/>
        <w:rPr>
          <w:sz w:val="20"/>
        </w:rPr>
      </w:pPr>
      <w:r>
        <w:rPr>
          <w:b/>
          <w:bCs/>
          <w:sz w:val="20"/>
        </w:rPr>
        <w:t xml:space="preserve">7.2.3 </w:t>
      </w:r>
      <w:r>
        <w:rPr>
          <w:rFonts w:hint="eastAsia"/>
          <w:b/>
          <w:bCs/>
          <w:sz w:val="20"/>
        </w:rPr>
        <w:t xml:space="preserve"> </w:t>
      </w:r>
      <w:r>
        <w:rPr>
          <w:sz w:val="20"/>
          <w:szCs w:val="20"/>
        </w:rPr>
        <w:t>预制管节外观质量不应有严重缺陷</w:t>
      </w:r>
      <w:r>
        <w:rPr>
          <w:sz w:val="20"/>
        </w:rPr>
        <w:t>，且不应有影响结构性能和安装、使用功能的尺寸偏差。</w:t>
      </w:r>
    </w:p>
    <w:p w14:paraId="039096AC">
      <w:pPr>
        <w:snapToGrid w:val="0"/>
        <w:spacing w:line="288" w:lineRule="auto"/>
        <w:ind w:firstLine="300" w:firstLineChars="150"/>
        <w:rPr>
          <w:sz w:val="20"/>
        </w:rPr>
      </w:pPr>
      <w:r>
        <w:rPr>
          <w:sz w:val="20"/>
        </w:rPr>
        <w:t>检验方法：目测，尺量；检查处理记录。</w:t>
      </w:r>
    </w:p>
    <w:p w14:paraId="55469A73">
      <w:pPr>
        <w:snapToGrid w:val="0"/>
        <w:spacing w:line="288" w:lineRule="auto"/>
        <w:ind w:firstLine="300" w:firstLineChars="150"/>
        <w:rPr>
          <w:sz w:val="20"/>
        </w:rPr>
      </w:pPr>
      <w:r>
        <w:rPr>
          <w:sz w:val="20"/>
        </w:rPr>
        <w:t>检查数量：全数检查。</w:t>
      </w:r>
    </w:p>
    <w:p w14:paraId="25F7D769">
      <w:pPr>
        <w:snapToGrid w:val="0"/>
        <w:spacing w:before="156" w:beforeLines="50" w:after="156" w:afterLines="50" w:line="288" w:lineRule="auto"/>
        <w:jc w:val="center"/>
        <w:rPr>
          <w:b/>
          <w:bCs/>
          <w:sz w:val="20"/>
        </w:rPr>
      </w:pPr>
      <w:r>
        <w:rPr>
          <w:b/>
          <w:bCs/>
          <w:sz w:val="20"/>
        </w:rPr>
        <w:t>一般项目</w:t>
      </w:r>
    </w:p>
    <w:p w14:paraId="351FF73C">
      <w:pPr>
        <w:snapToGrid w:val="0"/>
        <w:spacing w:line="288" w:lineRule="auto"/>
        <w:outlineLvl w:val="2"/>
        <w:rPr>
          <w:sz w:val="20"/>
        </w:rPr>
      </w:pPr>
      <w:r>
        <w:rPr>
          <w:b/>
          <w:bCs/>
          <w:sz w:val="20"/>
        </w:rPr>
        <w:t xml:space="preserve">7.2.4  </w:t>
      </w:r>
      <w:r>
        <w:rPr>
          <w:sz w:val="20"/>
          <w:szCs w:val="20"/>
        </w:rPr>
        <w:t>预制管节</w:t>
      </w:r>
      <w:r>
        <w:rPr>
          <w:kern w:val="0"/>
          <w:sz w:val="20"/>
          <w:szCs w:val="20"/>
          <w:lang w:bidi="ar"/>
        </w:rPr>
        <w:t>进场</w:t>
      </w:r>
      <w:r>
        <w:rPr>
          <w:sz w:val="20"/>
          <w:szCs w:val="20"/>
        </w:rPr>
        <w:t>应有标识</w:t>
      </w:r>
      <w:r>
        <w:rPr>
          <w:sz w:val="20"/>
        </w:rPr>
        <w:t>，注明管节相关生产信息和顶进序号。</w:t>
      </w:r>
    </w:p>
    <w:p w14:paraId="40330E51">
      <w:pPr>
        <w:snapToGrid w:val="0"/>
        <w:spacing w:line="288" w:lineRule="auto"/>
        <w:ind w:firstLine="300" w:firstLineChars="150"/>
        <w:rPr>
          <w:sz w:val="20"/>
        </w:rPr>
      </w:pPr>
      <w:r>
        <w:rPr>
          <w:sz w:val="20"/>
        </w:rPr>
        <w:t>检验方法：观察。</w:t>
      </w:r>
    </w:p>
    <w:p w14:paraId="088F4BE8">
      <w:pPr>
        <w:snapToGrid w:val="0"/>
        <w:spacing w:line="288" w:lineRule="auto"/>
        <w:ind w:firstLine="300" w:firstLineChars="150"/>
        <w:rPr>
          <w:sz w:val="20"/>
        </w:rPr>
      </w:pPr>
      <w:r>
        <w:rPr>
          <w:sz w:val="20"/>
        </w:rPr>
        <w:t>检查数量：全效检查。</w:t>
      </w:r>
    </w:p>
    <w:p w14:paraId="59CB0B2F">
      <w:pPr>
        <w:snapToGrid w:val="0"/>
        <w:spacing w:line="288" w:lineRule="auto"/>
        <w:outlineLvl w:val="2"/>
        <w:rPr>
          <w:b/>
          <w:bCs/>
          <w:sz w:val="20"/>
        </w:rPr>
      </w:pPr>
      <w:r>
        <w:rPr>
          <w:b/>
          <w:bCs/>
          <w:sz w:val="20"/>
        </w:rPr>
        <w:t xml:space="preserve">7.2.5  </w:t>
      </w:r>
      <w:r>
        <w:rPr>
          <w:rFonts w:hint="eastAsia"/>
          <w:sz w:val="20"/>
          <w:szCs w:val="20"/>
        </w:rPr>
        <w:t>预制管节外观质量不应有一般缺陷。对出现的一般缺陷应进行修整并达到合格。</w:t>
      </w:r>
    </w:p>
    <w:p w14:paraId="48D6BCEF">
      <w:pPr>
        <w:snapToGrid w:val="0"/>
        <w:spacing w:line="288" w:lineRule="auto"/>
        <w:ind w:firstLine="300" w:firstLineChars="150"/>
        <w:rPr>
          <w:sz w:val="20"/>
        </w:rPr>
      </w:pPr>
      <w:r>
        <w:rPr>
          <w:rFonts w:hint="eastAsia"/>
          <w:sz w:val="20"/>
        </w:rPr>
        <w:t>检验方法：目测，检查处理记录。</w:t>
      </w:r>
    </w:p>
    <w:p w14:paraId="09707C90">
      <w:pPr>
        <w:snapToGrid w:val="0"/>
        <w:spacing w:line="288" w:lineRule="auto"/>
        <w:ind w:firstLine="300" w:firstLineChars="150"/>
        <w:rPr>
          <w:sz w:val="20"/>
        </w:rPr>
      </w:pPr>
      <w:r>
        <w:rPr>
          <w:rFonts w:hint="eastAsia"/>
          <w:sz w:val="20"/>
        </w:rPr>
        <w:t>检查数量：全数检查。</w:t>
      </w:r>
    </w:p>
    <w:p w14:paraId="2F9A6EA5">
      <w:pPr>
        <w:snapToGrid w:val="0"/>
        <w:spacing w:line="288" w:lineRule="auto"/>
        <w:outlineLvl w:val="2"/>
        <w:rPr>
          <w:sz w:val="20"/>
        </w:rPr>
      </w:pPr>
      <w:r>
        <w:rPr>
          <w:b/>
          <w:bCs/>
          <w:sz w:val="20"/>
        </w:rPr>
        <w:t xml:space="preserve">7.2.6  </w:t>
      </w:r>
      <w:r>
        <w:rPr>
          <w:sz w:val="20"/>
          <w:szCs w:val="20"/>
        </w:rPr>
        <w:t>管节</w:t>
      </w:r>
      <w:r>
        <w:rPr>
          <w:kern w:val="0"/>
          <w:sz w:val="20"/>
          <w:szCs w:val="20"/>
          <w:lang w:bidi="ar"/>
        </w:rPr>
        <w:t>插口</w:t>
      </w:r>
      <w:r>
        <w:rPr>
          <w:sz w:val="20"/>
          <w:szCs w:val="20"/>
        </w:rPr>
        <w:t>橡胶密封圈槽口处的混凝土表面应平整</w:t>
      </w:r>
      <w:r>
        <w:rPr>
          <w:sz w:val="20"/>
        </w:rPr>
        <w:t>、密实</w:t>
      </w:r>
      <w:r>
        <w:rPr>
          <w:rFonts w:hint="eastAsia"/>
          <w:sz w:val="20"/>
        </w:rPr>
        <w:t>，</w:t>
      </w:r>
      <w:r>
        <w:rPr>
          <w:sz w:val="20"/>
        </w:rPr>
        <w:t>不应有气孔、裂纹和合缝漏浆等缺陷。</w:t>
      </w:r>
    </w:p>
    <w:p w14:paraId="625B7988">
      <w:pPr>
        <w:snapToGrid w:val="0"/>
        <w:spacing w:line="288" w:lineRule="auto"/>
        <w:ind w:firstLine="300" w:firstLineChars="150"/>
        <w:rPr>
          <w:sz w:val="20"/>
        </w:rPr>
      </w:pPr>
      <w:r>
        <w:rPr>
          <w:sz w:val="20"/>
        </w:rPr>
        <w:t>检查方法：目测。</w:t>
      </w:r>
    </w:p>
    <w:p w14:paraId="25C2CA4B">
      <w:pPr>
        <w:snapToGrid w:val="0"/>
        <w:spacing w:line="288" w:lineRule="auto"/>
        <w:ind w:firstLine="300" w:firstLineChars="150"/>
        <w:rPr>
          <w:sz w:val="20"/>
        </w:rPr>
      </w:pPr>
      <w:r>
        <w:rPr>
          <w:sz w:val="20"/>
        </w:rPr>
        <w:t>检查数量：全数检查</w:t>
      </w:r>
      <w:r>
        <w:rPr>
          <w:rFonts w:hint="eastAsia"/>
          <w:sz w:val="20"/>
        </w:rPr>
        <w:t>。</w:t>
      </w:r>
    </w:p>
    <w:p w14:paraId="15D32313">
      <w:pPr>
        <w:snapToGrid w:val="0"/>
        <w:spacing w:line="288" w:lineRule="auto"/>
        <w:outlineLvl w:val="2"/>
        <w:rPr>
          <w:sz w:val="20"/>
        </w:rPr>
      </w:pPr>
      <w:r>
        <w:rPr>
          <w:b/>
          <w:bCs/>
          <w:sz w:val="20"/>
        </w:rPr>
        <w:t>7.2.7</w:t>
      </w:r>
      <w:r>
        <w:rPr>
          <w:sz w:val="20"/>
        </w:rPr>
        <w:t xml:space="preserve">  </w:t>
      </w:r>
      <w:r>
        <w:rPr>
          <w:rFonts w:hint="eastAsia"/>
          <w:sz w:val="20"/>
        </w:rPr>
        <w:t>传力衬垫表面应平整无剥落，粘贴牢固，位置准确。</w:t>
      </w:r>
    </w:p>
    <w:p w14:paraId="6FF78DD4">
      <w:pPr>
        <w:snapToGrid w:val="0"/>
        <w:spacing w:line="288" w:lineRule="auto"/>
        <w:ind w:firstLine="300" w:firstLineChars="150"/>
        <w:rPr>
          <w:sz w:val="20"/>
        </w:rPr>
      </w:pPr>
      <w:r>
        <w:rPr>
          <w:rFonts w:hint="eastAsia"/>
          <w:sz w:val="20"/>
        </w:rPr>
        <w:t>检查方法：</w:t>
      </w:r>
      <w:r>
        <w:rPr>
          <w:sz w:val="20"/>
        </w:rPr>
        <w:t>目测</w:t>
      </w:r>
      <w:r>
        <w:rPr>
          <w:rFonts w:hint="eastAsia"/>
          <w:sz w:val="20"/>
        </w:rPr>
        <w:t>。</w:t>
      </w:r>
    </w:p>
    <w:p w14:paraId="5ADB947B">
      <w:pPr>
        <w:snapToGrid w:val="0"/>
        <w:spacing w:line="288" w:lineRule="auto"/>
        <w:ind w:firstLine="300" w:firstLineChars="150"/>
        <w:rPr>
          <w:sz w:val="20"/>
        </w:rPr>
      </w:pPr>
      <w:r>
        <w:rPr>
          <w:sz w:val="20"/>
        </w:rPr>
        <w:t>检查数量：全数检查</w:t>
      </w:r>
      <w:r>
        <w:rPr>
          <w:rFonts w:hint="eastAsia"/>
          <w:sz w:val="20"/>
        </w:rPr>
        <w:t>。</w:t>
      </w:r>
    </w:p>
    <w:p w14:paraId="0A9E1AD5">
      <w:pPr>
        <w:snapToGrid w:val="0"/>
        <w:spacing w:line="288" w:lineRule="auto"/>
        <w:outlineLvl w:val="2"/>
        <w:rPr>
          <w:sz w:val="20"/>
        </w:rPr>
      </w:pPr>
      <w:r>
        <w:rPr>
          <w:b/>
          <w:bCs/>
          <w:sz w:val="20"/>
        </w:rPr>
        <w:t xml:space="preserve">7.2.8 </w:t>
      </w:r>
      <w:r>
        <w:rPr>
          <w:sz w:val="20"/>
        </w:rPr>
        <w:t xml:space="preserve"> </w:t>
      </w:r>
      <w:r>
        <w:rPr>
          <w:rFonts w:hint="eastAsia"/>
          <w:sz w:val="20"/>
        </w:rPr>
        <w:t>橡胶圈安装位置应正确，无位移、脱落现象；橡胶圈粘接剂涂刷应均匀、粘接牢固、无折皱、断面无明显收缩。</w:t>
      </w:r>
    </w:p>
    <w:p w14:paraId="50EED8E0">
      <w:pPr>
        <w:snapToGrid w:val="0"/>
        <w:spacing w:line="288" w:lineRule="auto"/>
        <w:ind w:firstLine="300" w:firstLineChars="150"/>
        <w:rPr>
          <w:sz w:val="20"/>
        </w:rPr>
      </w:pPr>
      <w:r>
        <w:rPr>
          <w:rFonts w:hint="eastAsia"/>
          <w:sz w:val="20"/>
        </w:rPr>
        <w:t>检查方法：</w:t>
      </w:r>
      <w:r>
        <w:rPr>
          <w:sz w:val="20"/>
        </w:rPr>
        <w:t>目测</w:t>
      </w:r>
      <w:r>
        <w:rPr>
          <w:rFonts w:hint="eastAsia"/>
          <w:sz w:val="20"/>
        </w:rPr>
        <w:t>。</w:t>
      </w:r>
    </w:p>
    <w:p w14:paraId="7E86F252">
      <w:pPr>
        <w:snapToGrid w:val="0"/>
        <w:spacing w:line="288" w:lineRule="auto"/>
        <w:ind w:firstLine="300" w:firstLineChars="150"/>
        <w:rPr>
          <w:b/>
          <w:bCs/>
          <w:sz w:val="20"/>
        </w:rPr>
      </w:pPr>
      <w:r>
        <w:rPr>
          <w:sz w:val="20"/>
        </w:rPr>
        <w:t>检查数量：全数检查</w:t>
      </w:r>
      <w:r>
        <w:rPr>
          <w:rFonts w:hint="eastAsia"/>
          <w:sz w:val="20"/>
        </w:rPr>
        <w:t>。</w:t>
      </w:r>
    </w:p>
    <w:p w14:paraId="39BD4DD9">
      <w:pPr>
        <w:pStyle w:val="3"/>
        <w:snapToGrid w:val="0"/>
        <w:spacing w:before="312" w:beforeLines="100" w:after="0" w:line="288" w:lineRule="auto"/>
        <w:jc w:val="center"/>
        <w:rPr>
          <w:rFonts w:ascii="Times New Roman" w:hAnsi="Times New Roman"/>
          <w:sz w:val="20"/>
          <w:szCs w:val="21"/>
        </w:rPr>
      </w:pPr>
      <w:bookmarkStart w:id="359" w:name="_Toc185236609"/>
      <w:bookmarkStart w:id="360" w:name="_Toc188612090"/>
      <w:bookmarkStart w:id="361" w:name="_Toc185235658"/>
      <w:bookmarkStart w:id="362" w:name="_Toc188798561"/>
      <w:bookmarkStart w:id="363" w:name="_Toc170810219"/>
      <w:r>
        <w:rPr>
          <w:rFonts w:ascii="Times New Roman" w:hAnsi="Times New Roman"/>
          <w:sz w:val="20"/>
          <w:szCs w:val="21"/>
        </w:rPr>
        <w:t xml:space="preserve">7.3 </w:t>
      </w:r>
      <w:r>
        <w:rPr>
          <w:rFonts w:hint="eastAsia" w:ascii="Times New Roman" w:hAnsi="Times New Roman"/>
          <w:sz w:val="20"/>
          <w:szCs w:val="21"/>
        </w:rPr>
        <w:t xml:space="preserve"> 工作井质量检验</w:t>
      </w:r>
      <w:bookmarkEnd w:id="359"/>
      <w:bookmarkEnd w:id="360"/>
      <w:bookmarkEnd w:id="361"/>
      <w:bookmarkEnd w:id="362"/>
    </w:p>
    <w:p w14:paraId="44073E89">
      <w:pPr>
        <w:snapToGrid w:val="0"/>
        <w:spacing w:line="288" w:lineRule="auto"/>
        <w:outlineLvl w:val="2"/>
        <w:rPr>
          <w:b/>
          <w:bCs/>
          <w:sz w:val="20"/>
        </w:rPr>
      </w:pPr>
      <w:r>
        <w:rPr>
          <w:b/>
          <w:bCs/>
          <w:sz w:val="20"/>
        </w:rPr>
        <w:t xml:space="preserve">7.3.1 </w:t>
      </w:r>
      <w:r>
        <w:rPr>
          <w:sz w:val="20"/>
        </w:rPr>
        <w:t xml:space="preserve"> </w:t>
      </w:r>
      <w:r>
        <w:rPr>
          <w:rFonts w:hint="eastAsia"/>
          <w:sz w:val="20"/>
        </w:rPr>
        <w:t>工作井及接收井结构施工质量验收标准应按现行国标《混凝土结构工程施工质量验收规范》G</w:t>
      </w:r>
      <w:r>
        <w:rPr>
          <w:sz w:val="20"/>
        </w:rPr>
        <w:t>B</w:t>
      </w:r>
      <w:r>
        <w:rPr>
          <w:rFonts w:hint="eastAsia"/>
          <w:sz w:val="20"/>
        </w:rPr>
        <w:t xml:space="preserve"> </w:t>
      </w:r>
      <w:r>
        <w:rPr>
          <w:sz w:val="20"/>
        </w:rPr>
        <w:t>50204</w:t>
      </w:r>
      <w:r>
        <w:rPr>
          <w:rFonts w:hint="eastAsia"/>
          <w:sz w:val="20"/>
        </w:rPr>
        <w:t>、《城市轨道交通工程明挖法施工技术规程》DB 11/T 2097。</w:t>
      </w:r>
    </w:p>
    <w:p w14:paraId="66EA087A">
      <w:pPr>
        <w:snapToGrid w:val="0"/>
        <w:spacing w:before="156" w:beforeLines="50" w:after="156" w:afterLines="50" w:line="288" w:lineRule="auto"/>
        <w:jc w:val="center"/>
        <w:rPr>
          <w:b/>
          <w:bCs/>
          <w:sz w:val="20"/>
        </w:rPr>
      </w:pPr>
      <w:r>
        <w:rPr>
          <w:rFonts w:hint="eastAsia"/>
          <w:b/>
          <w:bCs/>
          <w:sz w:val="20"/>
        </w:rPr>
        <w:t>主控项目</w:t>
      </w:r>
    </w:p>
    <w:p w14:paraId="60C6AEEA">
      <w:pPr>
        <w:snapToGrid w:val="0"/>
        <w:spacing w:line="288" w:lineRule="auto"/>
        <w:outlineLvl w:val="2"/>
        <w:rPr>
          <w:b/>
          <w:bCs/>
          <w:sz w:val="20"/>
        </w:rPr>
      </w:pPr>
      <w:r>
        <w:rPr>
          <w:rFonts w:hint="eastAsia"/>
          <w:b/>
          <w:bCs/>
          <w:sz w:val="20"/>
        </w:rPr>
        <w:t>7</w:t>
      </w:r>
      <w:r>
        <w:rPr>
          <w:b/>
          <w:bCs/>
          <w:sz w:val="20"/>
        </w:rPr>
        <w:t xml:space="preserve">.3.2  </w:t>
      </w:r>
      <w:r>
        <w:rPr>
          <w:rFonts w:hint="eastAsia"/>
          <w:bCs/>
          <w:sz w:val="20"/>
        </w:rPr>
        <w:t>始发及接收</w:t>
      </w:r>
      <w:r>
        <w:rPr>
          <w:rFonts w:hint="eastAsia"/>
          <w:sz w:val="20"/>
        </w:rPr>
        <w:t>预留</w:t>
      </w:r>
      <w:r>
        <w:rPr>
          <w:rFonts w:hint="eastAsia"/>
          <w:bCs/>
          <w:sz w:val="20"/>
        </w:rPr>
        <w:t>洞口外土体加固强度和止水效果应满足设计文件或施工工艺要求。</w:t>
      </w:r>
    </w:p>
    <w:p w14:paraId="428E59D9">
      <w:pPr>
        <w:snapToGrid w:val="0"/>
        <w:spacing w:line="288" w:lineRule="auto"/>
        <w:ind w:firstLine="300" w:firstLineChars="150"/>
        <w:rPr>
          <w:sz w:val="20"/>
        </w:rPr>
      </w:pPr>
      <w:r>
        <w:rPr>
          <w:rFonts w:hint="eastAsia"/>
          <w:sz w:val="20"/>
        </w:rPr>
        <w:t>检验方法：目测，加固段中心和四角钻孔取芯检测。</w:t>
      </w:r>
    </w:p>
    <w:p w14:paraId="4E9637F4">
      <w:pPr>
        <w:snapToGrid w:val="0"/>
        <w:spacing w:line="288" w:lineRule="auto"/>
        <w:ind w:firstLine="300" w:firstLineChars="150"/>
        <w:rPr>
          <w:sz w:val="20"/>
        </w:rPr>
      </w:pPr>
      <w:r>
        <w:rPr>
          <w:rFonts w:hint="eastAsia"/>
          <w:sz w:val="20"/>
        </w:rPr>
        <w:t>检查数量：全部检查。</w:t>
      </w:r>
    </w:p>
    <w:p w14:paraId="30749D21">
      <w:pPr>
        <w:snapToGrid w:val="0"/>
        <w:spacing w:before="156" w:beforeLines="50" w:after="156" w:afterLines="50" w:line="288" w:lineRule="auto"/>
        <w:jc w:val="center"/>
        <w:rPr>
          <w:b/>
          <w:bCs/>
          <w:sz w:val="20"/>
        </w:rPr>
      </w:pPr>
      <w:r>
        <w:rPr>
          <w:rFonts w:hint="eastAsia"/>
          <w:b/>
          <w:bCs/>
          <w:sz w:val="20"/>
        </w:rPr>
        <w:t>一般项目</w:t>
      </w:r>
    </w:p>
    <w:p w14:paraId="2777A2A3">
      <w:pPr>
        <w:snapToGrid w:val="0"/>
        <w:spacing w:line="288" w:lineRule="auto"/>
        <w:outlineLvl w:val="2"/>
      </w:pPr>
      <w:r>
        <w:rPr>
          <w:b/>
          <w:bCs/>
          <w:sz w:val="20"/>
        </w:rPr>
        <w:t>7.3.3</w:t>
      </w:r>
      <w:r>
        <w:t xml:space="preserve">  </w:t>
      </w:r>
      <w:r>
        <w:rPr>
          <w:rFonts w:hint="eastAsia"/>
        </w:rPr>
        <w:t>工作井的后背墙应坚实、平整，后背与后背墙联系紧密。</w:t>
      </w:r>
    </w:p>
    <w:p w14:paraId="2F46BF35">
      <w:pPr>
        <w:snapToGrid w:val="0"/>
        <w:spacing w:line="288" w:lineRule="auto"/>
        <w:ind w:firstLine="315" w:firstLineChars="150"/>
      </w:pPr>
      <w:r>
        <w:rPr>
          <w:rFonts w:hint="eastAsia"/>
        </w:rPr>
        <w:t>检査方法：检查相关施工记录</w:t>
      </w:r>
    </w:p>
    <w:p w14:paraId="7019A104">
      <w:pPr>
        <w:snapToGrid w:val="0"/>
        <w:spacing w:line="288" w:lineRule="auto"/>
        <w:ind w:firstLine="315" w:firstLineChars="150"/>
      </w:pPr>
      <w:r>
        <w:rPr>
          <w:rFonts w:hint="eastAsia"/>
        </w:rPr>
        <w:t>检查数量：逐个</w:t>
      </w:r>
      <w:r>
        <w:rPr>
          <w:rFonts w:hint="eastAsia"/>
          <w:sz w:val="20"/>
        </w:rPr>
        <w:t>检查</w:t>
      </w:r>
      <w:r>
        <w:rPr>
          <w:rFonts w:hint="eastAsia"/>
        </w:rPr>
        <w:t>。</w:t>
      </w:r>
    </w:p>
    <w:p w14:paraId="3F3F80E5">
      <w:pPr>
        <w:snapToGrid w:val="0"/>
        <w:spacing w:line="288" w:lineRule="auto"/>
        <w:outlineLvl w:val="2"/>
      </w:pPr>
      <w:r>
        <w:t xml:space="preserve">7.3.4  </w:t>
      </w:r>
      <w:r>
        <w:rPr>
          <w:rFonts w:hint="eastAsia"/>
        </w:rPr>
        <w:t>顶管工作井施工允许偏差应符合表</w:t>
      </w:r>
      <w:r>
        <w:t>7.3.4</w:t>
      </w:r>
      <w:r>
        <w:rPr>
          <w:rFonts w:hint="eastAsia"/>
        </w:rPr>
        <w:t>的规定。</w:t>
      </w:r>
    </w:p>
    <w:p w14:paraId="7115DFFF">
      <w:pPr>
        <w:snapToGrid w:val="0"/>
        <w:spacing w:line="288" w:lineRule="auto"/>
        <w:jc w:val="center"/>
        <w:rPr>
          <w:rFonts w:ascii="黑体" w:hAnsi="黑体" w:eastAsia="黑体"/>
          <w:bCs/>
          <w:sz w:val="18"/>
          <w:szCs w:val="18"/>
        </w:rPr>
      </w:pPr>
      <w:r>
        <w:rPr>
          <w:rFonts w:hint="eastAsia" w:ascii="黑体" w:hAnsi="黑体" w:eastAsia="黑体"/>
          <w:bCs/>
          <w:sz w:val="18"/>
          <w:szCs w:val="18"/>
        </w:rPr>
        <w:t>表</w:t>
      </w:r>
      <w:r>
        <w:rPr>
          <w:rFonts w:eastAsia="黑体"/>
          <w:bCs/>
          <w:sz w:val="18"/>
          <w:szCs w:val="18"/>
        </w:rPr>
        <w:t>7.3.4</w:t>
      </w:r>
      <w:r>
        <w:rPr>
          <w:rFonts w:hint="eastAsia" w:ascii="黑体" w:hAnsi="黑体" w:eastAsia="黑体"/>
          <w:bCs/>
          <w:sz w:val="18"/>
          <w:szCs w:val="18"/>
        </w:rPr>
        <w:t xml:space="preserve">  工作井施工允许偏差</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71"/>
        <w:gridCol w:w="437"/>
        <w:gridCol w:w="1310"/>
        <w:gridCol w:w="1518"/>
        <w:gridCol w:w="1007"/>
        <w:gridCol w:w="1583"/>
        <w:gridCol w:w="1437"/>
      </w:tblGrid>
      <w:tr w14:paraId="291F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68" w:type="dxa"/>
            <w:vMerge w:val="restart"/>
            <w:vAlign w:val="center"/>
          </w:tcPr>
          <w:p w14:paraId="52E30EC1">
            <w:pPr>
              <w:snapToGrid w:val="0"/>
              <w:jc w:val="center"/>
              <w:rPr>
                <w:rFonts w:eastAsiaTheme="minorEastAsia"/>
                <w:sz w:val="15"/>
                <w:szCs w:val="15"/>
              </w:rPr>
            </w:pPr>
            <w:r>
              <w:rPr>
                <w:rFonts w:hint="eastAsia" w:eastAsiaTheme="minorEastAsia"/>
                <w:sz w:val="15"/>
                <w:szCs w:val="15"/>
              </w:rPr>
              <w:t>序号</w:t>
            </w:r>
          </w:p>
        </w:tc>
        <w:tc>
          <w:tcPr>
            <w:tcW w:w="2617" w:type="dxa"/>
            <w:gridSpan w:val="3"/>
            <w:vMerge w:val="restart"/>
            <w:vAlign w:val="center"/>
          </w:tcPr>
          <w:p w14:paraId="76CC7CEA">
            <w:pPr>
              <w:snapToGrid w:val="0"/>
              <w:jc w:val="center"/>
              <w:rPr>
                <w:rFonts w:eastAsiaTheme="minorEastAsia"/>
                <w:sz w:val="15"/>
                <w:szCs w:val="15"/>
              </w:rPr>
            </w:pPr>
            <w:r>
              <w:rPr>
                <w:rFonts w:eastAsiaTheme="minorEastAsia"/>
                <w:sz w:val="15"/>
                <w:szCs w:val="15"/>
              </w:rPr>
              <w:t>检查项目</w:t>
            </w:r>
          </w:p>
        </w:tc>
        <w:tc>
          <w:tcPr>
            <w:tcW w:w="1518" w:type="dxa"/>
            <w:vMerge w:val="restart"/>
            <w:vAlign w:val="center"/>
          </w:tcPr>
          <w:p w14:paraId="6F24CC64">
            <w:pPr>
              <w:snapToGrid w:val="0"/>
              <w:jc w:val="center"/>
              <w:rPr>
                <w:rFonts w:eastAsiaTheme="minorEastAsia"/>
                <w:sz w:val="15"/>
                <w:szCs w:val="15"/>
              </w:rPr>
            </w:pPr>
            <w:r>
              <w:rPr>
                <w:rFonts w:eastAsiaTheme="minorEastAsia"/>
                <w:sz w:val="15"/>
                <w:szCs w:val="15"/>
              </w:rPr>
              <w:t>允许偏差（mm）</w:t>
            </w:r>
          </w:p>
        </w:tc>
        <w:tc>
          <w:tcPr>
            <w:tcW w:w="2590" w:type="dxa"/>
            <w:gridSpan w:val="2"/>
            <w:vAlign w:val="center"/>
          </w:tcPr>
          <w:p w14:paraId="34E9BD03">
            <w:pPr>
              <w:snapToGrid w:val="0"/>
              <w:jc w:val="center"/>
              <w:rPr>
                <w:rFonts w:eastAsiaTheme="minorEastAsia"/>
                <w:sz w:val="15"/>
                <w:szCs w:val="15"/>
              </w:rPr>
            </w:pPr>
            <w:r>
              <w:rPr>
                <w:rFonts w:eastAsiaTheme="minorEastAsia"/>
                <w:sz w:val="15"/>
                <w:szCs w:val="15"/>
              </w:rPr>
              <w:t>检查数量</w:t>
            </w:r>
          </w:p>
        </w:tc>
        <w:tc>
          <w:tcPr>
            <w:tcW w:w="1437" w:type="dxa"/>
            <w:vMerge w:val="restart"/>
            <w:vAlign w:val="center"/>
          </w:tcPr>
          <w:p w14:paraId="408A0A9B">
            <w:pPr>
              <w:snapToGrid w:val="0"/>
              <w:jc w:val="center"/>
              <w:rPr>
                <w:rFonts w:eastAsiaTheme="minorEastAsia"/>
                <w:sz w:val="15"/>
                <w:szCs w:val="15"/>
              </w:rPr>
            </w:pPr>
            <w:r>
              <w:rPr>
                <w:rFonts w:eastAsiaTheme="minorEastAsia"/>
                <w:sz w:val="15"/>
                <w:szCs w:val="15"/>
              </w:rPr>
              <w:t>检查方法</w:t>
            </w:r>
          </w:p>
        </w:tc>
      </w:tr>
      <w:tr w14:paraId="1CEC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68" w:type="dxa"/>
            <w:vMerge w:val="continue"/>
            <w:vAlign w:val="center"/>
          </w:tcPr>
          <w:p w14:paraId="08EC4B47">
            <w:pPr>
              <w:snapToGrid w:val="0"/>
              <w:jc w:val="center"/>
              <w:rPr>
                <w:rFonts w:eastAsiaTheme="minorEastAsia"/>
                <w:sz w:val="15"/>
                <w:szCs w:val="15"/>
              </w:rPr>
            </w:pPr>
          </w:p>
        </w:tc>
        <w:tc>
          <w:tcPr>
            <w:tcW w:w="2617" w:type="dxa"/>
            <w:gridSpan w:val="3"/>
            <w:vMerge w:val="continue"/>
            <w:vAlign w:val="center"/>
          </w:tcPr>
          <w:p w14:paraId="1A090856">
            <w:pPr>
              <w:snapToGrid w:val="0"/>
              <w:jc w:val="center"/>
              <w:rPr>
                <w:rFonts w:eastAsiaTheme="minorEastAsia"/>
                <w:sz w:val="15"/>
                <w:szCs w:val="15"/>
              </w:rPr>
            </w:pPr>
          </w:p>
        </w:tc>
        <w:tc>
          <w:tcPr>
            <w:tcW w:w="1518" w:type="dxa"/>
            <w:vMerge w:val="continue"/>
            <w:vAlign w:val="center"/>
          </w:tcPr>
          <w:p w14:paraId="7447430D">
            <w:pPr>
              <w:snapToGrid w:val="0"/>
              <w:jc w:val="center"/>
              <w:rPr>
                <w:rFonts w:eastAsiaTheme="minorEastAsia"/>
                <w:sz w:val="15"/>
                <w:szCs w:val="15"/>
              </w:rPr>
            </w:pPr>
          </w:p>
        </w:tc>
        <w:tc>
          <w:tcPr>
            <w:tcW w:w="1007" w:type="dxa"/>
            <w:vAlign w:val="center"/>
          </w:tcPr>
          <w:p w14:paraId="6188E1A0">
            <w:pPr>
              <w:snapToGrid w:val="0"/>
              <w:jc w:val="center"/>
              <w:rPr>
                <w:rFonts w:eastAsiaTheme="minorEastAsia"/>
                <w:sz w:val="15"/>
                <w:szCs w:val="15"/>
              </w:rPr>
            </w:pPr>
            <w:r>
              <w:rPr>
                <w:rFonts w:eastAsiaTheme="minorEastAsia"/>
                <w:sz w:val="15"/>
                <w:szCs w:val="15"/>
              </w:rPr>
              <w:t>范围</w:t>
            </w:r>
          </w:p>
        </w:tc>
        <w:tc>
          <w:tcPr>
            <w:tcW w:w="1583" w:type="dxa"/>
            <w:vAlign w:val="center"/>
          </w:tcPr>
          <w:p w14:paraId="58DE6D86">
            <w:pPr>
              <w:snapToGrid w:val="0"/>
              <w:jc w:val="center"/>
              <w:rPr>
                <w:rFonts w:eastAsiaTheme="minorEastAsia"/>
                <w:sz w:val="15"/>
                <w:szCs w:val="15"/>
              </w:rPr>
            </w:pPr>
            <w:r>
              <w:rPr>
                <w:rFonts w:eastAsiaTheme="minorEastAsia"/>
                <w:sz w:val="15"/>
                <w:szCs w:val="15"/>
              </w:rPr>
              <w:t>点数</w:t>
            </w:r>
          </w:p>
        </w:tc>
        <w:tc>
          <w:tcPr>
            <w:tcW w:w="1437" w:type="dxa"/>
            <w:vMerge w:val="continue"/>
            <w:vAlign w:val="center"/>
          </w:tcPr>
          <w:p w14:paraId="693E91D7">
            <w:pPr>
              <w:snapToGrid w:val="0"/>
              <w:jc w:val="center"/>
              <w:rPr>
                <w:rFonts w:eastAsiaTheme="minorEastAsia"/>
                <w:sz w:val="15"/>
                <w:szCs w:val="15"/>
              </w:rPr>
            </w:pPr>
          </w:p>
        </w:tc>
      </w:tr>
      <w:tr w14:paraId="29AF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68" w:type="dxa"/>
            <w:vAlign w:val="center"/>
          </w:tcPr>
          <w:p w14:paraId="4BCD9B3A">
            <w:pPr>
              <w:snapToGrid w:val="0"/>
              <w:jc w:val="center"/>
              <w:rPr>
                <w:rFonts w:eastAsiaTheme="minorEastAsia"/>
                <w:sz w:val="15"/>
                <w:szCs w:val="15"/>
              </w:rPr>
            </w:pPr>
            <w:r>
              <w:rPr>
                <w:rFonts w:eastAsiaTheme="minorEastAsia"/>
                <w:sz w:val="15"/>
                <w:szCs w:val="15"/>
              </w:rPr>
              <w:t>1</w:t>
            </w:r>
          </w:p>
        </w:tc>
        <w:tc>
          <w:tcPr>
            <w:tcW w:w="871" w:type="dxa"/>
            <w:vAlign w:val="center"/>
          </w:tcPr>
          <w:p w14:paraId="6527ECFE">
            <w:pPr>
              <w:snapToGrid w:val="0"/>
              <w:jc w:val="center"/>
              <w:rPr>
                <w:rFonts w:eastAsiaTheme="minorEastAsia"/>
                <w:sz w:val="15"/>
                <w:szCs w:val="15"/>
              </w:rPr>
            </w:pPr>
            <w:r>
              <w:rPr>
                <w:rFonts w:eastAsiaTheme="minorEastAsia"/>
                <w:sz w:val="15"/>
                <w:szCs w:val="15"/>
              </w:rPr>
              <w:t>井尺寸</w:t>
            </w:r>
          </w:p>
        </w:tc>
        <w:tc>
          <w:tcPr>
            <w:tcW w:w="1746" w:type="dxa"/>
            <w:gridSpan w:val="2"/>
            <w:vAlign w:val="center"/>
          </w:tcPr>
          <w:p w14:paraId="635C06BB">
            <w:pPr>
              <w:snapToGrid w:val="0"/>
              <w:jc w:val="center"/>
              <w:rPr>
                <w:rFonts w:eastAsiaTheme="minorEastAsia"/>
                <w:sz w:val="15"/>
                <w:szCs w:val="15"/>
              </w:rPr>
            </w:pPr>
            <w:r>
              <w:rPr>
                <w:rFonts w:eastAsiaTheme="minorEastAsia"/>
                <w:sz w:val="15"/>
                <w:szCs w:val="15"/>
              </w:rPr>
              <w:t>每侧长、宽</w:t>
            </w:r>
          </w:p>
        </w:tc>
        <w:tc>
          <w:tcPr>
            <w:tcW w:w="1518" w:type="dxa"/>
            <w:vAlign w:val="center"/>
          </w:tcPr>
          <w:p w14:paraId="69F7C14A">
            <w:pPr>
              <w:snapToGrid w:val="0"/>
              <w:jc w:val="center"/>
              <w:rPr>
                <w:rFonts w:eastAsiaTheme="minorEastAsia"/>
                <w:sz w:val="15"/>
                <w:szCs w:val="15"/>
              </w:rPr>
            </w:pPr>
            <w:r>
              <w:rPr>
                <w:rFonts w:eastAsiaTheme="minorEastAsia"/>
                <w:sz w:val="15"/>
                <w:szCs w:val="15"/>
              </w:rPr>
              <w:t>不小于设计要求</w:t>
            </w:r>
          </w:p>
        </w:tc>
        <w:tc>
          <w:tcPr>
            <w:tcW w:w="1007" w:type="dxa"/>
            <w:vAlign w:val="center"/>
          </w:tcPr>
          <w:p w14:paraId="5914321C">
            <w:pPr>
              <w:snapToGrid w:val="0"/>
              <w:jc w:val="center"/>
              <w:rPr>
                <w:rFonts w:eastAsiaTheme="minorEastAsia"/>
                <w:sz w:val="15"/>
                <w:szCs w:val="15"/>
              </w:rPr>
            </w:pPr>
            <w:r>
              <w:rPr>
                <w:rFonts w:eastAsiaTheme="minorEastAsia"/>
                <w:sz w:val="15"/>
                <w:szCs w:val="15"/>
              </w:rPr>
              <w:t>每座</w:t>
            </w:r>
          </w:p>
        </w:tc>
        <w:tc>
          <w:tcPr>
            <w:tcW w:w="1583" w:type="dxa"/>
            <w:vAlign w:val="center"/>
          </w:tcPr>
          <w:p w14:paraId="088B740C">
            <w:pPr>
              <w:snapToGrid w:val="0"/>
              <w:jc w:val="center"/>
              <w:rPr>
                <w:rFonts w:eastAsiaTheme="minorEastAsia"/>
                <w:sz w:val="15"/>
                <w:szCs w:val="15"/>
              </w:rPr>
            </w:pPr>
            <w:r>
              <w:rPr>
                <w:rFonts w:eastAsiaTheme="minorEastAsia"/>
                <w:sz w:val="15"/>
                <w:szCs w:val="15"/>
              </w:rPr>
              <w:t>4点</w:t>
            </w:r>
          </w:p>
        </w:tc>
        <w:tc>
          <w:tcPr>
            <w:tcW w:w="1437" w:type="dxa"/>
            <w:vAlign w:val="center"/>
          </w:tcPr>
          <w:p w14:paraId="5D0747C3">
            <w:pPr>
              <w:snapToGrid w:val="0"/>
              <w:jc w:val="center"/>
              <w:rPr>
                <w:rFonts w:eastAsiaTheme="minorEastAsia"/>
                <w:sz w:val="15"/>
                <w:szCs w:val="15"/>
              </w:rPr>
            </w:pPr>
            <w:r>
              <w:rPr>
                <w:rFonts w:eastAsiaTheme="minorEastAsia"/>
                <w:sz w:val="15"/>
                <w:szCs w:val="15"/>
              </w:rPr>
              <w:t>挂中线用尺量测</w:t>
            </w:r>
          </w:p>
        </w:tc>
      </w:tr>
      <w:tr w14:paraId="3F93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68" w:type="dxa"/>
            <w:vMerge w:val="restart"/>
            <w:vAlign w:val="center"/>
          </w:tcPr>
          <w:p w14:paraId="597E58B4">
            <w:pPr>
              <w:snapToGrid w:val="0"/>
              <w:jc w:val="center"/>
              <w:rPr>
                <w:rFonts w:eastAsiaTheme="minorEastAsia"/>
                <w:sz w:val="15"/>
                <w:szCs w:val="15"/>
              </w:rPr>
            </w:pPr>
            <w:r>
              <w:rPr>
                <w:rFonts w:eastAsiaTheme="minorEastAsia"/>
                <w:sz w:val="15"/>
                <w:szCs w:val="15"/>
              </w:rPr>
              <w:t>2</w:t>
            </w:r>
          </w:p>
        </w:tc>
        <w:tc>
          <w:tcPr>
            <w:tcW w:w="1308" w:type="dxa"/>
            <w:gridSpan w:val="2"/>
            <w:vMerge w:val="restart"/>
            <w:vAlign w:val="center"/>
          </w:tcPr>
          <w:p w14:paraId="23A00EA8">
            <w:pPr>
              <w:snapToGrid w:val="0"/>
              <w:jc w:val="center"/>
              <w:rPr>
                <w:rFonts w:eastAsiaTheme="minorEastAsia"/>
                <w:sz w:val="15"/>
                <w:szCs w:val="15"/>
              </w:rPr>
            </w:pPr>
            <w:r>
              <w:rPr>
                <w:rFonts w:eastAsiaTheme="minorEastAsia"/>
                <w:sz w:val="15"/>
                <w:szCs w:val="15"/>
              </w:rPr>
              <w:t>工作井和接收井预留洞口</w:t>
            </w:r>
          </w:p>
        </w:tc>
        <w:tc>
          <w:tcPr>
            <w:tcW w:w="1310" w:type="dxa"/>
            <w:vAlign w:val="center"/>
          </w:tcPr>
          <w:p w14:paraId="7456524C">
            <w:pPr>
              <w:snapToGrid w:val="0"/>
              <w:jc w:val="center"/>
              <w:rPr>
                <w:rFonts w:eastAsiaTheme="minorEastAsia"/>
                <w:sz w:val="15"/>
                <w:szCs w:val="15"/>
              </w:rPr>
            </w:pPr>
            <w:r>
              <w:rPr>
                <w:rFonts w:eastAsiaTheme="minorEastAsia"/>
                <w:sz w:val="15"/>
                <w:szCs w:val="15"/>
              </w:rPr>
              <w:t>中心位置</w:t>
            </w:r>
          </w:p>
        </w:tc>
        <w:tc>
          <w:tcPr>
            <w:tcW w:w="1518" w:type="dxa"/>
            <w:vAlign w:val="center"/>
          </w:tcPr>
          <w:p w14:paraId="7C3A01D1">
            <w:pPr>
              <w:snapToGrid w:val="0"/>
              <w:jc w:val="center"/>
              <w:rPr>
                <w:rFonts w:eastAsiaTheme="minorEastAsia"/>
                <w:sz w:val="15"/>
                <w:szCs w:val="15"/>
              </w:rPr>
            </w:pPr>
            <w:r>
              <w:rPr>
                <w:rFonts w:eastAsiaTheme="minorEastAsia"/>
                <w:sz w:val="15"/>
                <w:szCs w:val="15"/>
              </w:rPr>
              <w:t>20</w:t>
            </w:r>
          </w:p>
        </w:tc>
        <w:tc>
          <w:tcPr>
            <w:tcW w:w="1007" w:type="dxa"/>
            <w:vMerge w:val="restart"/>
            <w:vAlign w:val="center"/>
          </w:tcPr>
          <w:p w14:paraId="6DB92777">
            <w:pPr>
              <w:snapToGrid w:val="0"/>
              <w:jc w:val="center"/>
              <w:rPr>
                <w:rFonts w:eastAsiaTheme="minorEastAsia"/>
                <w:sz w:val="15"/>
                <w:szCs w:val="15"/>
              </w:rPr>
            </w:pPr>
            <w:r>
              <w:rPr>
                <w:rFonts w:eastAsiaTheme="minorEastAsia"/>
                <w:sz w:val="15"/>
                <w:szCs w:val="15"/>
              </w:rPr>
              <w:t>每个</w:t>
            </w:r>
          </w:p>
        </w:tc>
        <w:tc>
          <w:tcPr>
            <w:tcW w:w="1583" w:type="dxa"/>
            <w:vAlign w:val="center"/>
          </w:tcPr>
          <w:p w14:paraId="19FC4316">
            <w:pPr>
              <w:snapToGrid w:val="0"/>
              <w:jc w:val="center"/>
              <w:rPr>
                <w:rFonts w:eastAsiaTheme="minorEastAsia"/>
                <w:sz w:val="15"/>
                <w:szCs w:val="15"/>
              </w:rPr>
            </w:pPr>
            <w:r>
              <w:rPr>
                <w:rFonts w:eastAsiaTheme="minorEastAsia"/>
                <w:sz w:val="15"/>
                <w:szCs w:val="15"/>
              </w:rPr>
              <w:t>竖、水平各1点</w:t>
            </w:r>
          </w:p>
        </w:tc>
        <w:tc>
          <w:tcPr>
            <w:tcW w:w="1437" w:type="dxa"/>
            <w:vAlign w:val="center"/>
          </w:tcPr>
          <w:p w14:paraId="6189F6B3">
            <w:pPr>
              <w:snapToGrid w:val="0"/>
              <w:jc w:val="center"/>
              <w:rPr>
                <w:rFonts w:eastAsiaTheme="minorEastAsia"/>
                <w:sz w:val="15"/>
                <w:szCs w:val="15"/>
              </w:rPr>
            </w:pPr>
            <w:r>
              <w:rPr>
                <w:rFonts w:eastAsiaTheme="minorEastAsia"/>
                <w:sz w:val="15"/>
                <w:szCs w:val="15"/>
              </w:rPr>
              <w:t>用经纬仪测量</w:t>
            </w:r>
          </w:p>
        </w:tc>
      </w:tr>
      <w:tr w14:paraId="6AE3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68" w:type="dxa"/>
            <w:vMerge w:val="continue"/>
            <w:vAlign w:val="center"/>
          </w:tcPr>
          <w:p w14:paraId="0F28ECFC">
            <w:pPr>
              <w:snapToGrid w:val="0"/>
              <w:jc w:val="center"/>
              <w:rPr>
                <w:rFonts w:eastAsiaTheme="minorEastAsia"/>
                <w:sz w:val="15"/>
                <w:szCs w:val="15"/>
              </w:rPr>
            </w:pPr>
          </w:p>
        </w:tc>
        <w:tc>
          <w:tcPr>
            <w:tcW w:w="1308" w:type="dxa"/>
            <w:gridSpan w:val="2"/>
            <w:vMerge w:val="continue"/>
            <w:vAlign w:val="center"/>
          </w:tcPr>
          <w:p w14:paraId="6A48A8F6">
            <w:pPr>
              <w:snapToGrid w:val="0"/>
              <w:jc w:val="center"/>
              <w:rPr>
                <w:rFonts w:eastAsiaTheme="minorEastAsia"/>
                <w:sz w:val="15"/>
                <w:szCs w:val="15"/>
              </w:rPr>
            </w:pPr>
          </w:p>
        </w:tc>
        <w:tc>
          <w:tcPr>
            <w:tcW w:w="1310" w:type="dxa"/>
            <w:vAlign w:val="center"/>
          </w:tcPr>
          <w:p w14:paraId="59EE6A9F">
            <w:pPr>
              <w:snapToGrid w:val="0"/>
              <w:jc w:val="center"/>
              <w:rPr>
                <w:rFonts w:eastAsiaTheme="minorEastAsia"/>
                <w:sz w:val="15"/>
                <w:szCs w:val="15"/>
              </w:rPr>
            </w:pPr>
            <w:r>
              <w:rPr>
                <w:rFonts w:eastAsiaTheme="minorEastAsia"/>
                <w:sz w:val="15"/>
                <w:szCs w:val="15"/>
              </w:rPr>
              <w:t>内径尺寸</w:t>
            </w:r>
          </w:p>
        </w:tc>
        <w:tc>
          <w:tcPr>
            <w:tcW w:w="1518" w:type="dxa"/>
            <w:vAlign w:val="center"/>
          </w:tcPr>
          <w:p w14:paraId="30B6EEF8">
            <w:pPr>
              <w:snapToGrid w:val="0"/>
              <w:jc w:val="center"/>
              <w:rPr>
                <w:rFonts w:eastAsiaTheme="minorEastAsia"/>
                <w:sz w:val="15"/>
                <w:szCs w:val="15"/>
              </w:rPr>
            </w:pPr>
            <w:r>
              <w:rPr>
                <w:rFonts w:hint="eastAsia"/>
                <w:sz w:val="15"/>
              </w:rPr>
              <w:t>－</w:t>
            </w:r>
            <w:r>
              <w:rPr>
                <w:rFonts w:eastAsiaTheme="minorEastAsia"/>
                <w:sz w:val="15"/>
                <w:szCs w:val="15"/>
              </w:rPr>
              <w:t>20</w:t>
            </w:r>
            <w:r>
              <w:rPr>
                <w:rFonts w:hint="eastAsia" w:eastAsiaTheme="minorEastAsia"/>
                <w:sz w:val="15"/>
                <w:szCs w:val="15"/>
              </w:rPr>
              <w:t>～+20</w:t>
            </w:r>
          </w:p>
        </w:tc>
        <w:tc>
          <w:tcPr>
            <w:tcW w:w="1007" w:type="dxa"/>
            <w:vMerge w:val="continue"/>
            <w:vAlign w:val="center"/>
          </w:tcPr>
          <w:p w14:paraId="4AE97E8D">
            <w:pPr>
              <w:snapToGrid w:val="0"/>
              <w:jc w:val="center"/>
              <w:rPr>
                <w:rFonts w:eastAsiaTheme="minorEastAsia"/>
                <w:sz w:val="15"/>
                <w:szCs w:val="15"/>
              </w:rPr>
            </w:pPr>
          </w:p>
        </w:tc>
        <w:tc>
          <w:tcPr>
            <w:tcW w:w="1583" w:type="dxa"/>
            <w:vAlign w:val="center"/>
          </w:tcPr>
          <w:p w14:paraId="5954119F">
            <w:pPr>
              <w:snapToGrid w:val="0"/>
              <w:jc w:val="center"/>
              <w:rPr>
                <w:rFonts w:eastAsiaTheme="minorEastAsia"/>
                <w:sz w:val="15"/>
                <w:szCs w:val="15"/>
              </w:rPr>
            </w:pPr>
            <w:r>
              <w:rPr>
                <w:rFonts w:eastAsiaTheme="minorEastAsia"/>
                <w:sz w:val="15"/>
                <w:szCs w:val="15"/>
              </w:rPr>
              <w:t>垂直向各1点</w:t>
            </w:r>
          </w:p>
        </w:tc>
        <w:tc>
          <w:tcPr>
            <w:tcW w:w="1437" w:type="dxa"/>
            <w:vAlign w:val="center"/>
          </w:tcPr>
          <w:p w14:paraId="0E0FF057">
            <w:pPr>
              <w:snapToGrid w:val="0"/>
              <w:jc w:val="center"/>
              <w:rPr>
                <w:rFonts w:eastAsiaTheme="minorEastAsia"/>
                <w:sz w:val="15"/>
                <w:szCs w:val="15"/>
              </w:rPr>
            </w:pPr>
            <w:r>
              <w:rPr>
                <w:rFonts w:eastAsiaTheme="minorEastAsia"/>
                <w:sz w:val="15"/>
                <w:szCs w:val="15"/>
              </w:rPr>
              <w:t>用钢尺量测</w:t>
            </w:r>
          </w:p>
        </w:tc>
      </w:tr>
      <w:tr w14:paraId="4E05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68" w:type="dxa"/>
            <w:vAlign w:val="center"/>
          </w:tcPr>
          <w:p w14:paraId="7BE025DF">
            <w:pPr>
              <w:snapToGrid w:val="0"/>
              <w:jc w:val="center"/>
              <w:rPr>
                <w:rFonts w:eastAsiaTheme="minorEastAsia"/>
                <w:sz w:val="15"/>
                <w:szCs w:val="15"/>
              </w:rPr>
            </w:pPr>
            <w:r>
              <w:rPr>
                <w:rFonts w:eastAsiaTheme="minorEastAsia"/>
                <w:sz w:val="15"/>
                <w:szCs w:val="15"/>
              </w:rPr>
              <w:t>3</w:t>
            </w:r>
          </w:p>
        </w:tc>
        <w:tc>
          <w:tcPr>
            <w:tcW w:w="2617" w:type="dxa"/>
            <w:gridSpan w:val="3"/>
            <w:vAlign w:val="center"/>
          </w:tcPr>
          <w:p w14:paraId="0E40056E">
            <w:pPr>
              <w:snapToGrid w:val="0"/>
              <w:jc w:val="center"/>
              <w:rPr>
                <w:rFonts w:eastAsiaTheme="minorEastAsia"/>
                <w:sz w:val="15"/>
                <w:szCs w:val="15"/>
              </w:rPr>
            </w:pPr>
            <w:r>
              <w:rPr>
                <w:rFonts w:eastAsiaTheme="minorEastAsia"/>
                <w:sz w:val="15"/>
                <w:szCs w:val="15"/>
              </w:rPr>
              <w:t>井底板高程</w:t>
            </w:r>
          </w:p>
        </w:tc>
        <w:tc>
          <w:tcPr>
            <w:tcW w:w="1518" w:type="dxa"/>
            <w:vAlign w:val="center"/>
          </w:tcPr>
          <w:p w14:paraId="5792F4A9">
            <w:pPr>
              <w:snapToGrid w:val="0"/>
              <w:jc w:val="center"/>
              <w:rPr>
                <w:rFonts w:eastAsiaTheme="minorEastAsia"/>
                <w:sz w:val="15"/>
                <w:szCs w:val="15"/>
              </w:rPr>
            </w:pPr>
            <w:r>
              <w:rPr>
                <w:rFonts w:hint="eastAsia"/>
                <w:sz w:val="15"/>
              </w:rPr>
              <w:t>－</w:t>
            </w:r>
            <w:r>
              <w:rPr>
                <w:rFonts w:hint="eastAsia" w:eastAsiaTheme="minorEastAsia"/>
                <w:sz w:val="15"/>
                <w:szCs w:val="15"/>
              </w:rPr>
              <w:t>3</w:t>
            </w:r>
            <w:r>
              <w:rPr>
                <w:rFonts w:eastAsiaTheme="minorEastAsia"/>
                <w:sz w:val="15"/>
                <w:szCs w:val="15"/>
              </w:rPr>
              <w:t>0</w:t>
            </w:r>
            <w:r>
              <w:rPr>
                <w:rFonts w:hint="eastAsia" w:eastAsiaTheme="minorEastAsia"/>
                <w:sz w:val="15"/>
                <w:szCs w:val="15"/>
              </w:rPr>
              <w:t>～+30</w:t>
            </w:r>
          </w:p>
        </w:tc>
        <w:tc>
          <w:tcPr>
            <w:tcW w:w="1007" w:type="dxa"/>
            <w:vAlign w:val="center"/>
          </w:tcPr>
          <w:p w14:paraId="57722543">
            <w:pPr>
              <w:snapToGrid w:val="0"/>
              <w:jc w:val="center"/>
              <w:rPr>
                <w:rFonts w:eastAsiaTheme="minorEastAsia"/>
                <w:sz w:val="15"/>
                <w:szCs w:val="15"/>
              </w:rPr>
            </w:pPr>
            <w:r>
              <w:rPr>
                <w:rFonts w:eastAsiaTheme="minorEastAsia"/>
                <w:sz w:val="15"/>
                <w:szCs w:val="15"/>
              </w:rPr>
              <w:t>每座</w:t>
            </w:r>
          </w:p>
        </w:tc>
        <w:tc>
          <w:tcPr>
            <w:tcW w:w="1583" w:type="dxa"/>
            <w:vAlign w:val="center"/>
          </w:tcPr>
          <w:p w14:paraId="6A13BB70">
            <w:pPr>
              <w:snapToGrid w:val="0"/>
              <w:jc w:val="center"/>
              <w:rPr>
                <w:rFonts w:eastAsiaTheme="minorEastAsia"/>
                <w:sz w:val="15"/>
                <w:szCs w:val="15"/>
              </w:rPr>
            </w:pPr>
            <w:r>
              <w:rPr>
                <w:rFonts w:eastAsiaTheme="minorEastAsia"/>
                <w:sz w:val="15"/>
                <w:szCs w:val="15"/>
              </w:rPr>
              <w:t>4点</w:t>
            </w:r>
          </w:p>
        </w:tc>
        <w:tc>
          <w:tcPr>
            <w:tcW w:w="1437" w:type="dxa"/>
            <w:vAlign w:val="center"/>
          </w:tcPr>
          <w:p w14:paraId="650D59E5">
            <w:pPr>
              <w:snapToGrid w:val="0"/>
              <w:jc w:val="center"/>
              <w:rPr>
                <w:rFonts w:eastAsiaTheme="minorEastAsia"/>
                <w:sz w:val="15"/>
                <w:szCs w:val="15"/>
              </w:rPr>
            </w:pPr>
            <w:r>
              <w:rPr>
                <w:rFonts w:eastAsiaTheme="minorEastAsia"/>
                <w:sz w:val="15"/>
                <w:szCs w:val="15"/>
              </w:rPr>
              <w:t>用水准仪测量</w:t>
            </w:r>
          </w:p>
        </w:tc>
      </w:tr>
      <w:tr w14:paraId="7D64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68" w:type="dxa"/>
            <w:vMerge w:val="restart"/>
            <w:vAlign w:val="center"/>
          </w:tcPr>
          <w:p w14:paraId="1D1B84A5">
            <w:pPr>
              <w:snapToGrid w:val="0"/>
              <w:jc w:val="center"/>
              <w:rPr>
                <w:rFonts w:eastAsiaTheme="minorEastAsia"/>
                <w:sz w:val="15"/>
                <w:szCs w:val="15"/>
              </w:rPr>
            </w:pPr>
            <w:r>
              <w:rPr>
                <w:rFonts w:eastAsiaTheme="minorEastAsia"/>
                <w:sz w:val="15"/>
                <w:szCs w:val="15"/>
              </w:rPr>
              <w:t>4</w:t>
            </w:r>
          </w:p>
        </w:tc>
        <w:tc>
          <w:tcPr>
            <w:tcW w:w="871" w:type="dxa"/>
            <w:vMerge w:val="restart"/>
            <w:vAlign w:val="center"/>
          </w:tcPr>
          <w:p w14:paraId="1E477BB2">
            <w:pPr>
              <w:snapToGrid w:val="0"/>
              <w:jc w:val="center"/>
              <w:rPr>
                <w:rFonts w:eastAsiaTheme="minorEastAsia"/>
                <w:sz w:val="15"/>
                <w:szCs w:val="15"/>
              </w:rPr>
            </w:pPr>
            <w:r>
              <w:rPr>
                <w:rFonts w:eastAsiaTheme="minorEastAsia"/>
                <w:sz w:val="15"/>
                <w:szCs w:val="15"/>
              </w:rPr>
              <w:t>后背墙</w:t>
            </w:r>
          </w:p>
        </w:tc>
        <w:tc>
          <w:tcPr>
            <w:tcW w:w="1746" w:type="dxa"/>
            <w:gridSpan w:val="2"/>
            <w:vAlign w:val="center"/>
          </w:tcPr>
          <w:p w14:paraId="5A7E184C">
            <w:pPr>
              <w:snapToGrid w:val="0"/>
              <w:jc w:val="center"/>
              <w:rPr>
                <w:rFonts w:eastAsiaTheme="minorEastAsia"/>
                <w:sz w:val="15"/>
                <w:szCs w:val="15"/>
              </w:rPr>
            </w:pPr>
            <w:r>
              <w:rPr>
                <w:rFonts w:eastAsiaTheme="minorEastAsia"/>
                <w:sz w:val="15"/>
                <w:szCs w:val="15"/>
              </w:rPr>
              <w:t>垂直度</w:t>
            </w:r>
          </w:p>
        </w:tc>
        <w:tc>
          <w:tcPr>
            <w:tcW w:w="1518" w:type="dxa"/>
            <w:vAlign w:val="center"/>
          </w:tcPr>
          <w:p w14:paraId="2EB50713">
            <w:pPr>
              <w:snapToGrid w:val="0"/>
              <w:jc w:val="center"/>
              <w:rPr>
                <w:rFonts w:eastAsiaTheme="minorEastAsia"/>
                <w:sz w:val="15"/>
                <w:szCs w:val="15"/>
              </w:rPr>
            </w:pPr>
            <w:r>
              <w:rPr>
                <w:rFonts w:eastAsiaTheme="minorEastAsia"/>
                <w:sz w:val="15"/>
                <w:szCs w:val="15"/>
              </w:rPr>
              <w:t>0.1%</w:t>
            </w:r>
            <w:r>
              <w:rPr>
                <w:rFonts w:eastAsiaTheme="minorEastAsia"/>
                <w:i/>
                <w:sz w:val="15"/>
                <w:szCs w:val="15"/>
              </w:rPr>
              <w:t>h</w:t>
            </w:r>
            <w:r>
              <w:rPr>
                <w:rFonts w:eastAsiaTheme="minorEastAsia"/>
                <w:sz w:val="15"/>
                <w:szCs w:val="15"/>
                <w:vertAlign w:val="subscript"/>
              </w:rPr>
              <w:t>i</w:t>
            </w:r>
          </w:p>
        </w:tc>
        <w:tc>
          <w:tcPr>
            <w:tcW w:w="1007" w:type="dxa"/>
            <w:vMerge w:val="restart"/>
            <w:vAlign w:val="center"/>
          </w:tcPr>
          <w:p w14:paraId="65862B15">
            <w:pPr>
              <w:snapToGrid w:val="0"/>
              <w:jc w:val="center"/>
              <w:rPr>
                <w:rFonts w:eastAsiaTheme="minorEastAsia"/>
                <w:sz w:val="15"/>
                <w:szCs w:val="15"/>
              </w:rPr>
            </w:pPr>
            <w:r>
              <w:rPr>
                <w:rFonts w:eastAsiaTheme="minorEastAsia"/>
                <w:sz w:val="15"/>
                <w:szCs w:val="15"/>
              </w:rPr>
              <w:t>每座</w:t>
            </w:r>
          </w:p>
        </w:tc>
        <w:tc>
          <w:tcPr>
            <w:tcW w:w="1583" w:type="dxa"/>
            <w:vMerge w:val="restart"/>
            <w:vAlign w:val="center"/>
          </w:tcPr>
          <w:p w14:paraId="217C28DA">
            <w:pPr>
              <w:snapToGrid w:val="0"/>
              <w:jc w:val="center"/>
              <w:rPr>
                <w:rFonts w:eastAsiaTheme="minorEastAsia"/>
                <w:sz w:val="15"/>
                <w:szCs w:val="15"/>
              </w:rPr>
            </w:pPr>
            <w:r>
              <w:rPr>
                <w:rFonts w:eastAsiaTheme="minorEastAsia"/>
                <w:sz w:val="15"/>
                <w:szCs w:val="15"/>
              </w:rPr>
              <w:t>1</w:t>
            </w:r>
          </w:p>
        </w:tc>
        <w:tc>
          <w:tcPr>
            <w:tcW w:w="1437" w:type="dxa"/>
            <w:vMerge w:val="restart"/>
            <w:vAlign w:val="center"/>
          </w:tcPr>
          <w:p w14:paraId="21045E64">
            <w:pPr>
              <w:snapToGrid w:val="0"/>
              <w:jc w:val="center"/>
              <w:rPr>
                <w:rFonts w:eastAsiaTheme="minorEastAsia"/>
                <w:sz w:val="15"/>
                <w:szCs w:val="15"/>
              </w:rPr>
            </w:pPr>
            <w:r>
              <w:rPr>
                <w:rFonts w:eastAsiaTheme="minorEastAsia"/>
                <w:sz w:val="15"/>
                <w:szCs w:val="15"/>
              </w:rPr>
              <w:t>用垂线、角尺量测</w:t>
            </w:r>
          </w:p>
        </w:tc>
      </w:tr>
      <w:tr w14:paraId="470E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68" w:type="dxa"/>
            <w:vMerge w:val="continue"/>
            <w:tcBorders>
              <w:bottom w:val="single" w:color="auto" w:sz="4" w:space="0"/>
            </w:tcBorders>
          </w:tcPr>
          <w:p w14:paraId="3C1D0993">
            <w:pPr>
              <w:snapToGrid w:val="0"/>
              <w:jc w:val="center"/>
              <w:rPr>
                <w:rFonts w:eastAsiaTheme="minorEastAsia"/>
                <w:sz w:val="15"/>
                <w:szCs w:val="15"/>
              </w:rPr>
            </w:pPr>
          </w:p>
        </w:tc>
        <w:tc>
          <w:tcPr>
            <w:tcW w:w="871" w:type="dxa"/>
            <w:vMerge w:val="continue"/>
            <w:tcBorders>
              <w:bottom w:val="single" w:color="auto" w:sz="4" w:space="0"/>
            </w:tcBorders>
          </w:tcPr>
          <w:p w14:paraId="175C46B5">
            <w:pPr>
              <w:snapToGrid w:val="0"/>
              <w:jc w:val="center"/>
              <w:rPr>
                <w:rFonts w:eastAsiaTheme="minorEastAsia"/>
                <w:sz w:val="15"/>
                <w:szCs w:val="15"/>
              </w:rPr>
            </w:pPr>
          </w:p>
        </w:tc>
        <w:tc>
          <w:tcPr>
            <w:tcW w:w="1746" w:type="dxa"/>
            <w:gridSpan w:val="2"/>
            <w:tcBorders>
              <w:bottom w:val="single" w:color="auto" w:sz="4" w:space="0"/>
            </w:tcBorders>
            <w:vAlign w:val="center"/>
          </w:tcPr>
          <w:p w14:paraId="099AE6C7">
            <w:pPr>
              <w:snapToGrid w:val="0"/>
              <w:jc w:val="center"/>
              <w:rPr>
                <w:rFonts w:eastAsiaTheme="minorEastAsia"/>
                <w:sz w:val="15"/>
                <w:szCs w:val="15"/>
              </w:rPr>
            </w:pPr>
            <w:r>
              <w:rPr>
                <w:rFonts w:eastAsiaTheme="minorEastAsia"/>
                <w:sz w:val="15"/>
                <w:szCs w:val="15"/>
              </w:rPr>
              <w:t>水平扭转度</w:t>
            </w:r>
          </w:p>
        </w:tc>
        <w:tc>
          <w:tcPr>
            <w:tcW w:w="1518" w:type="dxa"/>
            <w:tcBorders>
              <w:bottom w:val="single" w:color="auto" w:sz="4" w:space="0"/>
            </w:tcBorders>
            <w:vAlign w:val="center"/>
          </w:tcPr>
          <w:p w14:paraId="30B324EA">
            <w:pPr>
              <w:snapToGrid w:val="0"/>
              <w:jc w:val="center"/>
              <w:rPr>
                <w:rFonts w:eastAsiaTheme="minorEastAsia"/>
                <w:sz w:val="15"/>
                <w:szCs w:val="15"/>
              </w:rPr>
            </w:pPr>
            <w:r>
              <w:rPr>
                <w:rFonts w:eastAsiaTheme="minorEastAsia"/>
                <w:sz w:val="15"/>
                <w:szCs w:val="15"/>
              </w:rPr>
              <w:t>0.1%</w:t>
            </w:r>
            <w:r>
              <w:rPr>
                <w:rFonts w:eastAsiaTheme="minorEastAsia"/>
                <w:i/>
                <w:sz w:val="15"/>
                <w:szCs w:val="15"/>
              </w:rPr>
              <w:t>L</w:t>
            </w:r>
            <w:r>
              <w:rPr>
                <w:rFonts w:eastAsiaTheme="minorEastAsia"/>
                <w:i/>
                <w:sz w:val="15"/>
                <w:szCs w:val="15"/>
                <w:vertAlign w:val="subscript"/>
              </w:rPr>
              <w:t>h</w:t>
            </w:r>
          </w:p>
        </w:tc>
        <w:tc>
          <w:tcPr>
            <w:tcW w:w="1007" w:type="dxa"/>
            <w:vMerge w:val="continue"/>
            <w:tcBorders>
              <w:bottom w:val="single" w:color="auto" w:sz="4" w:space="0"/>
            </w:tcBorders>
          </w:tcPr>
          <w:p w14:paraId="0AF81C09">
            <w:pPr>
              <w:snapToGrid w:val="0"/>
              <w:jc w:val="center"/>
              <w:rPr>
                <w:rFonts w:eastAsiaTheme="minorEastAsia"/>
                <w:sz w:val="15"/>
                <w:szCs w:val="15"/>
              </w:rPr>
            </w:pPr>
          </w:p>
        </w:tc>
        <w:tc>
          <w:tcPr>
            <w:tcW w:w="1583" w:type="dxa"/>
            <w:vMerge w:val="continue"/>
            <w:tcBorders>
              <w:bottom w:val="single" w:color="auto" w:sz="4" w:space="0"/>
            </w:tcBorders>
          </w:tcPr>
          <w:p w14:paraId="155A8887">
            <w:pPr>
              <w:snapToGrid w:val="0"/>
              <w:jc w:val="center"/>
              <w:rPr>
                <w:rFonts w:eastAsiaTheme="minorEastAsia"/>
                <w:sz w:val="15"/>
                <w:szCs w:val="15"/>
              </w:rPr>
            </w:pPr>
          </w:p>
        </w:tc>
        <w:tc>
          <w:tcPr>
            <w:tcW w:w="1437" w:type="dxa"/>
            <w:vMerge w:val="continue"/>
            <w:tcBorders>
              <w:bottom w:val="single" w:color="auto" w:sz="4" w:space="0"/>
            </w:tcBorders>
          </w:tcPr>
          <w:p w14:paraId="5C5F37FE">
            <w:pPr>
              <w:snapToGrid w:val="0"/>
              <w:jc w:val="center"/>
              <w:rPr>
                <w:rFonts w:eastAsiaTheme="minorEastAsia"/>
                <w:sz w:val="15"/>
                <w:szCs w:val="15"/>
              </w:rPr>
            </w:pPr>
          </w:p>
        </w:tc>
      </w:tr>
      <w:tr w14:paraId="353F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30" w:type="dxa"/>
            <w:gridSpan w:val="8"/>
            <w:tcBorders>
              <w:left w:val="nil"/>
              <w:bottom w:val="nil"/>
              <w:right w:val="nil"/>
            </w:tcBorders>
          </w:tcPr>
          <w:p w14:paraId="3E2697E3">
            <w:pPr>
              <w:snapToGrid w:val="0"/>
              <w:jc w:val="left"/>
              <w:rPr>
                <w:sz w:val="15"/>
                <w:szCs w:val="15"/>
              </w:rPr>
            </w:pPr>
            <w:r>
              <w:rPr>
                <w:rFonts w:hint="eastAsia"/>
                <w:sz w:val="15"/>
                <w:szCs w:val="15"/>
              </w:rPr>
              <w:t>注：</w:t>
            </w:r>
            <w:r>
              <w:rPr>
                <w:rFonts w:hint="eastAsia"/>
                <w:i/>
                <w:sz w:val="15"/>
                <w:szCs w:val="15"/>
              </w:rPr>
              <w:t>h</w:t>
            </w:r>
            <w:r>
              <w:rPr>
                <w:rFonts w:hint="eastAsia"/>
                <w:sz w:val="15"/>
                <w:szCs w:val="15"/>
                <w:vertAlign w:val="subscript"/>
              </w:rPr>
              <w:t>i</w:t>
            </w:r>
            <w:r>
              <w:rPr>
                <w:rFonts w:hint="eastAsia"/>
                <w:sz w:val="15"/>
                <w:szCs w:val="15"/>
              </w:rPr>
              <w:t>为后背墙的高度（mm），</w:t>
            </w:r>
            <w:r>
              <w:rPr>
                <w:i/>
                <w:sz w:val="15"/>
                <w:szCs w:val="15"/>
              </w:rPr>
              <w:t>L</w:t>
            </w:r>
            <w:r>
              <w:rPr>
                <w:rFonts w:hint="eastAsia"/>
                <w:i/>
                <w:sz w:val="15"/>
                <w:szCs w:val="15"/>
                <w:vertAlign w:val="subscript"/>
              </w:rPr>
              <w:t>h</w:t>
            </w:r>
            <w:r>
              <w:rPr>
                <w:rFonts w:hint="eastAsia"/>
                <w:sz w:val="15"/>
                <w:szCs w:val="15"/>
              </w:rPr>
              <w:t>为后背墙的宽度（mm）。</w:t>
            </w:r>
          </w:p>
        </w:tc>
      </w:tr>
    </w:tbl>
    <w:p w14:paraId="29E0464C">
      <w:pPr>
        <w:pStyle w:val="3"/>
        <w:snapToGrid w:val="0"/>
        <w:spacing w:before="312" w:beforeLines="100" w:after="0" w:line="288" w:lineRule="auto"/>
        <w:jc w:val="center"/>
        <w:rPr>
          <w:rFonts w:ascii="Times New Roman" w:hAnsi="Times New Roman"/>
          <w:sz w:val="20"/>
          <w:szCs w:val="21"/>
        </w:rPr>
      </w:pPr>
      <w:bookmarkStart w:id="364" w:name="_Toc185235659"/>
      <w:bookmarkStart w:id="365" w:name="_Toc185236610"/>
      <w:bookmarkStart w:id="366" w:name="_Toc188612091"/>
      <w:bookmarkStart w:id="367" w:name="_Toc188798562"/>
      <w:r>
        <w:rPr>
          <w:rFonts w:hint="eastAsia" w:ascii="Times New Roman" w:hAnsi="Times New Roman"/>
          <w:sz w:val="20"/>
          <w:szCs w:val="21"/>
        </w:rPr>
        <w:t>7</w:t>
      </w:r>
      <w:r>
        <w:rPr>
          <w:rFonts w:ascii="Times New Roman" w:hAnsi="Times New Roman"/>
          <w:sz w:val="20"/>
          <w:szCs w:val="21"/>
        </w:rPr>
        <w:t xml:space="preserve">.4 </w:t>
      </w:r>
      <w:r>
        <w:rPr>
          <w:rFonts w:hint="eastAsia" w:ascii="Times New Roman" w:hAnsi="Times New Roman"/>
          <w:sz w:val="20"/>
          <w:szCs w:val="21"/>
        </w:rPr>
        <w:t xml:space="preserve"> </w:t>
      </w:r>
      <w:r>
        <w:rPr>
          <w:rFonts w:ascii="Times New Roman" w:hAnsi="Times New Roman"/>
          <w:sz w:val="20"/>
          <w:szCs w:val="21"/>
        </w:rPr>
        <w:t>防水质量</w:t>
      </w:r>
      <w:bookmarkEnd w:id="363"/>
      <w:r>
        <w:rPr>
          <w:rFonts w:hint="eastAsia" w:ascii="Times New Roman" w:hAnsi="Times New Roman"/>
          <w:sz w:val="20"/>
          <w:szCs w:val="21"/>
        </w:rPr>
        <w:t>检验</w:t>
      </w:r>
      <w:bookmarkEnd w:id="364"/>
      <w:bookmarkEnd w:id="365"/>
      <w:bookmarkEnd w:id="366"/>
      <w:bookmarkEnd w:id="367"/>
    </w:p>
    <w:p w14:paraId="2F96B072">
      <w:pPr>
        <w:snapToGrid w:val="0"/>
        <w:spacing w:before="156" w:beforeLines="50" w:after="156" w:afterLines="50" w:line="288" w:lineRule="auto"/>
        <w:jc w:val="center"/>
        <w:rPr>
          <w:b/>
          <w:bCs/>
          <w:sz w:val="20"/>
        </w:rPr>
      </w:pPr>
      <w:r>
        <w:rPr>
          <w:rFonts w:hint="eastAsia"/>
          <w:b/>
          <w:bCs/>
          <w:sz w:val="20"/>
        </w:rPr>
        <w:t>主控项目</w:t>
      </w:r>
    </w:p>
    <w:p w14:paraId="537B5858">
      <w:pPr>
        <w:snapToGrid w:val="0"/>
        <w:spacing w:line="288" w:lineRule="auto"/>
        <w:outlineLvl w:val="2"/>
        <w:rPr>
          <w:sz w:val="20"/>
          <w:szCs w:val="20"/>
        </w:rPr>
      </w:pPr>
      <w:r>
        <w:rPr>
          <w:b/>
          <w:bCs/>
          <w:kern w:val="0"/>
          <w:sz w:val="20"/>
          <w:szCs w:val="20"/>
          <w:lang w:bidi="ar"/>
        </w:rPr>
        <w:t xml:space="preserve">7.4.1  </w:t>
      </w:r>
      <w:r>
        <w:rPr>
          <w:rFonts w:hint="eastAsia"/>
          <w:bCs/>
          <w:kern w:val="0"/>
          <w:sz w:val="20"/>
          <w:szCs w:val="20"/>
          <w:lang w:bidi="ar"/>
        </w:rPr>
        <w:t>结构防水应满足防水设计等级要求。</w:t>
      </w:r>
      <w:r>
        <w:rPr>
          <w:rFonts w:hint="eastAsia" w:ascii="Cambria Math" w:hAnsi="Cambria Math" w:cs="Cambria Math"/>
          <w:kern w:val="0"/>
          <w:sz w:val="20"/>
          <w:szCs w:val="20"/>
          <w:lang w:bidi="ar"/>
        </w:rPr>
        <w:t xml:space="preserve"> </w:t>
      </w:r>
    </w:p>
    <w:p w14:paraId="1B2C8112">
      <w:pPr>
        <w:snapToGrid w:val="0"/>
        <w:spacing w:line="288" w:lineRule="auto"/>
        <w:ind w:firstLine="300" w:firstLineChars="150"/>
        <w:rPr>
          <w:sz w:val="20"/>
          <w:szCs w:val="20"/>
        </w:rPr>
      </w:pPr>
      <w:r>
        <w:rPr>
          <w:rFonts w:hint="eastAsia" w:ascii="Cambria Math" w:hAnsi="Cambria Math" w:cs="Cambria Math"/>
          <w:kern w:val="0"/>
          <w:sz w:val="20"/>
          <w:szCs w:val="20"/>
          <w:lang w:bidi="ar"/>
        </w:rPr>
        <w:t xml:space="preserve">检查数量：全数检查。 </w:t>
      </w:r>
    </w:p>
    <w:p w14:paraId="494A8E25">
      <w:pPr>
        <w:snapToGrid w:val="0"/>
        <w:spacing w:line="288" w:lineRule="auto"/>
        <w:ind w:firstLine="300" w:firstLineChars="150"/>
        <w:rPr>
          <w:rFonts w:ascii="Cambria Math" w:hAnsi="Cambria Math" w:cs="Cambria Math"/>
          <w:kern w:val="0"/>
          <w:sz w:val="20"/>
          <w:szCs w:val="20"/>
          <w:lang w:bidi="ar"/>
        </w:rPr>
      </w:pPr>
      <w:r>
        <w:rPr>
          <w:rFonts w:hint="eastAsia" w:ascii="Cambria Math" w:hAnsi="Cambria Math" w:cs="Cambria Math"/>
          <w:kern w:val="0"/>
          <w:sz w:val="20"/>
          <w:szCs w:val="20"/>
          <w:lang w:bidi="ar"/>
        </w:rPr>
        <w:t xml:space="preserve">检查方法：目测，查阅施工记录。 </w:t>
      </w:r>
    </w:p>
    <w:p w14:paraId="1AA65048">
      <w:pPr>
        <w:snapToGrid w:val="0"/>
        <w:spacing w:line="288" w:lineRule="auto"/>
        <w:outlineLvl w:val="2"/>
        <w:rPr>
          <w:sz w:val="20"/>
          <w:szCs w:val="20"/>
        </w:rPr>
      </w:pPr>
      <w:r>
        <w:rPr>
          <w:b/>
          <w:bCs/>
          <w:kern w:val="0"/>
          <w:sz w:val="20"/>
          <w:szCs w:val="20"/>
          <w:lang w:bidi="ar"/>
        </w:rPr>
        <w:t xml:space="preserve">7.4.2  </w:t>
      </w:r>
      <w:r>
        <w:rPr>
          <w:rFonts w:hint="eastAsia"/>
          <w:sz w:val="20"/>
          <w:szCs w:val="20"/>
        </w:rPr>
        <w:t>接缝防水构造应满足设计要求</w:t>
      </w:r>
      <w:r>
        <w:rPr>
          <w:rFonts w:hint="eastAsia" w:ascii="Cambria Math" w:hAnsi="Cambria Math" w:cs="Cambria Math"/>
          <w:kern w:val="0"/>
          <w:sz w:val="20"/>
          <w:szCs w:val="20"/>
          <w:lang w:bidi="ar"/>
        </w:rPr>
        <w:t xml:space="preserve">。 </w:t>
      </w:r>
    </w:p>
    <w:p w14:paraId="1049615C">
      <w:pPr>
        <w:snapToGrid w:val="0"/>
        <w:spacing w:line="288" w:lineRule="auto"/>
        <w:ind w:firstLine="300" w:firstLineChars="150"/>
        <w:rPr>
          <w:sz w:val="20"/>
          <w:szCs w:val="20"/>
        </w:rPr>
      </w:pPr>
      <w:r>
        <w:rPr>
          <w:rFonts w:hint="eastAsia" w:ascii="Cambria Math" w:hAnsi="Cambria Math" w:cs="Cambria Math"/>
          <w:kern w:val="0"/>
          <w:sz w:val="20"/>
          <w:szCs w:val="20"/>
          <w:lang w:bidi="ar"/>
        </w:rPr>
        <w:t xml:space="preserve">检查数量：全数检查。 </w:t>
      </w:r>
    </w:p>
    <w:p w14:paraId="622E5768">
      <w:pPr>
        <w:snapToGrid w:val="0"/>
        <w:spacing w:line="288" w:lineRule="auto"/>
        <w:ind w:firstLine="300" w:firstLineChars="150"/>
        <w:rPr>
          <w:rFonts w:ascii="Cambria Math" w:hAnsi="Cambria Math" w:cs="Cambria Math"/>
          <w:kern w:val="0"/>
          <w:sz w:val="20"/>
          <w:szCs w:val="20"/>
          <w:lang w:bidi="ar"/>
        </w:rPr>
      </w:pPr>
      <w:r>
        <w:rPr>
          <w:rFonts w:hint="eastAsia" w:ascii="Cambria Math" w:hAnsi="Cambria Math" w:cs="Cambria Math"/>
          <w:kern w:val="0"/>
          <w:sz w:val="20"/>
          <w:szCs w:val="20"/>
          <w:lang w:bidi="ar"/>
        </w:rPr>
        <w:t>检查方法：目测、钢尺量测，查阅施工记录。</w:t>
      </w:r>
    </w:p>
    <w:p w14:paraId="208F34E3">
      <w:pPr>
        <w:snapToGrid w:val="0"/>
        <w:spacing w:line="288" w:lineRule="auto"/>
        <w:outlineLvl w:val="2"/>
        <w:rPr>
          <w:sz w:val="20"/>
          <w:szCs w:val="20"/>
        </w:rPr>
      </w:pPr>
      <w:r>
        <w:rPr>
          <w:b/>
          <w:bCs/>
          <w:kern w:val="0"/>
          <w:sz w:val="20"/>
          <w:szCs w:val="20"/>
          <w:lang w:bidi="ar"/>
        </w:rPr>
        <w:t xml:space="preserve">7.4.3  </w:t>
      </w:r>
      <w:r>
        <w:rPr>
          <w:rFonts w:hint="eastAsia"/>
          <w:sz w:val="20"/>
          <w:szCs w:val="20"/>
        </w:rPr>
        <w:t>结构防水材料应满足设计要求</w:t>
      </w:r>
      <w:r>
        <w:rPr>
          <w:rFonts w:hint="eastAsia" w:ascii="Cambria Math" w:hAnsi="Cambria Math" w:cs="Cambria Math"/>
          <w:kern w:val="0"/>
          <w:sz w:val="20"/>
          <w:szCs w:val="20"/>
          <w:lang w:bidi="ar"/>
        </w:rPr>
        <w:t xml:space="preserve">。 </w:t>
      </w:r>
    </w:p>
    <w:p w14:paraId="2A478F10">
      <w:pPr>
        <w:snapToGrid w:val="0"/>
        <w:spacing w:line="288" w:lineRule="auto"/>
        <w:ind w:firstLine="300" w:firstLineChars="150"/>
        <w:rPr>
          <w:sz w:val="20"/>
          <w:szCs w:val="20"/>
        </w:rPr>
      </w:pPr>
      <w:r>
        <w:rPr>
          <w:rFonts w:hint="eastAsia" w:ascii="Cambria Math" w:hAnsi="Cambria Math" w:cs="Cambria Math"/>
          <w:kern w:val="0"/>
          <w:sz w:val="20"/>
          <w:szCs w:val="20"/>
          <w:lang w:bidi="ar"/>
        </w:rPr>
        <w:t xml:space="preserve">检查方法：全数检查； </w:t>
      </w:r>
    </w:p>
    <w:p w14:paraId="67E39A91">
      <w:pPr>
        <w:snapToGrid w:val="0"/>
        <w:spacing w:line="288" w:lineRule="auto"/>
        <w:ind w:firstLine="300" w:firstLineChars="150"/>
        <w:rPr>
          <w:rFonts w:ascii="Cambria Math" w:hAnsi="Cambria Math" w:cs="Cambria Math"/>
          <w:kern w:val="0"/>
          <w:sz w:val="20"/>
          <w:szCs w:val="20"/>
          <w:lang w:bidi="ar"/>
        </w:rPr>
      </w:pPr>
      <w:r>
        <w:rPr>
          <w:rFonts w:hint="eastAsia" w:ascii="Cambria Math" w:hAnsi="Cambria Math" w:cs="Cambria Math"/>
          <w:kern w:val="0"/>
          <w:sz w:val="20"/>
          <w:szCs w:val="20"/>
          <w:lang w:bidi="ar"/>
        </w:rPr>
        <w:t>检查方法：检查材料产品质量合格证、产品性能检测报告和进场复试报告。</w:t>
      </w:r>
    </w:p>
    <w:p w14:paraId="096D7C3F">
      <w:pPr>
        <w:snapToGrid w:val="0"/>
        <w:spacing w:before="156" w:beforeLines="50" w:after="156" w:afterLines="50" w:line="288" w:lineRule="auto"/>
        <w:jc w:val="center"/>
        <w:rPr>
          <w:b/>
          <w:bCs/>
          <w:sz w:val="20"/>
        </w:rPr>
      </w:pPr>
      <w:r>
        <w:rPr>
          <w:rFonts w:hint="eastAsia"/>
          <w:b/>
          <w:bCs/>
          <w:sz w:val="20"/>
        </w:rPr>
        <w:t>一般项目</w:t>
      </w:r>
    </w:p>
    <w:p w14:paraId="5B9E8ABA">
      <w:pPr>
        <w:snapToGrid w:val="0"/>
        <w:spacing w:line="288" w:lineRule="auto"/>
        <w:outlineLvl w:val="2"/>
        <w:rPr>
          <w:sz w:val="20"/>
          <w:szCs w:val="20"/>
        </w:rPr>
      </w:pPr>
      <w:r>
        <w:rPr>
          <w:rFonts w:hint="eastAsia"/>
          <w:b/>
          <w:bCs/>
          <w:kern w:val="0"/>
          <w:sz w:val="20"/>
          <w:szCs w:val="20"/>
          <w:lang w:bidi="ar"/>
        </w:rPr>
        <w:t>7</w:t>
      </w:r>
      <w:r>
        <w:rPr>
          <w:b/>
          <w:bCs/>
          <w:kern w:val="0"/>
          <w:sz w:val="20"/>
          <w:szCs w:val="20"/>
          <w:lang w:bidi="ar"/>
        </w:rPr>
        <w:t xml:space="preserve">.4.4  </w:t>
      </w:r>
      <w:r>
        <w:rPr>
          <w:rFonts w:hint="eastAsia"/>
          <w:sz w:val="20"/>
          <w:szCs w:val="20"/>
        </w:rPr>
        <w:t>顶管始发、接收洞口应无渗漏。</w:t>
      </w:r>
    </w:p>
    <w:p w14:paraId="44323156">
      <w:pPr>
        <w:snapToGrid w:val="0"/>
        <w:spacing w:line="288" w:lineRule="auto"/>
        <w:ind w:firstLine="300" w:firstLineChars="150"/>
        <w:rPr>
          <w:sz w:val="20"/>
          <w:szCs w:val="20"/>
        </w:rPr>
      </w:pPr>
      <w:r>
        <w:rPr>
          <w:rFonts w:hint="eastAsia" w:ascii="Cambria Math" w:hAnsi="Cambria Math" w:cs="Cambria Math"/>
          <w:kern w:val="0"/>
          <w:sz w:val="20"/>
          <w:szCs w:val="20"/>
          <w:lang w:bidi="ar"/>
        </w:rPr>
        <w:t>检查数量：全数检查。</w:t>
      </w:r>
    </w:p>
    <w:p w14:paraId="69B4582F">
      <w:pPr>
        <w:snapToGrid w:val="0"/>
        <w:spacing w:line="288" w:lineRule="auto"/>
        <w:ind w:firstLine="300" w:firstLineChars="150"/>
        <w:rPr>
          <w:rFonts w:ascii="Cambria Math" w:hAnsi="Cambria Math" w:cs="Cambria Math"/>
          <w:kern w:val="0"/>
          <w:sz w:val="20"/>
          <w:szCs w:val="20"/>
          <w:lang w:bidi="ar"/>
        </w:rPr>
      </w:pPr>
      <w:r>
        <w:rPr>
          <w:rFonts w:hint="eastAsia" w:ascii="Cambria Math" w:hAnsi="Cambria Math" w:cs="Cambria Math"/>
          <w:kern w:val="0"/>
          <w:sz w:val="20"/>
          <w:szCs w:val="20"/>
          <w:lang w:bidi="ar"/>
        </w:rPr>
        <w:t>检查方法：目测，查阅施工记录。</w:t>
      </w:r>
    </w:p>
    <w:p w14:paraId="57A761BC">
      <w:pPr>
        <w:snapToGrid w:val="0"/>
        <w:spacing w:line="288" w:lineRule="auto"/>
        <w:outlineLvl w:val="2"/>
        <w:rPr>
          <w:sz w:val="20"/>
          <w:szCs w:val="20"/>
        </w:rPr>
      </w:pPr>
      <w:r>
        <w:rPr>
          <w:rFonts w:hint="eastAsia"/>
          <w:b/>
          <w:bCs/>
          <w:kern w:val="0"/>
          <w:sz w:val="20"/>
          <w:szCs w:val="20"/>
          <w:lang w:bidi="ar"/>
        </w:rPr>
        <w:t>7</w:t>
      </w:r>
      <w:r>
        <w:rPr>
          <w:b/>
          <w:bCs/>
          <w:kern w:val="0"/>
          <w:sz w:val="20"/>
          <w:szCs w:val="20"/>
          <w:lang w:bidi="ar"/>
        </w:rPr>
        <w:t xml:space="preserve">.4.5  </w:t>
      </w:r>
      <w:r>
        <w:rPr>
          <w:rFonts w:hint="eastAsia"/>
          <w:sz w:val="20"/>
          <w:szCs w:val="20"/>
        </w:rPr>
        <w:t>管节接口应无渗漏。</w:t>
      </w:r>
    </w:p>
    <w:p w14:paraId="354561C0">
      <w:pPr>
        <w:snapToGrid w:val="0"/>
        <w:spacing w:line="288" w:lineRule="auto"/>
        <w:ind w:firstLine="300" w:firstLineChars="150"/>
        <w:rPr>
          <w:sz w:val="20"/>
          <w:szCs w:val="20"/>
        </w:rPr>
      </w:pPr>
      <w:r>
        <w:rPr>
          <w:rFonts w:hint="eastAsia" w:ascii="Cambria Math" w:hAnsi="Cambria Math" w:cs="Cambria Math"/>
          <w:kern w:val="0"/>
          <w:sz w:val="20"/>
          <w:szCs w:val="20"/>
          <w:lang w:bidi="ar"/>
        </w:rPr>
        <w:t>检查数量：全数检查。</w:t>
      </w:r>
    </w:p>
    <w:p w14:paraId="2BB6C698">
      <w:pPr>
        <w:snapToGrid w:val="0"/>
        <w:spacing w:line="288" w:lineRule="auto"/>
        <w:ind w:firstLine="300" w:firstLineChars="150"/>
        <w:rPr>
          <w:rFonts w:ascii="Cambria Math" w:hAnsi="Cambria Math" w:cs="Cambria Math"/>
          <w:kern w:val="0"/>
          <w:sz w:val="20"/>
          <w:szCs w:val="20"/>
          <w:lang w:bidi="ar"/>
        </w:rPr>
      </w:pPr>
      <w:r>
        <w:rPr>
          <w:rFonts w:hint="eastAsia" w:ascii="Cambria Math" w:hAnsi="Cambria Math" w:cs="Cambria Math"/>
          <w:kern w:val="0"/>
          <w:sz w:val="20"/>
          <w:szCs w:val="20"/>
          <w:lang w:bidi="ar"/>
        </w:rPr>
        <w:t>检查方法：目测，查阅施工记录。</w:t>
      </w:r>
    </w:p>
    <w:p w14:paraId="49B2FAB1">
      <w:pPr>
        <w:snapToGrid w:val="0"/>
        <w:spacing w:line="288" w:lineRule="auto"/>
        <w:outlineLvl w:val="2"/>
        <w:rPr>
          <w:sz w:val="20"/>
          <w:szCs w:val="20"/>
        </w:rPr>
      </w:pPr>
      <w:r>
        <w:rPr>
          <w:rFonts w:hint="eastAsia"/>
          <w:b/>
          <w:bCs/>
          <w:kern w:val="0"/>
          <w:sz w:val="20"/>
          <w:szCs w:val="20"/>
          <w:lang w:bidi="ar"/>
        </w:rPr>
        <w:t>7</w:t>
      </w:r>
      <w:r>
        <w:rPr>
          <w:b/>
          <w:bCs/>
          <w:kern w:val="0"/>
          <w:sz w:val="20"/>
          <w:szCs w:val="20"/>
          <w:lang w:bidi="ar"/>
        </w:rPr>
        <w:t xml:space="preserve">.4.6  </w:t>
      </w:r>
      <w:r>
        <w:rPr>
          <w:rFonts w:hint="eastAsia"/>
          <w:sz w:val="20"/>
          <w:szCs w:val="20"/>
        </w:rPr>
        <w:t>管节接口需嵌缝材料满足设计要求，嵌缝宽度均匀、密实、表面平整。</w:t>
      </w:r>
    </w:p>
    <w:p w14:paraId="15AB1D9D">
      <w:pPr>
        <w:snapToGrid w:val="0"/>
        <w:spacing w:line="288" w:lineRule="auto"/>
        <w:ind w:firstLine="300" w:firstLineChars="150"/>
        <w:rPr>
          <w:sz w:val="20"/>
          <w:szCs w:val="20"/>
        </w:rPr>
      </w:pPr>
      <w:r>
        <w:rPr>
          <w:rFonts w:hint="eastAsia" w:ascii="Cambria Math" w:hAnsi="Cambria Math" w:cs="Cambria Math"/>
          <w:kern w:val="0"/>
          <w:sz w:val="20"/>
          <w:szCs w:val="20"/>
          <w:lang w:bidi="ar"/>
        </w:rPr>
        <w:t>检查数量：全数检查。</w:t>
      </w:r>
    </w:p>
    <w:p w14:paraId="1B02D6DD">
      <w:pPr>
        <w:snapToGrid w:val="0"/>
        <w:spacing w:line="288" w:lineRule="auto"/>
        <w:ind w:firstLine="300" w:firstLineChars="150"/>
        <w:rPr>
          <w:rFonts w:ascii="Cambria Math" w:hAnsi="Cambria Math" w:cs="Cambria Math"/>
          <w:kern w:val="0"/>
          <w:sz w:val="20"/>
          <w:szCs w:val="20"/>
          <w:lang w:bidi="ar"/>
        </w:rPr>
      </w:pPr>
      <w:r>
        <w:rPr>
          <w:rFonts w:hint="eastAsia" w:ascii="Cambria Math" w:hAnsi="Cambria Math" w:cs="Cambria Math"/>
          <w:kern w:val="0"/>
          <w:sz w:val="20"/>
          <w:szCs w:val="20"/>
          <w:lang w:bidi="ar"/>
        </w:rPr>
        <w:t>检查方法：目测，查阅施工记录。</w:t>
      </w:r>
    </w:p>
    <w:p w14:paraId="69CAA9D5">
      <w:pPr>
        <w:pStyle w:val="3"/>
        <w:snapToGrid w:val="0"/>
        <w:spacing w:before="312" w:beforeLines="100" w:after="0" w:line="288" w:lineRule="auto"/>
        <w:jc w:val="center"/>
        <w:rPr>
          <w:rFonts w:ascii="Times New Roman" w:hAnsi="Times New Roman"/>
          <w:sz w:val="20"/>
          <w:szCs w:val="21"/>
        </w:rPr>
      </w:pPr>
      <w:bookmarkStart w:id="368" w:name="_Toc170810221"/>
      <w:bookmarkStart w:id="369" w:name="_Toc185236612"/>
      <w:bookmarkStart w:id="370" w:name="_Toc185235661"/>
      <w:bookmarkStart w:id="371" w:name="_Toc188612092"/>
      <w:bookmarkStart w:id="372" w:name="_Toc188798563"/>
      <w:r>
        <w:rPr>
          <w:rFonts w:ascii="Times New Roman" w:hAnsi="Times New Roman"/>
          <w:sz w:val="20"/>
          <w:szCs w:val="21"/>
        </w:rPr>
        <w:t>7.</w:t>
      </w:r>
      <w:r>
        <w:rPr>
          <w:rFonts w:hint="eastAsia" w:ascii="Times New Roman" w:hAnsi="Times New Roman"/>
          <w:sz w:val="20"/>
          <w:szCs w:val="21"/>
        </w:rPr>
        <w:t>5</w:t>
      </w:r>
      <w:r>
        <w:rPr>
          <w:rFonts w:ascii="Times New Roman" w:hAnsi="Times New Roman"/>
          <w:sz w:val="20"/>
          <w:szCs w:val="21"/>
        </w:rPr>
        <w:t xml:space="preserve"> </w:t>
      </w:r>
      <w:r>
        <w:rPr>
          <w:rFonts w:hint="eastAsia" w:ascii="Times New Roman" w:hAnsi="Times New Roman"/>
          <w:sz w:val="20"/>
          <w:szCs w:val="21"/>
        </w:rPr>
        <w:t xml:space="preserve"> 成型结构质量</w:t>
      </w:r>
      <w:bookmarkEnd w:id="368"/>
      <w:bookmarkEnd w:id="369"/>
      <w:bookmarkEnd w:id="370"/>
      <w:r>
        <w:rPr>
          <w:rFonts w:hint="eastAsia" w:ascii="Times New Roman" w:hAnsi="Times New Roman"/>
          <w:sz w:val="20"/>
          <w:szCs w:val="21"/>
        </w:rPr>
        <w:t>验收</w:t>
      </w:r>
      <w:bookmarkEnd w:id="371"/>
      <w:bookmarkEnd w:id="372"/>
    </w:p>
    <w:p w14:paraId="1ABF3A71">
      <w:pPr>
        <w:snapToGrid w:val="0"/>
        <w:spacing w:before="156" w:beforeLines="50" w:after="156" w:afterLines="50" w:line="288" w:lineRule="auto"/>
        <w:jc w:val="center"/>
        <w:rPr>
          <w:b/>
          <w:bCs/>
          <w:sz w:val="20"/>
        </w:rPr>
      </w:pPr>
      <w:r>
        <w:rPr>
          <w:rFonts w:hint="eastAsia"/>
          <w:b/>
          <w:bCs/>
          <w:sz w:val="20"/>
        </w:rPr>
        <w:t>主控项目</w:t>
      </w:r>
    </w:p>
    <w:p w14:paraId="0D5646B4">
      <w:pPr>
        <w:snapToGrid w:val="0"/>
        <w:spacing w:line="288" w:lineRule="auto"/>
        <w:outlineLvl w:val="2"/>
        <w:rPr>
          <w:rFonts w:hAnsi="宋体"/>
          <w:bCs/>
          <w:sz w:val="20"/>
          <w:szCs w:val="20"/>
        </w:rPr>
      </w:pPr>
      <w:r>
        <w:rPr>
          <w:rFonts w:hint="eastAsia" w:hAnsi="宋体"/>
          <w:b/>
          <w:sz w:val="20"/>
          <w:szCs w:val="20"/>
        </w:rPr>
        <w:t>7.5.1</w:t>
      </w:r>
      <w:r>
        <w:rPr>
          <w:rFonts w:hAnsi="宋体"/>
          <w:b/>
          <w:sz w:val="20"/>
          <w:szCs w:val="20"/>
        </w:rPr>
        <w:t xml:space="preserve">  </w:t>
      </w:r>
      <w:r>
        <w:rPr>
          <w:rFonts w:hint="eastAsia"/>
          <w:sz w:val="20"/>
          <w:szCs w:val="20"/>
        </w:rPr>
        <w:t>结构表面应无贯穿性裂缝</w:t>
      </w:r>
      <w:r>
        <w:rPr>
          <w:rFonts w:hint="eastAsia"/>
          <w:sz w:val="20"/>
          <w:szCs w:val="20"/>
          <w:shd w:val="clear" w:color="auto" w:fill="FFFFFF"/>
        </w:rPr>
        <w:t>、无缺棱掉角，管片接缝应符合设计要求</w:t>
      </w:r>
      <w:r>
        <w:rPr>
          <w:rFonts w:hint="eastAsia" w:hAnsi="宋体"/>
          <w:bCs/>
          <w:sz w:val="20"/>
          <w:szCs w:val="20"/>
        </w:rPr>
        <w:t>。</w:t>
      </w:r>
    </w:p>
    <w:p w14:paraId="0F184D55">
      <w:pPr>
        <w:snapToGrid w:val="0"/>
        <w:spacing w:line="288" w:lineRule="auto"/>
        <w:ind w:firstLine="600" w:firstLineChars="300"/>
        <w:rPr>
          <w:rFonts w:hAnsi="宋体"/>
          <w:sz w:val="20"/>
          <w:szCs w:val="20"/>
        </w:rPr>
      </w:pPr>
      <w:r>
        <w:rPr>
          <w:rFonts w:hint="eastAsia" w:hAnsi="宋体"/>
          <w:sz w:val="20"/>
          <w:szCs w:val="20"/>
        </w:rPr>
        <w:t>检验数量：全数检验。</w:t>
      </w:r>
    </w:p>
    <w:p w14:paraId="7B583F91">
      <w:pPr>
        <w:snapToGrid w:val="0"/>
        <w:spacing w:line="288" w:lineRule="auto"/>
        <w:ind w:firstLine="600" w:firstLineChars="300"/>
        <w:rPr>
          <w:rFonts w:hAnsi="宋体"/>
          <w:sz w:val="20"/>
          <w:szCs w:val="20"/>
        </w:rPr>
      </w:pPr>
      <w:r>
        <w:rPr>
          <w:rFonts w:hint="eastAsia" w:hAnsi="宋体"/>
          <w:sz w:val="20"/>
          <w:szCs w:val="20"/>
        </w:rPr>
        <w:t>检验方法：目测，检查施工记录。</w:t>
      </w:r>
    </w:p>
    <w:p w14:paraId="60E8C2F2">
      <w:pPr>
        <w:snapToGrid w:val="0"/>
        <w:spacing w:line="288" w:lineRule="auto"/>
        <w:outlineLvl w:val="2"/>
        <w:rPr>
          <w:rFonts w:hAnsi="宋体"/>
          <w:bCs/>
          <w:sz w:val="20"/>
          <w:szCs w:val="20"/>
        </w:rPr>
      </w:pPr>
      <w:r>
        <w:rPr>
          <w:rFonts w:hint="eastAsia" w:hAnsi="宋体"/>
          <w:b/>
          <w:sz w:val="20"/>
          <w:szCs w:val="20"/>
        </w:rPr>
        <w:t>7.5.</w:t>
      </w:r>
      <w:r>
        <w:rPr>
          <w:rFonts w:hAnsi="宋体"/>
          <w:b/>
          <w:sz w:val="20"/>
          <w:szCs w:val="20"/>
        </w:rPr>
        <w:t xml:space="preserve">2  </w:t>
      </w:r>
      <w:r>
        <w:rPr>
          <w:rFonts w:hint="eastAsia"/>
          <w:sz w:val="20"/>
          <w:szCs w:val="20"/>
        </w:rPr>
        <w:t>结构防水应符合设计要求</w:t>
      </w:r>
      <w:r>
        <w:rPr>
          <w:rFonts w:hint="eastAsia" w:hAnsi="宋体"/>
          <w:bCs/>
          <w:sz w:val="20"/>
          <w:szCs w:val="20"/>
        </w:rPr>
        <w:t>。</w:t>
      </w:r>
    </w:p>
    <w:p w14:paraId="43E3D18B">
      <w:pPr>
        <w:snapToGrid w:val="0"/>
        <w:spacing w:line="288" w:lineRule="auto"/>
        <w:ind w:firstLine="600" w:firstLineChars="300"/>
        <w:rPr>
          <w:rFonts w:hAnsi="宋体"/>
          <w:sz w:val="20"/>
          <w:szCs w:val="20"/>
        </w:rPr>
      </w:pPr>
      <w:r>
        <w:rPr>
          <w:rFonts w:hint="eastAsia" w:hAnsi="宋体"/>
          <w:sz w:val="20"/>
          <w:szCs w:val="20"/>
        </w:rPr>
        <w:t>检验数量：逐环检验。</w:t>
      </w:r>
    </w:p>
    <w:p w14:paraId="671B9112">
      <w:pPr>
        <w:snapToGrid w:val="0"/>
        <w:spacing w:line="288" w:lineRule="auto"/>
        <w:ind w:firstLine="600" w:firstLineChars="300"/>
        <w:rPr>
          <w:rFonts w:hAnsi="宋体"/>
          <w:sz w:val="20"/>
          <w:szCs w:val="20"/>
        </w:rPr>
      </w:pPr>
      <w:r>
        <w:rPr>
          <w:rFonts w:hint="eastAsia" w:hAnsi="宋体"/>
          <w:sz w:val="20"/>
          <w:szCs w:val="20"/>
        </w:rPr>
        <w:t>检验方法：目测，检查施工记录。</w:t>
      </w:r>
    </w:p>
    <w:p w14:paraId="1A7AF4C8">
      <w:pPr>
        <w:snapToGrid w:val="0"/>
        <w:spacing w:line="288" w:lineRule="auto"/>
        <w:outlineLvl w:val="2"/>
        <w:rPr>
          <w:bCs/>
          <w:sz w:val="20"/>
          <w:szCs w:val="20"/>
        </w:rPr>
      </w:pPr>
      <w:r>
        <w:rPr>
          <w:rFonts w:hint="eastAsia"/>
          <w:b/>
          <w:sz w:val="20"/>
          <w:szCs w:val="20"/>
        </w:rPr>
        <w:t>7.5.</w:t>
      </w:r>
      <w:r>
        <w:rPr>
          <w:b/>
          <w:sz w:val="20"/>
          <w:szCs w:val="20"/>
        </w:rPr>
        <w:t xml:space="preserve">3  </w:t>
      </w:r>
      <w:r>
        <w:rPr>
          <w:sz w:val="20"/>
          <w:szCs w:val="20"/>
        </w:rPr>
        <w:t>衬砌</w:t>
      </w:r>
      <w:r>
        <w:rPr>
          <w:kern w:val="0"/>
          <w:sz w:val="20"/>
          <w:szCs w:val="20"/>
          <w:lang w:bidi="ar"/>
        </w:rPr>
        <w:t>结构</w:t>
      </w:r>
      <w:r>
        <w:rPr>
          <w:sz w:val="20"/>
          <w:szCs w:val="20"/>
        </w:rPr>
        <w:t>不得侵入建筑界限</w:t>
      </w:r>
      <w:r>
        <w:rPr>
          <w:bCs/>
          <w:sz w:val="20"/>
          <w:szCs w:val="20"/>
        </w:rPr>
        <w:t>。</w:t>
      </w:r>
    </w:p>
    <w:p w14:paraId="1618FF44">
      <w:pPr>
        <w:snapToGrid w:val="0"/>
        <w:spacing w:line="288" w:lineRule="auto"/>
        <w:ind w:firstLine="600" w:firstLineChars="300"/>
        <w:rPr>
          <w:sz w:val="20"/>
          <w:szCs w:val="20"/>
        </w:rPr>
      </w:pPr>
      <w:r>
        <w:rPr>
          <w:sz w:val="20"/>
          <w:szCs w:val="20"/>
        </w:rPr>
        <w:t>检验数量：每5环检验1次。</w:t>
      </w:r>
    </w:p>
    <w:p w14:paraId="48FEA9B1">
      <w:pPr>
        <w:snapToGrid w:val="0"/>
        <w:spacing w:line="288" w:lineRule="auto"/>
        <w:ind w:firstLine="600" w:firstLineChars="300"/>
        <w:rPr>
          <w:sz w:val="20"/>
          <w:szCs w:val="20"/>
        </w:rPr>
      </w:pPr>
      <w:r>
        <w:rPr>
          <w:sz w:val="20"/>
          <w:szCs w:val="20"/>
        </w:rPr>
        <w:t>检验方法：全站仪、水准仪等测量。</w:t>
      </w:r>
    </w:p>
    <w:p w14:paraId="160E9F75">
      <w:pPr>
        <w:snapToGrid w:val="0"/>
        <w:spacing w:before="156" w:beforeLines="50" w:after="156" w:afterLines="50" w:line="288" w:lineRule="auto"/>
        <w:jc w:val="center"/>
        <w:rPr>
          <w:b/>
          <w:bCs/>
          <w:sz w:val="20"/>
        </w:rPr>
      </w:pPr>
      <w:r>
        <w:rPr>
          <w:rFonts w:hint="eastAsia"/>
          <w:b/>
          <w:bCs/>
          <w:sz w:val="20"/>
        </w:rPr>
        <w:t>一般项目</w:t>
      </w:r>
    </w:p>
    <w:p w14:paraId="7FD91D4A">
      <w:pPr>
        <w:snapToGrid w:val="0"/>
        <w:spacing w:line="288" w:lineRule="auto"/>
        <w:outlineLvl w:val="2"/>
        <w:rPr>
          <w:sz w:val="20"/>
          <w:szCs w:val="20"/>
        </w:rPr>
      </w:pPr>
      <w:r>
        <w:rPr>
          <w:b/>
          <w:bCs/>
          <w:kern w:val="0"/>
          <w:sz w:val="20"/>
          <w:szCs w:val="20"/>
          <w:lang w:bidi="ar"/>
        </w:rPr>
        <w:t>7.</w:t>
      </w:r>
      <w:r>
        <w:rPr>
          <w:rFonts w:hint="eastAsia"/>
          <w:b/>
          <w:bCs/>
          <w:kern w:val="0"/>
          <w:sz w:val="20"/>
          <w:szCs w:val="20"/>
          <w:lang w:bidi="ar"/>
        </w:rPr>
        <w:t>5</w:t>
      </w:r>
      <w:r>
        <w:rPr>
          <w:b/>
          <w:bCs/>
          <w:kern w:val="0"/>
          <w:sz w:val="20"/>
          <w:szCs w:val="20"/>
          <w:lang w:bidi="ar"/>
        </w:rPr>
        <w:t>.</w:t>
      </w:r>
      <w:r>
        <w:rPr>
          <w:rFonts w:hint="eastAsia"/>
          <w:b/>
          <w:bCs/>
          <w:kern w:val="0"/>
          <w:sz w:val="20"/>
          <w:szCs w:val="20"/>
          <w:lang w:bidi="ar"/>
        </w:rPr>
        <w:t>4</w:t>
      </w:r>
      <w:r>
        <w:rPr>
          <w:b/>
          <w:bCs/>
          <w:kern w:val="0"/>
          <w:sz w:val="20"/>
          <w:szCs w:val="20"/>
          <w:lang w:bidi="ar"/>
        </w:rPr>
        <w:t xml:space="preserve">  </w:t>
      </w:r>
      <w:r>
        <w:rPr>
          <w:rFonts w:hint="eastAsia"/>
          <w:sz w:val="20"/>
          <w:szCs w:val="20"/>
        </w:rPr>
        <w:t>顶管通道内应线形平顺</w:t>
      </w:r>
      <w:r>
        <w:rPr>
          <w:rFonts w:hint="eastAsia" w:ascii="Cambria Math" w:hAnsi="Cambria Math" w:cs="Cambria Math"/>
          <w:kern w:val="0"/>
          <w:sz w:val="20"/>
          <w:szCs w:val="20"/>
          <w:lang w:bidi="ar"/>
        </w:rPr>
        <w:t>，无突变、变形现象。</w:t>
      </w:r>
    </w:p>
    <w:p w14:paraId="70DBA120">
      <w:pPr>
        <w:snapToGrid w:val="0"/>
        <w:spacing w:line="288" w:lineRule="auto"/>
        <w:ind w:firstLine="300" w:firstLineChars="150"/>
        <w:rPr>
          <w:rFonts w:ascii="Cambria Math" w:hAnsi="Cambria Math" w:cs="Cambria Math"/>
          <w:kern w:val="0"/>
          <w:sz w:val="20"/>
          <w:szCs w:val="20"/>
          <w:lang w:bidi="ar"/>
        </w:rPr>
      </w:pPr>
      <w:r>
        <w:rPr>
          <w:rFonts w:hint="eastAsia" w:ascii="Cambria Math" w:hAnsi="Cambria Math" w:cs="Cambria Math"/>
          <w:kern w:val="0"/>
          <w:sz w:val="20"/>
          <w:szCs w:val="20"/>
          <w:lang w:bidi="ar"/>
        </w:rPr>
        <w:t xml:space="preserve">检查数量：全数检查。 </w:t>
      </w:r>
    </w:p>
    <w:p w14:paraId="6676F091">
      <w:pPr>
        <w:snapToGrid w:val="0"/>
        <w:spacing w:line="288" w:lineRule="auto"/>
        <w:ind w:firstLine="300" w:firstLineChars="150"/>
        <w:rPr>
          <w:rFonts w:ascii="Cambria Math" w:hAnsi="Cambria Math" w:cs="Cambria Math"/>
          <w:kern w:val="0"/>
          <w:sz w:val="20"/>
          <w:szCs w:val="20"/>
          <w:lang w:bidi="ar"/>
        </w:rPr>
      </w:pPr>
      <w:r>
        <w:rPr>
          <w:rFonts w:hint="eastAsia" w:ascii="Cambria Math" w:hAnsi="Cambria Math" w:cs="Cambria Math"/>
          <w:kern w:val="0"/>
          <w:sz w:val="20"/>
          <w:szCs w:val="20"/>
          <w:lang w:bidi="ar"/>
        </w:rPr>
        <w:t>检查方法：目测，检查顶进施工记录、测量记录。</w:t>
      </w:r>
    </w:p>
    <w:p w14:paraId="5DD9AD26">
      <w:pPr>
        <w:snapToGrid w:val="0"/>
        <w:spacing w:line="288" w:lineRule="auto"/>
        <w:outlineLvl w:val="2"/>
        <w:rPr>
          <w:sz w:val="20"/>
          <w:szCs w:val="20"/>
        </w:rPr>
      </w:pPr>
      <w:r>
        <w:rPr>
          <w:b/>
          <w:bCs/>
          <w:kern w:val="0"/>
          <w:sz w:val="20"/>
          <w:szCs w:val="20"/>
          <w:lang w:bidi="ar"/>
        </w:rPr>
        <w:t>7.</w:t>
      </w:r>
      <w:r>
        <w:rPr>
          <w:rFonts w:hint="eastAsia"/>
          <w:b/>
          <w:bCs/>
          <w:kern w:val="0"/>
          <w:sz w:val="20"/>
          <w:szCs w:val="20"/>
          <w:lang w:bidi="ar"/>
        </w:rPr>
        <w:t>5</w:t>
      </w:r>
      <w:r>
        <w:rPr>
          <w:b/>
          <w:bCs/>
          <w:kern w:val="0"/>
          <w:sz w:val="20"/>
          <w:szCs w:val="20"/>
          <w:lang w:bidi="ar"/>
        </w:rPr>
        <w:t>.</w:t>
      </w:r>
      <w:r>
        <w:rPr>
          <w:rFonts w:hint="eastAsia"/>
          <w:b/>
          <w:bCs/>
          <w:kern w:val="0"/>
          <w:sz w:val="20"/>
          <w:szCs w:val="20"/>
          <w:lang w:bidi="ar"/>
        </w:rPr>
        <w:t>5</w:t>
      </w:r>
      <w:r>
        <w:rPr>
          <w:b/>
          <w:bCs/>
          <w:kern w:val="0"/>
          <w:sz w:val="20"/>
          <w:szCs w:val="20"/>
          <w:lang w:bidi="ar"/>
        </w:rPr>
        <w:t xml:space="preserve"> </w:t>
      </w:r>
      <w:r>
        <w:rPr>
          <w:rFonts w:hint="eastAsia"/>
          <w:b/>
          <w:bCs/>
          <w:kern w:val="0"/>
          <w:sz w:val="20"/>
          <w:szCs w:val="20"/>
          <w:lang w:bidi="ar"/>
        </w:rPr>
        <w:t xml:space="preserve"> </w:t>
      </w:r>
      <w:r>
        <w:rPr>
          <w:rFonts w:hint="eastAsia"/>
          <w:sz w:val="20"/>
          <w:szCs w:val="20"/>
        </w:rPr>
        <w:t>管节注浆孔应封堵密实</w:t>
      </w:r>
      <w:r>
        <w:rPr>
          <w:rFonts w:hint="eastAsia" w:ascii="Cambria Math" w:hAnsi="Cambria Math" w:cs="Cambria Math"/>
          <w:kern w:val="0"/>
          <w:sz w:val="20"/>
          <w:szCs w:val="20"/>
          <w:lang w:bidi="ar"/>
        </w:rPr>
        <w:t>。</w:t>
      </w:r>
    </w:p>
    <w:p w14:paraId="7B8B9EA7">
      <w:pPr>
        <w:snapToGrid w:val="0"/>
        <w:spacing w:line="288" w:lineRule="auto"/>
        <w:ind w:firstLine="300" w:firstLineChars="150"/>
        <w:rPr>
          <w:rFonts w:ascii="Cambria Math" w:hAnsi="Cambria Math" w:cs="Cambria Math"/>
          <w:kern w:val="0"/>
          <w:sz w:val="20"/>
          <w:szCs w:val="20"/>
          <w:lang w:bidi="ar"/>
        </w:rPr>
      </w:pPr>
      <w:r>
        <w:rPr>
          <w:rFonts w:hint="eastAsia" w:ascii="Cambria Math" w:hAnsi="Cambria Math" w:cs="Cambria Math"/>
          <w:kern w:val="0"/>
          <w:sz w:val="20"/>
          <w:szCs w:val="20"/>
          <w:lang w:bidi="ar"/>
        </w:rPr>
        <w:t>检查方法：全数检查</w:t>
      </w:r>
    </w:p>
    <w:p w14:paraId="420765BC">
      <w:pPr>
        <w:snapToGrid w:val="0"/>
        <w:spacing w:line="288" w:lineRule="auto"/>
        <w:ind w:firstLine="300" w:firstLineChars="150"/>
        <w:rPr>
          <w:rFonts w:ascii="Cambria Math" w:hAnsi="Cambria Math" w:cs="Cambria Math"/>
          <w:kern w:val="0"/>
          <w:sz w:val="20"/>
          <w:szCs w:val="20"/>
          <w:lang w:bidi="ar"/>
        </w:rPr>
      </w:pPr>
      <w:r>
        <w:rPr>
          <w:rFonts w:hint="eastAsia" w:ascii="Cambria Math" w:hAnsi="Cambria Math" w:cs="Cambria Math"/>
          <w:kern w:val="0"/>
          <w:sz w:val="20"/>
          <w:szCs w:val="20"/>
          <w:lang w:bidi="ar"/>
        </w:rPr>
        <w:t>检查方法：目测。</w:t>
      </w:r>
    </w:p>
    <w:p w14:paraId="3F25429F">
      <w:pPr>
        <w:snapToGrid w:val="0"/>
        <w:spacing w:line="288" w:lineRule="auto"/>
        <w:outlineLvl w:val="2"/>
        <w:rPr>
          <w:rFonts w:hAnsi="宋体"/>
          <w:bCs/>
          <w:sz w:val="20"/>
          <w:szCs w:val="20"/>
        </w:rPr>
      </w:pPr>
      <w:r>
        <w:rPr>
          <w:rFonts w:hint="eastAsia" w:hAnsi="宋体"/>
          <w:b/>
          <w:sz w:val="20"/>
          <w:szCs w:val="20"/>
        </w:rPr>
        <w:t>7.5.6</w:t>
      </w:r>
      <w:r>
        <w:rPr>
          <w:rFonts w:hAnsi="宋体"/>
          <w:b/>
          <w:sz w:val="20"/>
          <w:szCs w:val="20"/>
        </w:rPr>
        <w:t xml:space="preserve">  </w:t>
      </w:r>
      <w:r>
        <w:rPr>
          <w:rFonts w:hint="eastAsia"/>
          <w:sz w:val="20"/>
          <w:szCs w:val="20"/>
        </w:rPr>
        <w:t>结构轴线允许偏差应符合表</w:t>
      </w:r>
      <w:r>
        <w:rPr>
          <w:rFonts w:hint="eastAsia"/>
          <w:sz w:val="20"/>
          <w:szCs w:val="20"/>
          <w:shd w:val="clear" w:color="auto" w:fill="FFFFFF"/>
        </w:rPr>
        <w:t>7.6.</w:t>
      </w:r>
      <w:r>
        <w:rPr>
          <w:sz w:val="20"/>
          <w:szCs w:val="20"/>
          <w:shd w:val="clear" w:color="auto" w:fill="FFFFFF"/>
        </w:rPr>
        <w:t>4</w:t>
      </w:r>
      <w:r>
        <w:rPr>
          <w:rFonts w:hint="eastAsia"/>
          <w:sz w:val="20"/>
          <w:szCs w:val="20"/>
          <w:shd w:val="clear" w:color="auto" w:fill="FFFFFF"/>
        </w:rPr>
        <w:t>的规定</w:t>
      </w:r>
      <w:r>
        <w:rPr>
          <w:rFonts w:hint="eastAsia" w:hAnsi="宋体"/>
          <w:bCs/>
          <w:sz w:val="20"/>
          <w:szCs w:val="20"/>
        </w:rPr>
        <w:t>。</w:t>
      </w:r>
    </w:p>
    <w:p w14:paraId="61B9F562">
      <w:pPr>
        <w:snapToGrid w:val="0"/>
        <w:spacing w:line="288" w:lineRule="auto"/>
        <w:ind w:firstLine="600" w:firstLineChars="300"/>
        <w:rPr>
          <w:sz w:val="20"/>
          <w:szCs w:val="20"/>
        </w:rPr>
      </w:pPr>
      <w:r>
        <w:rPr>
          <w:sz w:val="20"/>
          <w:szCs w:val="20"/>
        </w:rPr>
        <w:t>检验数量：每</w:t>
      </w:r>
      <w:r>
        <w:rPr>
          <w:rFonts w:hint="eastAsia"/>
          <w:sz w:val="20"/>
          <w:szCs w:val="20"/>
        </w:rPr>
        <w:t>5</w:t>
      </w:r>
      <w:r>
        <w:rPr>
          <w:sz w:val="20"/>
          <w:szCs w:val="20"/>
        </w:rPr>
        <w:t>环检验1次。</w:t>
      </w:r>
    </w:p>
    <w:p w14:paraId="10505A3B">
      <w:pPr>
        <w:snapToGrid w:val="0"/>
        <w:spacing w:line="288" w:lineRule="auto"/>
        <w:ind w:firstLine="600" w:firstLineChars="300"/>
        <w:rPr>
          <w:rFonts w:hint="eastAsia"/>
          <w:sz w:val="20"/>
          <w:szCs w:val="20"/>
        </w:rPr>
      </w:pPr>
      <w:r>
        <w:rPr>
          <w:sz w:val="20"/>
          <w:szCs w:val="20"/>
        </w:rPr>
        <w:t>检验方法：全站仪、水准仪等测量。</w:t>
      </w:r>
    </w:p>
    <w:p w14:paraId="08502321">
      <w:pPr>
        <w:snapToGrid w:val="0"/>
        <w:spacing w:line="288" w:lineRule="auto"/>
        <w:ind w:firstLine="600" w:firstLineChars="300"/>
        <w:rPr>
          <w:rFonts w:hint="eastAsia"/>
          <w:sz w:val="20"/>
          <w:szCs w:val="20"/>
        </w:rPr>
      </w:pPr>
    </w:p>
    <w:p w14:paraId="4E34705F">
      <w:pPr>
        <w:snapToGrid w:val="0"/>
        <w:spacing w:line="288" w:lineRule="auto"/>
        <w:ind w:firstLine="600" w:firstLineChars="300"/>
        <w:rPr>
          <w:sz w:val="20"/>
          <w:szCs w:val="20"/>
        </w:rPr>
      </w:pPr>
    </w:p>
    <w:p w14:paraId="0535CD9A">
      <w:pPr>
        <w:adjustRightInd w:val="0"/>
        <w:snapToGrid w:val="0"/>
        <w:spacing w:line="300" w:lineRule="auto"/>
        <w:ind w:firstLine="360" w:firstLineChars="200"/>
        <w:jc w:val="center"/>
        <w:rPr>
          <w:rFonts w:ascii="黑体" w:hAnsi="黑体" w:eastAsia="黑体"/>
          <w:b/>
          <w:bCs/>
          <w:sz w:val="18"/>
          <w:szCs w:val="18"/>
        </w:rPr>
      </w:pPr>
      <w:r>
        <w:rPr>
          <w:rFonts w:ascii="黑体" w:hAnsi="黑体" w:eastAsia="黑体"/>
          <w:b/>
          <w:bCs/>
          <w:sz w:val="18"/>
          <w:szCs w:val="18"/>
        </w:rPr>
        <w:t>表</w:t>
      </w:r>
      <w:r>
        <w:rPr>
          <w:rFonts w:eastAsia="黑体"/>
          <w:b/>
          <w:bCs/>
          <w:sz w:val="18"/>
          <w:szCs w:val="18"/>
        </w:rPr>
        <w:t>7.5.6</w:t>
      </w:r>
      <w:r>
        <w:rPr>
          <w:rFonts w:ascii="黑体" w:hAnsi="黑体" w:eastAsia="黑体"/>
          <w:b/>
          <w:bCs/>
          <w:sz w:val="18"/>
          <w:szCs w:val="18"/>
        </w:rPr>
        <w:t xml:space="preserve">  结构轴线允许偏差</w:t>
      </w:r>
    </w:p>
    <w:tbl>
      <w:tblPr>
        <w:tblStyle w:val="45"/>
        <w:tblW w:w="74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2030"/>
        <w:gridCol w:w="2219"/>
        <w:gridCol w:w="2348"/>
      </w:tblGrid>
      <w:tr w14:paraId="5523F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34" w:type="dxa"/>
            <w:vAlign w:val="center"/>
          </w:tcPr>
          <w:p w14:paraId="70650BE7">
            <w:pPr>
              <w:adjustRightInd w:val="0"/>
              <w:snapToGrid w:val="0"/>
              <w:jc w:val="center"/>
              <w:rPr>
                <w:sz w:val="15"/>
                <w:szCs w:val="15"/>
              </w:rPr>
            </w:pPr>
            <w:r>
              <w:rPr>
                <w:rFonts w:hint="eastAsia"/>
                <w:sz w:val="15"/>
                <w:szCs w:val="15"/>
              </w:rPr>
              <w:t>序号</w:t>
            </w:r>
          </w:p>
        </w:tc>
        <w:tc>
          <w:tcPr>
            <w:tcW w:w="2030" w:type="dxa"/>
            <w:vAlign w:val="center"/>
          </w:tcPr>
          <w:p w14:paraId="20211D78">
            <w:pPr>
              <w:adjustRightInd w:val="0"/>
              <w:snapToGrid w:val="0"/>
              <w:jc w:val="center"/>
              <w:rPr>
                <w:sz w:val="15"/>
                <w:szCs w:val="15"/>
              </w:rPr>
            </w:pPr>
            <w:r>
              <w:rPr>
                <w:sz w:val="15"/>
                <w:szCs w:val="15"/>
              </w:rPr>
              <w:t>顶进长度L（m）</w:t>
            </w:r>
          </w:p>
        </w:tc>
        <w:tc>
          <w:tcPr>
            <w:tcW w:w="2219" w:type="dxa"/>
            <w:vAlign w:val="center"/>
          </w:tcPr>
          <w:p w14:paraId="3E07D924">
            <w:pPr>
              <w:adjustRightInd w:val="0"/>
              <w:snapToGrid w:val="0"/>
              <w:jc w:val="center"/>
              <w:rPr>
                <w:sz w:val="15"/>
                <w:szCs w:val="15"/>
              </w:rPr>
            </w:pPr>
            <w:r>
              <w:rPr>
                <w:sz w:val="15"/>
                <w:szCs w:val="15"/>
              </w:rPr>
              <w:t>结构中线平面（mm）</w:t>
            </w:r>
          </w:p>
        </w:tc>
        <w:tc>
          <w:tcPr>
            <w:tcW w:w="2348" w:type="dxa"/>
            <w:vAlign w:val="center"/>
          </w:tcPr>
          <w:p w14:paraId="5319994C">
            <w:pPr>
              <w:adjustRightInd w:val="0"/>
              <w:snapToGrid w:val="0"/>
              <w:jc w:val="center"/>
              <w:rPr>
                <w:sz w:val="15"/>
                <w:szCs w:val="15"/>
              </w:rPr>
            </w:pPr>
            <w:r>
              <w:rPr>
                <w:sz w:val="15"/>
                <w:szCs w:val="15"/>
              </w:rPr>
              <w:t>顶管底面高程（mm）</w:t>
            </w:r>
          </w:p>
        </w:tc>
      </w:tr>
      <w:tr w14:paraId="36C4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834" w:type="dxa"/>
            <w:vAlign w:val="center"/>
          </w:tcPr>
          <w:p w14:paraId="5631D9FE">
            <w:pPr>
              <w:jc w:val="center"/>
              <w:rPr>
                <w:sz w:val="15"/>
                <w:szCs w:val="15"/>
              </w:rPr>
            </w:pPr>
            <w:r>
              <w:rPr>
                <w:rFonts w:hint="eastAsia"/>
                <w:sz w:val="15"/>
                <w:szCs w:val="15"/>
              </w:rPr>
              <w:t>1</w:t>
            </w:r>
          </w:p>
        </w:tc>
        <w:tc>
          <w:tcPr>
            <w:tcW w:w="2030" w:type="dxa"/>
            <w:vAlign w:val="center"/>
          </w:tcPr>
          <w:p w14:paraId="49C28983">
            <w:pPr>
              <w:jc w:val="center"/>
              <w:rPr>
                <w:sz w:val="15"/>
                <w:szCs w:val="15"/>
              </w:rPr>
            </w:pPr>
            <w:r>
              <w:rPr>
                <w:sz w:val="15"/>
                <w:szCs w:val="15"/>
              </w:rPr>
              <w:t>＜100</w:t>
            </w:r>
          </w:p>
        </w:tc>
        <w:tc>
          <w:tcPr>
            <w:tcW w:w="2219" w:type="dxa"/>
            <w:vAlign w:val="center"/>
          </w:tcPr>
          <w:p w14:paraId="6650A5CE">
            <w:pPr>
              <w:jc w:val="center"/>
              <w:rPr>
                <w:sz w:val="15"/>
                <w:szCs w:val="15"/>
              </w:rPr>
            </w:pPr>
            <w:r>
              <w:rPr>
                <w:rFonts w:hint="eastAsia"/>
                <w:sz w:val="15"/>
              </w:rPr>
              <w:t>－</w:t>
            </w:r>
            <w:r>
              <w:rPr>
                <w:rFonts w:hint="eastAsia" w:eastAsiaTheme="minorEastAsia"/>
                <w:sz w:val="15"/>
                <w:szCs w:val="15"/>
              </w:rPr>
              <w:t>8</w:t>
            </w:r>
            <w:r>
              <w:rPr>
                <w:rFonts w:eastAsiaTheme="minorEastAsia"/>
                <w:sz w:val="15"/>
                <w:szCs w:val="15"/>
              </w:rPr>
              <w:t>0</w:t>
            </w:r>
            <w:r>
              <w:rPr>
                <w:rFonts w:hint="eastAsia" w:eastAsiaTheme="minorEastAsia"/>
                <w:sz w:val="15"/>
                <w:szCs w:val="15"/>
              </w:rPr>
              <w:t>～+80</w:t>
            </w:r>
          </w:p>
        </w:tc>
        <w:tc>
          <w:tcPr>
            <w:tcW w:w="2348" w:type="dxa"/>
            <w:vAlign w:val="center"/>
          </w:tcPr>
          <w:p w14:paraId="28035996">
            <w:pPr>
              <w:jc w:val="center"/>
              <w:rPr>
                <w:sz w:val="15"/>
                <w:szCs w:val="15"/>
              </w:rPr>
            </w:pPr>
            <w:r>
              <w:rPr>
                <w:rFonts w:hint="eastAsia"/>
                <w:sz w:val="15"/>
              </w:rPr>
              <w:t>－</w:t>
            </w:r>
            <w:r>
              <w:rPr>
                <w:rFonts w:hint="eastAsia" w:eastAsiaTheme="minorEastAsia"/>
                <w:sz w:val="15"/>
                <w:szCs w:val="15"/>
              </w:rPr>
              <w:t>8</w:t>
            </w:r>
            <w:r>
              <w:rPr>
                <w:rFonts w:eastAsiaTheme="minorEastAsia"/>
                <w:sz w:val="15"/>
                <w:szCs w:val="15"/>
              </w:rPr>
              <w:t>0</w:t>
            </w:r>
            <w:r>
              <w:rPr>
                <w:rFonts w:hint="eastAsia" w:eastAsiaTheme="minorEastAsia"/>
                <w:sz w:val="15"/>
                <w:szCs w:val="15"/>
              </w:rPr>
              <w:t>～+80</w:t>
            </w:r>
          </w:p>
        </w:tc>
      </w:tr>
      <w:tr w14:paraId="48F5C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834" w:type="dxa"/>
            <w:vAlign w:val="center"/>
          </w:tcPr>
          <w:p w14:paraId="1515F682">
            <w:pPr>
              <w:jc w:val="center"/>
              <w:rPr>
                <w:sz w:val="15"/>
                <w:szCs w:val="15"/>
              </w:rPr>
            </w:pPr>
            <w:r>
              <w:rPr>
                <w:rFonts w:hint="eastAsia"/>
                <w:sz w:val="15"/>
                <w:szCs w:val="15"/>
              </w:rPr>
              <w:t>2</w:t>
            </w:r>
          </w:p>
        </w:tc>
        <w:tc>
          <w:tcPr>
            <w:tcW w:w="2030" w:type="dxa"/>
            <w:vAlign w:val="center"/>
          </w:tcPr>
          <w:p w14:paraId="7148049E">
            <w:pPr>
              <w:jc w:val="center"/>
              <w:rPr>
                <w:sz w:val="15"/>
                <w:szCs w:val="15"/>
              </w:rPr>
            </w:pPr>
            <w:r>
              <w:rPr>
                <w:sz w:val="15"/>
                <w:szCs w:val="15"/>
              </w:rPr>
              <w:t>100≤L≤200</w:t>
            </w:r>
          </w:p>
        </w:tc>
        <w:tc>
          <w:tcPr>
            <w:tcW w:w="2219" w:type="dxa"/>
            <w:vAlign w:val="center"/>
          </w:tcPr>
          <w:p w14:paraId="7773888E">
            <w:pPr>
              <w:jc w:val="center"/>
              <w:rPr>
                <w:sz w:val="15"/>
                <w:szCs w:val="15"/>
              </w:rPr>
            </w:pPr>
            <w:r>
              <w:rPr>
                <w:rFonts w:hint="eastAsia"/>
                <w:sz w:val="15"/>
              </w:rPr>
              <w:t>－</w:t>
            </w:r>
            <w:r>
              <w:rPr>
                <w:rFonts w:hint="eastAsia" w:eastAsiaTheme="minorEastAsia"/>
                <w:sz w:val="15"/>
                <w:szCs w:val="15"/>
              </w:rPr>
              <w:t>10</w:t>
            </w:r>
            <w:r>
              <w:rPr>
                <w:rFonts w:eastAsiaTheme="minorEastAsia"/>
                <w:sz w:val="15"/>
                <w:szCs w:val="15"/>
              </w:rPr>
              <w:t>0</w:t>
            </w:r>
            <w:r>
              <w:rPr>
                <w:rFonts w:hint="eastAsia" w:eastAsiaTheme="minorEastAsia"/>
                <w:sz w:val="15"/>
                <w:szCs w:val="15"/>
              </w:rPr>
              <w:t>～+100</w:t>
            </w:r>
          </w:p>
        </w:tc>
        <w:tc>
          <w:tcPr>
            <w:tcW w:w="2348" w:type="dxa"/>
            <w:vAlign w:val="center"/>
          </w:tcPr>
          <w:p w14:paraId="5928B843">
            <w:pPr>
              <w:jc w:val="center"/>
              <w:rPr>
                <w:sz w:val="15"/>
                <w:szCs w:val="15"/>
              </w:rPr>
            </w:pPr>
            <w:r>
              <w:rPr>
                <w:rFonts w:hint="eastAsia"/>
                <w:sz w:val="15"/>
              </w:rPr>
              <w:t>－</w:t>
            </w:r>
            <w:r>
              <w:rPr>
                <w:rFonts w:hint="eastAsia" w:eastAsiaTheme="minorEastAsia"/>
                <w:sz w:val="15"/>
                <w:szCs w:val="15"/>
              </w:rPr>
              <w:t>10</w:t>
            </w:r>
            <w:r>
              <w:rPr>
                <w:rFonts w:eastAsiaTheme="minorEastAsia"/>
                <w:sz w:val="15"/>
                <w:szCs w:val="15"/>
              </w:rPr>
              <w:t>0</w:t>
            </w:r>
            <w:r>
              <w:rPr>
                <w:rFonts w:hint="eastAsia" w:eastAsiaTheme="minorEastAsia"/>
                <w:sz w:val="15"/>
                <w:szCs w:val="15"/>
              </w:rPr>
              <w:t>～+100</w:t>
            </w:r>
          </w:p>
        </w:tc>
      </w:tr>
      <w:tr w14:paraId="1C850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834" w:type="dxa"/>
            <w:vAlign w:val="center"/>
          </w:tcPr>
          <w:p w14:paraId="022018B3">
            <w:pPr>
              <w:jc w:val="center"/>
              <w:rPr>
                <w:sz w:val="15"/>
                <w:szCs w:val="15"/>
              </w:rPr>
            </w:pPr>
            <w:r>
              <w:rPr>
                <w:rFonts w:hint="eastAsia"/>
                <w:sz w:val="15"/>
                <w:szCs w:val="15"/>
              </w:rPr>
              <w:t>3</w:t>
            </w:r>
          </w:p>
        </w:tc>
        <w:tc>
          <w:tcPr>
            <w:tcW w:w="2030" w:type="dxa"/>
            <w:vAlign w:val="center"/>
          </w:tcPr>
          <w:p w14:paraId="06C6C7FB">
            <w:pPr>
              <w:jc w:val="center"/>
              <w:rPr>
                <w:sz w:val="15"/>
                <w:szCs w:val="15"/>
              </w:rPr>
            </w:pPr>
            <w:r>
              <w:rPr>
                <w:sz w:val="15"/>
                <w:szCs w:val="15"/>
              </w:rPr>
              <w:t>＞200</w:t>
            </w:r>
          </w:p>
        </w:tc>
        <w:tc>
          <w:tcPr>
            <w:tcW w:w="2219" w:type="dxa"/>
            <w:vAlign w:val="center"/>
          </w:tcPr>
          <w:p w14:paraId="3688F91A">
            <w:pPr>
              <w:jc w:val="center"/>
              <w:rPr>
                <w:sz w:val="15"/>
                <w:szCs w:val="15"/>
              </w:rPr>
            </w:pPr>
            <w:r>
              <w:rPr>
                <w:rFonts w:hint="eastAsia"/>
                <w:sz w:val="15"/>
              </w:rPr>
              <w:t>－</w:t>
            </w:r>
            <w:r>
              <w:rPr>
                <w:rFonts w:hint="eastAsia" w:eastAsiaTheme="minorEastAsia"/>
                <w:sz w:val="15"/>
                <w:szCs w:val="15"/>
              </w:rPr>
              <w:t>15</w:t>
            </w:r>
            <w:r>
              <w:rPr>
                <w:rFonts w:eastAsiaTheme="minorEastAsia"/>
                <w:sz w:val="15"/>
                <w:szCs w:val="15"/>
              </w:rPr>
              <w:t>0</w:t>
            </w:r>
            <w:r>
              <w:rPr>
                <w:rFonts w:hint="eastAsia" w:eastAsiaTheme="minorEastAsia"/>
                <w:sz w:val="15"/>
                <w:szCs w:val="15"/>
              </w:rPr>
              <w:t>～+150</w:t>
            </w:r>
          </w:p>
        </w:tc>
        <w:tc>
          <w:tcPr>
            <w:tcW w:w="2348" w:type="dxa"/>
            <w:vAlign w:val="center"/>
          </w:tcPr>
          <w:p w14:paraId="0F4F4BF8">
            <w:pPr>
              <w:jc w:val="center"/>
              <w:rPr>
                <w:sz w:val="15"/>
                <w:szCs w:val="15"/>
              </w:rPr>
            </w:pPr>
            <w:r>
              <w:rPr>
                <w:rFonts w:hint="eastAsia"/>
                <w:sz w:val="15"/>
              </w:rPr>
              <w:t>－</w:t>
            </w:r>
            <w:r>
              <w:rPr>
                <w:rFonts w:hint="eastAsia" w:eastAsiaTheme="minorEastAsia"/>
                <w:sz w:val="15"/>
                <w:szCs w:val="15"/>
              </w:rPr>
              <w:t>15</w:t>
            </w:r>
            <w:r>
              <w:rPr>
                <w:rFonts w:eastAsiaTheme="minorEastAsia"/>
                <w:sz w:val="15"/>
                <w:szCs w:val="15"/>
              </w:rPr>
              <w:t>0</w:t>
            </w:r>
            <w:r>
              <w:rPr>
                <w:rFonts w:hint="eastAsia" w:eastAsiaTheme="minorEastAsia"/>
                <w:sz w:val="15"/>
                <w:szCs w:val="15"/>
              </w:rPr>
              <w:t>～+150</w:t>
            </w:r>
          </w:p>
        </w:tc>
      </w:tr>
    </w:tbl>
    <w:p w14:paraId="746892B6">
      <w:pPr>
        <w:spacing w:line="288" w:lineRule="auto"/>
        <w:ind w:firstLine="630" w:firstLineChars="300"/>
        <w:rPr>
          <w:shd w:val="clear" w:color="auto" w:fill="FFFFFF"/>
        </w:rPr>
      </w:pPr>
    </w:p>
    <w:p w14:paraId="330A8057">
      <w:pPr>
        <w:snapToGrid w:val="0"/>
        <w:spacing w:line="288" w:lineRule="auto"/>
        <w:outlineLvl w:val="2"/>
        <w:rPr>
          <w:rFonts w:hAnsi="宋体"/>
          <w:bCs/>
        </w:rPr>
      </w:pPr>
      <w:r>
        <w:rPr>
          <w:rFonts w:hint="eastAsia" w:hAnsi="宋体"/>
          <w:b/>
        </w:rPr>
        <w:t>7.5.7</w:t>
      </w:r>
      <w:r>
        <w:rPr>
          <w:rFonts w:hAnsi="宋体"/>
          <w:b/>
        </w:rPr>
        <w:t xml:space="preserve">  </w:t>
      </w:r>
      <w:r>
        <w:rPr>
          <w:rFonts w:hint="eastAsia"/>
          <w:sz w:val="20"/>
          <w:szCs w:val="20"/>
        </w:rPr>
        <w:t>管节接口允许偏差应符合表</w:t>
      </w:r>
      <w:r>
        <w:rPr>
          <w:rFonts w:hint="eastAsia"/>
          <w:shd w:val="clear" w:color="auto" w:fill="FFFFFF"/>
        </w:rPr>
        <w:t>7.6.7的规定</w:t>
      </w:r>
      <w:r>
        <w:rPr>
          <w:rFonts w:hint="eastAsia" w:hAnsi="宋体"/>
          <w:bCs/>
        </w:rPr>
        <w:t>。</w:t>
      </w:r>
    </w:p>
    <w:p w14:paraId="16B8F6AA">
      <w:pPr>
        <w:snapToGrid w:val="0"/>
        <w:spacing w:line="288" w:lineRule="auto"/>
        <w:ind w:firstLine="600" w:firstLineChars="300"/>
        <w:rPr>
          <w:sz w:val="20"/>
        </w:rPr>
      </w:pPr>
      <w:r>
        <w:rPr>
          <w:sz w:val="20"/>
        </w:rPr>
        <w:t>检验数量：每10环检验1次。</w:t>
      </w:r>
    </w:p>
    <w:p w14:paraId="6EFC5B84">
      <w:pPr>
        <w:snapToGrid w:val="0"/>
        <w:spacing w:line="288" w:lineRule="auto"/>
        <w:ind w:firstLine="600" w:firstLineChars="300"/>
        <w:rPr>
          <w:rFonts w:hAnsi="宋体"/>
          <w:bCs/>
        </w:rPr>
      </w:pPr>
      <w:r>
        <w:rPr>
          <w:sz w:val="20"/>
        </w:rPr>
        <w:t>检验方法：全站仪、水准仪等测量。</w:t>
      </w:r>
    </w:p>
    <w:p w14:paraId="2C9211F7">
      <w:pPr>
        <w:adjustRightInd w:val="0"/>
        <w:snapToGrid w:val="0"/>
        <w:spacing w:line="300" w:lineRule="auto"/>
        <w:ind w:firstLine="361"/>
        <w:jc w:val="center"/>
        <w:rPr>
          <w:rFonts w:ascii="黑体" w:hAnsi="黑体" w:eastAsia="黑体"/>
          <w:b/>
          <w:bCs/>
          <w:sz w:val="18"/>
          <w:szCs w:val="18"/>
          <w:shd w:val="clear" w:color="auto" w:fill="FFFFFF"/>
        </w:rPr>
      </w:pPr>
      <w:r>
        <w:rPr>
          <w:rFonts w:hint="eastAsia" w:ascii="黑体" w:hAnsi="黑体" w:eastAsia="黑体"/>
          <w:b/>
          <w:bCs/>
          <w:sz w:val="18"/>
          <w:szCs w:val="18"/>
          <w:shd w:val="clear" w:color="auto" w:fill="FFFFFF"/>
        </w:rPr>
        <w:t>表</w:t>
      </w:r>
      <w:r>
        <w:rPr>
          <w:rFonts w:eastAsia="黑体"/>
          <w:b/>
          <w:bCs/>
          <w:sz w:val="18"/>
          <w:szCs w:val="18"/>
          <w:shd w:val="clear" w:color="auto" w:fill="FFFFFF"/>
        </w:rPr>
        <w:t>7.5.7</w:t>
      </w:r>
      <w:r>
        <w:rPr>
          <w:rFonts w:ascii="黑体" w:hAnsi="黑体" w:eastAsia="黑体"/>
          <w:b/>
          <w:bCs/>
          <w:sz w:val="18"/>
          <w:szCs w:val="18"/>
          <w:shd w:val="clear" w:color="auto" w:fill="FFFFFF"/>
        </w:rPr>
        <w:t xml:space="preserve"> </w:t>
      </w:r>
      <w:r>
        <w:rPr>
          <w:rFonts w:hint="eastAsia" w:ascii="黑体" w:hAnsi="黑体" w:eastAsia="黑体"/>
          <w:b/>
          <w:bCs/>
          <w:sz w:val="18"/>
          <w:szCs w:val="18"/>
          <w:shd w:val="clear" w:color="auto" w:fill="FFFFFF"/>
        </w:rPr>
        <w:t xml:space="preserve"> 管节接口允许偏差（mm）</w:t>
      </w:r>
    </w:p>
    <w:tbl>
      <w:tblPr>
        <w:tblStyle w:val="45"/>
        <w:tblW w:w="7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71"/>
        <w:gridCol w:w="1983"/>
        <w:gridCol w:w="2580"/>
      </w:tblGrid>
      <w:tr w14:paraId="2621A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4654" w:type="dxa"/>
            <w:gridSpan w:val="2"/>
            <w:vAlign w:val="center"/>
          </w:tcPr>
          <w:p w14:paraId="075C4C87">
            <w:pPr>
              <w:adjustRightInd w:val="0"/>
              <w:snapToGrid w:val="0"/>
              <w:jc w:val="center"/>
              <w:rPr>
                <w:rFonts w:eastAsiaTheme="minorEastAsia"/>
                <w:sz w:val="15"/>
                <w:szCs w:val="15"/>
              </w:rPr>
            </w:pPr>
            <w:r>
              <w:rPr>
                <w:rFonts w:eastAsiaTheme="minorEastAsia"/>
                <w:sz w:val="15"/>
                <w:szCs w:val="15"/>
              </w:rPr>
              <w:t>检验项目</w:t>
            </w:r>
          </w:p>
        </w:tc>
        <w:tc>
          <w:tcPr>
            <w:tcW w:w="2579" w:type="dxa"/>
            <w:vAlign w:val="center"/>
          </w:tcPr>
          <w:p w14:paraId="677B1EE3">
            <w:pPr>
              <w:adjustRightInd w:val="0"/>
              <w:snapToGrid w:val="0"/>
              <w:jc w:val="center"/>
              <w:rPr>
                <w:rFonts w:eastAsiaTheme="minorEastAsia"/>
                <w:sz w:val="15"/>
                <w:szCs w:val="15"/>
              </w:rPr>
            </w:pPr>
            <w:r>
              <w:rPr>
                <w:rFonts w:eastAsiaTheme="minorEastAsia"/>
                <w:sz w:val="15"/>
                <w:szCs w:val="15"/>
              </w:rPr>
              <w:t>允许偏差</w:t>
            </w:r>
          </w:p>
        </w:tc>
      </w:tr>
      <w:tr w14:paraId="12118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2671" w:type="dxa"/>
            <w:vMerge w:val="restart"/>
            <w:vAlign w:val="center"/>
          </w:tcPr>
          <w:p w14:paraId="4B3AE34C">
            <w:pPr>
              <w:adjustRightInd w:val="0"/>
              <w:snapToGrid w:val="0"/>
              <w:jc w:val="center"/>
              <w:rPr>
                <w:rFonts w:eastAsiaTheme="minorEastAsia"/>
                <w:sz w:val="15"/>
                <w:szCs w:val="15"/>
              </w:rPr>
            </w:pPr>
            <w:r>
              <w:rPr>
                <w:rFonts w:eastAsiaTheme="minorEastAsia"/>
                <w:sz w:val="15"/>
                <w:szCs w:val="15"/>
              </w:rPr>
              <w:t>相邻管节间错口</w:t>
            </w:r>
          </w:p>
        </w:tc>
        <w:tc>
          <w:tcPr>
            <w:tcW w:w="1982" w:type="dxa"/>
            <w:vAlign w:val="center"/>
          </w:tcPr>
          <w:p w14:paraId="04966538">
            <w:pPr>
              <w:adjustRightInd w:val="0"/>
              <w:snapToGrid w:val="0"/>
              <w:jc w:val="center"/>
              <w:rPr>
                <w:rFonts w:eastAsiaTheme="minorEastAsia"/>
                <w:sz w:val="15"/>
                <w:szCs w:val="15"/>
              </w:rPr>
            </w:pPr>
            <w:r>
              <w:rPr>
                <w:rFonts w:eastAsiaTheme="minorEastAsia"/>
                <w:sz w:val="15"/>
                <w:szCs w:val="15"/>
              </w:rPr>
              <w:t>上下错口</w:t>
            </w:r>
          </w:p>
        </w:tc>
        <w:tc>
          <w:tcPr>
            <w:tcW w:w="2579" w:type="dxa"/>
            <w:vAlign w:val="center"/>
          </w:tcPr>
          <w:p w14:paraId="36C2C56C">
            <w:pPr>
              <w:adjustRightInd w:val="0"/>
              <w:snapToGrid w:val="0"/>
              <w:jc w:val="center"/>
              <w:rPr>
                <w:rFonts w:eastAsiaTheme="minorEastAsia"/>
                <w:sz w:val="15"/>
                <w:szCs w:val="15"/>
              </w:rPr>
            </w:pPr>
            <w:r>
              <w:rPr>
                <w:rFonts w:eastAsiaTheme="minorEastAsia"/>
                <w:sz w:val="15"/>
                <w:szCs w:val="15"/>
              </w:rPr>
              <w:t>0.005H，且≤10</w:t>
            </w:r>
          </w:p>
        </w:tc>
      </w:tr>
      <w:tr w14:paraId="2C693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2671" w:type="dxa"/>
            <w:vMerge w:val="continue"/>
            <w:tcBorders>
              <w:bottom w:val="single" w:color="000000" w:sz="4" w:space="0"/>
            </w:tcBorders>
            <w:vAlign w:val="center"/>
          </w:tcPr>
          <w:p w14:paraId="50B42909">
            <w:pPr>
              <w:adjustRightInd w:val="0"/>
              <w:snapToGrid w:val="0"/>
              <w:jc w:val="center"/>
              <w:rPr>
                <w:rFonts w:eastAsiaTheme="minorEastAsia"/>
                <w:sz w:val="15"/>
                <w:szCs w:val="15"/>
              </w:rPr>
            </w:pPr>
          </w:p>
        </w:tc>
        <w:tc>
          <w:tcPr>
            <w:tcW w:w="1982" w:type="dxa"/>
            <w:tcBorders>
              <w:bottom w:val="single" w:color="000000" w:sz="4" w:space="0"/>
            </w:tcBorders>
            <w:vAlign w:val="center"/>
          </w:tcPr>
          <w:p w14:paraId="42A5A45C">
            <w:pPr>
              <w:adjustRightInd w:val="0"/>
              <w:snapToGrid w:val="0"/>
              <w:jc w:val="center"/>
              <w:rPr>
                <w:rFonts w:eastAsiaTheme="minorEastAsia"/>
                <w:sz w:val="15"/>
                <w:szCs w:val="15"/>
              </w:rPr>
            </w:pPr>
            <w:r>
              <w:rPr>
                <w:rFonts w:eastAsiaTheme="minorEastAsia"/>
                <w:sz w:val="15"/>
                <w:szCs w:val="15"/>
              </w:rPr>
              <w:t>左右错口</w:t>
            </w:r>
          </w:p>
        </w:tc>
        <w:tc>
          <w:tcPr>
            <w:tcW w:w="2579" w:type="dxa"/>
            <w:tcBorders>
              <w:bottom w:val="single" w:color="000000" w:sz="4" w:space="0"/>
            </w:tcBorders>
            <w:vAlign w:val="center"/>
          </w:tcPr>
          <w:p w14:paraId="475E16ED">
            <w:pPr>
              <w:adjustRightInd w:val="0"/>
              <w:snapToGrid w:val="0"/>
              <w:jc w:val="center"/>
              <w:rPr>
                <w:rFonts w:eastAsiaTheme="minorEastAsia"/>
                <w:sz w:val="15"/>
                <w:szCs w:val="15"/>
              </w:rPr>
            </w:pPr>
            <w:r>
              <w:rPr>
                <w:rFonts w:eastAsiaTheme="minorEastAsia"/>
                <w:sz w:val="15"/>
                <w:szCs w:val="15"/>
              </w:rPr>
              <w:t>0.005B，且≤20</w:t>
            </w:r>
          </w:p>
        </w:tc>
      </w:tr>
      <w:tr w14:paraId="7FB62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7234" w:type="dxa"/>
            <w:gridSpan w:val="3"/>
            <w:tcBorders>
              <w:left w:val="nil"/>
              <w:bottom w:val="nil"/>
              <w:right w:val="nil"/>
            </w:tcBorders>
            <w:vAlign w:val="center"/>
          </w:tcPr>
          <w:p w14:paraId="5FFD3B47">
            <w:pPr>
              <w:adjustRightInd w:val="0"/>
              <w:snapToGrid w:val="0"/>
              <w:jc w:val="left"/>
              <w:rPr>
                <w:sz w:val="15"/>
                <w:szCs w:val="15"/>
              </w:rPr>
            </w:pPr>
            <w:r>
              <w:rPr>
                <w:sz w:val="15"/>
                <w:szCs w:val="15"/>
              </w:rPr>
              <w:t>注：H—管节高度（mm），B—管节宽度（mm）。</w:t>
            </w:r>
          </w:p>
        </w:tc>
      </w:tr>
    </w:tbl>
    <w:p w14:paraId="37457FCE">
      <w:pPr>
        <w:snapToGrid w:val="0"/>
        <w:spacing w:line="288" w:lineRule="auto"/>
        <w:ind w:firstLine="300" w:firstLineChars="150"/>
        <w:rPr>
          <w:bCs/>
          <w:sz w:val="20"/>
          <w:szCs w:val="20"/>
        </w:rPr>
      </w:pPr>
    </w:p>
    <w:p w14:paraId="51DF0781">
      <w:pPr>
        <w:snapToGrid w:val="0"/>
        <w:spacing w:line="288" w:lineRule="auto"/>
        <w:ind w:firstLine="300" w:firstLineChars="150"/>
        <w:rPr>
          <w:bCs/>
          <w:sz w:val="20"/>
          <w:szCs w:val="20"/>
        </w:rPr>
      </w:pPr>
      <w:r>
        <w:rPr>
          <w:bCs/>
          <w:sz w:val="20"/>
          <w:szCs w:val="20"/>
        </w:rPr>
        <w:br w:type="page"/>
      </w:r>
    </w:p>
    <w:p w14:paraId="64EC756C">
      <w:pPr>
        <w:snapToGrid w:val="0"/>
        <w:spacing w:line="288" w:lineRule="auto"/>
        <w:jc w:val="center"/>
        <w:outlineLvl w:val="0"/>
        <w:rPr>
          <w:rFonts w:eastAsia="黑体"/>
          <w:bCs/>
          <w:kern w:val="44"/>
          <w:sz w:val="26"/>
          <w:szCs w:val="26"/>
        </w:rPr>
      </w:pPr>
      <w:bookmarkStart w:id="373" w:name="_Toc733581186"/>
      <w:bookmarkStart w:id="374" w:name="_Toc419293626"/>
      <w:bookmarkStart w:id="375" w:name="_Toc1798695637"/>
      <w:bookmarkStart w:id="376" w:name="_Toc559734075"/>
      <w:bookmarkStart w:id="377" w:name="_Toc1969773239"/>
      <w:bookmarkStart w:id="378" w:name="_Toc188798564"/>
      <w:bookmarkStart w:id="379" w:name="_Toc185236613"/>
      <w:bookmarkStart w:id="380" w:name="_Toc185235662"/>
      <w:bookmarkStart w:id="381" w:name="_Toc188612093"/>
      <w:r>
        <w:rPr>
          <w:rFonts w:eastAsia="黑体"/>
          <w:bCs/>
          <w:kern w:val="44"/>
          <w:sz w:val="26"/>
          <w:szCs w:val="26"/>
        </w:rPr>
        <w:t>附录</w:t>
      </w:r>
      <w:r>
        <w:rPr>
          <w:rFonts w:eastAsia="黑体"/>
          <w:b/>
          <w:bCs/>
          <w:kern w:val="44"/>
          <w:sz w:val="26"/>
          <w:szCs w:val="26"/>
        </w:rPr>
        <w:t>A</w:t>
      </w:r>
      <w:r>
        <w:rPr>
          <w:rFonts w:eastAsia="黑体"/>
          <w:bCs/>
          <w:kern w:val="44"/>
          <w:sz w:val="26"/>
          <w:szCs w:val="26"/>
        </w:rPr>
        <w:t xml:space="preserve">  </w:t>
      </w:r>
      <w:bookmarkEnd w:id="201"/>
      <w:bookmarkEnd w:id="202"/>
      <w:bookmarkEnd w:id="203"/>
      <w:bookmarkEnd w:id="204"/>
      <w:bookmarkEnd w:id="205"/>
      <w:bookmarkEnd w:id="206"/>
      <w:bookmarkEnd w:id="373"/>
      <w:bookmarkEnd w:id="374"/>
      <w:bookmarkEnd w:id="375"/>
      <w:bookmarkEnd w:id="376"/>
      <w:bookmarkEnd w:id="377"/>
      <w:r>
        <w:rPr>
          <w:rFonts w:hint="eastAsia" w:eastAsia="黑体"/>
          <w:bCs/>
          <w:kern w:val="44"/>
          <w:sz w:val="26"/>
          <w:szCs w:val="26"/>
        </w:rPr>
        <w:t>矩形顶管分部、分项工程和检验批划分表</w:t>
      </w:r>
      <w:bookmarkEnd w:id="378"/>
      <w:bookmarkEnd w:id="379"/>
      <w:bookmarkEnd w:id="380"/>
      <w:bookmarkEnd w:id="381"/>
    </w:p>
    <w:p w14:paraId="75A83AF5">
      <w:r>
        <w:rPr>
          <w:rFonts w:hint="eastAsia" w:ascii="Cambria Math" w:hAnsi="Cambria Math" w:cs="Cambria Math"/>
          <w:b/>
          <w:bCs/>
          <w:kern w:val="0"/>
          <w:lang w:bidi="ar"/>
        </w:rPr>
        <w:t xml:space="preserve">A.0.1  </w:t>
      </w:r>
      <w:r>
        <w:rPr>
          <w:rFonts w:hint="eastAsia" w:ascii="Cambria Math" w:hAnsi="Cambria Math" w:cs="Cambria Math"/>
          <w:kern w:val="0"/>
          <w:lang w:bidi="ar"/>
        </w:rPr>
        <w:t>车站主体结构采用矩形顶管施工时，分部、分项工程和检验批划分按表</w:t>
      </w:r>
      <w:r>
        <w:rPr>
          <w:rFonts w:hint="eastAsia" w:ascii="仿宋体" w:hAnsi="仿宋体" w:cs="仿宋体"/>
          <w:kern w:val="0"/>
          <w:lang w:bidi="ar"/>
        </w:rPr>
        <w:t>A</w:t>
      </w:r>
      <w:r>
        <w:rPr>
          <w:rFonts w:ascii="仿宋体" w:hAnsi="仿宋体" w:cs="仿宋体"/>
          <w:kern w:val="0"/>
          <w:lang w:bidi="ar"/>
        </w:rPr>
        <w:t>.0.1</w:t>
      </w:r>
      <w:r>
        <w:rPr>
          <w:rFonts w:hint="eastAsia" w:ascii="Cambria Math" w:hAnsi="Cambria Math" w:cs="Cambria Math"/>
          <w:kern w:val="0"/>
          <w:lang w:bidi="ar"/>
        </w:rPr>
        <w:t>。</w:t>
      </w:r>
    </w:p>
    <w:p w14:paraId="28AFEFAF">
      <w:pPr>
        <w:spacing w:line="360" w:lineRule="auto"/>
        <w:jc w:val="center"/>
        <w:rPr>
          <w:kern w:val="0"/>
          <w:sz w:val="20"/>
          <w:lang w:bidi="ar"/>
        </w:rPr>
      </w:pPr>
      <w:r>
        <w:rPr>
          <w:rFonts w:hint="eastAsia"/>
          <w:kern w:val="0"/>
          <w:sz w:val="20"/>
          <w:lang w:bidi="ar"/>
        </w:rPr>
        <w:t>表A.0.1  矩形顶管分部、分项工程和检验批划分表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147"/>
        <w:gridCol w:w="1023"/>
        <w:gridCol w:w="1591"/>
        <w:gridCol w:w="1591"/>
        <w:gridCol w:w="2369"/>
      </w:tblGrid>
      <w:tr w14:paraId="1A7B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2" w:type="dxa"/>
            <w:vAlign w:val="center"/>
          </w:tcPr>
          <w:p w14:paraId="5D017FD9">
            <w:pPr>
              <w:adjustRightInd w:val="0"/>
              <w:snapToGrid w:val="0"/>
              <w:jc w:val="center"/>
              <w:rPr>
                <w:sz w:val="15"/>
              </w:rPr>
            </w:pPr>
            <w:r>
              <w:rPr>
                <w:rFonts w:hint="eastAsia"/>
                <w:sz w:val="15"/>
              </w:rPr>
              <w:t>单位工程</w:t>
            </w:r>
          </w:p>
        </w:tc>
        <w:tc>
          <w:tcPr>
            <w:tcW w:w="1147" w:type="dxa"/>
            <w:vAlign w:val="center"/>
          </w:tcPr>
          <w:p w14:paraId="5D642430">
            <w:pPr>
              <w:adjustRightInd w:val="0"/>
              <w:snapToGrid w:val="0"/>
              <w:jc w:val="center"/>
              <w:rPr>
                <w:sz w:val="15"/>
              </w:rPr>
            </w:pPr>
            <w:r>
              <w:rPr>
                <w:rFonts w:hint="eastAsia"/>
                <w:sz w:val="15"/>
              </w:rPr>
              <w:t>子单位工程</w:t>
            </w:r>
          </w:p>
        </w:tc>
        <w:tc>
          <w:tcPr>
            <w:tcW w:w="1023" w:type="dxa"/>
            <w:vAlign w:val="center"/>
          </w:tcPr>
          <w:p w14:paraId="31464C72">
            <w:pPr>
              <w:adjustRightInd w:val="0"/>
              <w:snapToGrid w:val="0"/>
              <w:jc w:val="center"/>
              <w:rPr>
                <w:sz w:val="15"/>
              </w:rPr>
            </w:pPr>
            <w:r>
              <w:rPr>
                <w:rFonts w:hint="eastAsia"/>
                <w:sz w:val="15"/>
              </w:rPr>
              <w:t>分部工程</w:t>
            </w:r>
          </w:p>
        </w:tc>
        <w:tc>
          <w:tcPr>
            <w:tcW w:w="1591" w:type="dxa"/>
            <w:vAlign w:val="center"/>
          </w:tcPr>
          <w:p w14:paraId="0EB3EB51">
            <w:pPr>
              <w:adjustRightInd w:val="0"/>
              <w:snapToGrid w:val="0"/>
              <w:jc w:val="center"/>
              <w:rPr>
                <w:sz w:val="15"/>
              </w:rPr>
            </w:pPr>
            <w:r>
              <w:rPr>
                <w:rFonts w:hint="eastAsia"/>
                <w:sz w:val="15"/>
              </w:rPr>
              <w:t>子分部工程</w:t>
            </w:r>
          </w:p>
        </w:tc>
        <w:tc>
          <w:tcPr>
            <w:tcW w:w="1591" w:type="dxa"/>
            <w:vAlign w:val="center"/>
          </w:tcPr>
          <w:p w14:paraId="4542372F">
            <w:pPr>
              <w:adjustRightInd w:val="0"/>
              <w:snapToGrid w:val="0"/>
              <w:jc w:val="center"/>
              <w:rPr>
                <w:sz w:val="15"/>
              </w:rPr>
            </w:pPr>
            <w:r>
              <w:rPr>
                <w:rFonts w:hint="eastAsia"/>
                <w:sz w:val="15"/>
              </w:rPr>
              <w:t>分项工程</w:t>
            </w:r>
          </w:p>
        </w:tc>
        <w:tc>
          <w:tcPr>
            <w:tcW w:w="2369" w:type="dxa"/>
            <w:vAlign w:val="center"/>
          </w:tcPr>
          <w:p w14:paraId="3AA7A5B3">
            <w:pPr>
              <w:adjustRightInd w:val="0"/>
              <w:snapToGrid w:val="0"/>
              <w:jc w:val="center"/>
              <w:rPr>
                <w:sz w:val="15"/>
              </w:rPr>
            </w:pPr>
            <w:r>
              <w:rPr>
                <w:rFonts w:hint="eastAsia"/>
                <w:sz w:val="15"/>
              </w:rPr>
              <w:t>检验批</w:t>
            </w:r>
          </w:p>
        </w:tc>
      </w:tr>
      <w:tr w14:paraId="2824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02" w:type="dxa"/>
            <w:vMerge w:val="restart"/>
            <w:vAlign w:val="center"/>
          </w:tcPr>
          <w:p w14:paraId="1CADBCD4">
            <w:pPr>
              <w:adjustRightInd w:val="0"/>
              <w:snapToGrid w:val="0"/>
              <w:jc w:val="center"/>
              <w:rPr>
                <w:sz w:val="15"/>
              </w:rPr>
            </w:pPr>
            <w:r>
              <w:rPr>
                <w:rFonts w:hint="eastAsia"/>
                <w:sz w:val="15"/>
              </w:rPr>
              <w:t>车站工程</w:t>
            </w:r>
          </w:p>
        </w:tc>
        <w:tc>
          <w:tcPr>
            <w:tcW w:w="1147" w:type="dxa"/>
            <w:vMerge w:val="restart"/>
            <w:vAlign w:val="center"/>
          </w:tcPr>
          <w:p w14:paraId="6FE29DA2">
            <w:pPr>
              <w:adjustRightInd w:val="0"/>
              <w:snapToGrid w:val="0"/>
              <w:jc w:val="center"/>
              <w:rPr>
                <w:sz w:val="15"/>
              </w:rPr>
            </w:pPr>
            <w:r>
              <w:rPr>
                <w:rFonts w:hint="eastAsia"/>
                <w:sz w:val="15"/>
              </w:rPr>
              <w:t>顶管车站</w:t>
            </w:r>
          </w:p>
        </w:tc>
        <w:tc>
          <w:tcPr>
            <w:tcW w:w="1023" w:type="dxa"/>
            <w:vMerge w:val="restart"/>
            <w:vAlign w:val="center"/>
          </w:tcPr>
          <w:p w14:paraId="634F218B">
            <w:pPr>
              <w:adjustRightInd w:val="0"/>
              <w:snapToGrid w:val="0"/>
              <w:jc w:val="center"/>
              <w:rPr>
                <w:sz w:val="15"/>
              </w:rPr>
            </w:pPr>
            <w:r>
              <w:rPr>
                <w:rFonts w:hint="eastAsia"/>
                <w:sz w:val="15"/>
              </w:rPr>
              <w:t>工作井</w:t>
            </w:r>
          </w:p>
        </w:tc>
        <w:tc>
          <w:tcPr>
            <w:tcW w:w="1591" w:type="dxa"/>
            <w:vMerge w:val="restart"/>
            <w:vAlign w:val="center"/>
          </w:tcPr>
          <w:p w14:paraId="7DDD9FB7">
            <w:pPr>
              <w:adjustRightInd w:val="0"/>
              <w:snapToGrid w:val="0"/>
              <w:jc w:val="center"/>
              <w:rPr>
                <w:sz w:val="15"/>
              </w:rPr>
            </w:pPr>
            <w:r>
              <w:rPr>
                <w:rFonts w:hint="eastAsia"/>
                <w:sz w:val="15"/>
              </w:rPr>
              <w:t>基坑围护与开挖</w:t>
            </w:r>
          </w:p>
        </w:tc>
        <w:tc>
          <w:tcPr>
            <w:tcW w:w="1591" w:type="dxa"/>
            <w:vAlign w:val="center"/>
          </w:tcPr>
          <w:p w14:paraId="0A33093F">
            <w:pPr>
              <w:adjustRightInd w:val="0"/>
              <w:snapToGrid w:val="0"/>
              <w:jc w:val="center"/>
              <w:rPr>
                <w:sz w:val="15"/>
              </w:rPr>
            </w:pPr>
            <w:r>
              <w:rPr>
                <w:rFonts w:hint="eastAsia"/>
                <w:sz w:val="15"/>
              </w:rPr>
              <w:t>地下连续墙</w:t>
            </w:r>
          </w:p>
        </w:tc>
        <w:tc>
          <w:tcPr>
            <w:tcW w:w="2369" w:type="dxa"/>
            <w:vAlign w:val="center"/>
          </w:tcPr>
          <w:p w14:paraId="65C9981B">
            <w:pPr>
              <w:adjustRightInd w:val="0"/>
              <w:snapToGrid w:val="0"/>
              <w:jc w:val="center"/>
              <w:rPr>
                <w:sz w:val="15"/>
              </w:rPr>
            </w:pPr>
            <w:r>
              <w:rPr>
                <w:rFonts w:hint="eastAsia"/>
                <w:sz w:val="15"/>
              </w:rPr>
              <w:t>每一槽段</w:t>
            </w:r>
          </w:p>
        </w:tc>
      </w:tr>
      <w:tr w14:paraId="297A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02" w:type="dxa"/>
            <w:vMerge w:val="continue"/>
            <w:vAlign w:val="center"/>
          </w:tcPr>
          <w:p w14:paraId="40AEE674">
            <w:pPr>
              <w:adjustRightInd w:val="0"/>
              <w:snapToGrid w:val="0"/>
              <w:jc w:val="center"/>
              <w:rPr>
                <w:sz w:val="15"/>
              </w:rPr>
            </w:pPr>
          </w:p>
        </w:tc>
        <w:tc>
          <w:tcPr>
            <w:tcW w:w="1147" w:type="dxa"/>
            <w:vMerge w:val="continue"/>
            <w:vAlign w:val="center"/>
          </w:tcPr>
          <w:p w14:paraId="633E8A25">
            <w:pPr>
              <w:adjustRightInd w:val="0"/>
              <w:snapToGrid w:val="0"/>
              <w:jc w:val="center"/>
              <w:rPr>
                <w:sz w:val="15"/>
              </w:rPr>
            </w:pPr>
          </w:p>
        </w:tc>
        <w:tc>
          <w:tcPr>
            <w:tcW w:w="1023" w:type="dxa"/>
            <w:vMerge w:val="continue"/>
            <w:vAlign w:val="center"/>
          </w:tcPr>
          <w:p w14:paraId="371CC2C2">
            <w:pPr>
              <w:adjustRightInd w:val="0"/>
              <w:snapToGrid w:val="0"/>
              <w:jc w:val="center"/>
              <w:rPr>
                <w:sz w:val="15"/>
              </w:rPr>
            </w:pPr>
          </w:p>
        </w:tc>
        <w:tc>
          <w:tcPr>
            <w:tcW w:w="1591" w:type="dxa"/>
            <w:vMerge w:val="continue"/>
            <w:vAlign w:val="center"/>
          </w:tcPr>
          <w:p w14:paraId="4CB32106">
            <w:pPr>
              <w:adjustRightInd w:val="0"/>
              <w:snapToGrid w:val="0"/>
              <w:jc w:val="center"/>
              <w:rPr>
                <w:sz w:val="15"/>
              </w:rPr>
            </w:pPr>
          </w:p>
        </w:tc>
        <w:tc>
          <w:tcPr>
            <w:tcW w:w="1591" w:type="dxa"/>
            <w:vAlign w:val="center"/>
          </w:tcPr>
          <w:p w14:paraId="0DDD264F">
            <w:pPr>
              <w:adjustRightInd w:val="0"/>
              <w:snapToGrid w:val="0"/>
              <w:jc w:val="center"/>
              <w:rPr>
                <w:sz w:val="15"/>
              </w:rPr>
            </w:pPr>
            <w:r>
              <w:rPr>
                <w:rFonts w:hint="eastAsia"/>
                <w:sz w:val="15"/>
              </w:rPr>
              <w:t>钻孔灌注桩</w:t>
            </w:r>
          </w:p>
        </w:tc>
        <w:tc>
          <w:tcPr>
            <w:tcW w:w="2369" w:type="dxa"/>
            <w:vAlign w:val="center"/>
          </w:tcPr>
          <w:p w14:paraId="6B283EEB">
            <w:pPr>
              <w:adjustRightInd w:val="0"/>
              <w:snapToGrid w:val="0"/>
              <w:jc w:val="center"/>
              <w:rPr>
                <w:sz w:val="15"/>
              </w:rPr>
            </w:pPr>
            <w:r>
              <w:rPr>
                <w:rFonts w:hint="eastAsia"/>
                <w:sz w:val="15"/>
              </w:rPr>
              <w:t>每20根</w:t>
            </w:r>
          </w:p>
        </w:tc>
      </w:tr>
      <w:tr w14:paraId="102C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02" w:type="dxa"/>
            <w:vMerge w:val="continue"/>
            <w:vAlign w:val="center"/>
          </w:tcPr>
          <w:p w14:paraId="0B46876C">
            <w:pPr>
              <w:adjustRightInd w:val="0"/>
              <w:snapToGrid w:val="0"/>
              <w:jc w:val="center"/>
              <w:rPr>
                <w:sz w:val="15"/>
              </w:rPr>
            </w:pPr>
          </w:p>
        </w:tc>
        <w:tc>
          <w:tcPr>
            <w:tcW w:w="1147" w:type="dxa"/>
            <w:vMerge w:val="continue"/>
            <w:vAlign w:val="center"/>
          </w:tcPr>
          <w:p w14:paraId="4A3BCF4A">
            <w:pPr>
              <w:adjustRightInd w:val="0"/>
              <w:snapToGrid w:val="0"/>
              <w:jc w:val="center"/>
              <w:rPr>
                <w:sz w:val="15"/>
              </w:rPr>
            </w:pPr>
          </w:p>
        </w:tc>
        <w:tc>
          <w:tcPr>
            <w:tcW w:w="1023" w:type="dxa"/>
            <w:vMerge w:val="continue"/>
            <w:vAlign w:val="center"/>
          </w:tcPr>
          <w:p w14:paraId="3DDD2587">
            <w:pPr>
              <w:adjustRightInd w:val="0"/>
              <w:snapToGrid w:val="0"/>
              <w:jc w:val="center"/>
              <w:rPr>
                <w:sz w:val="15"/>
              </w:rPr>
            </w:pPr>
          </w:p>
        </w:tc>
        <w:tc>
          <w:tcPr>
            <w:tcW w:w="1591" w:type="dxa"/>
            <w:vMerge w:val="continue"/>
            <w:vAlign w:val="center"/>
          </w:tcPr>
          <w:p w14:paraId="326C4C5F">
            <w:pPr>
              <w:adjustRightInd w:val="0"/>
              <w:snapToGrid w:val="0"/>
              <w:jc w:val="center"/>
              <w:rPr>
                <w:sz w:val="15"/>
              </w:rPr>
            </w:pPr>
          </w:p>
        </w:tc>
        <w:tc>
          <w:tcPr>
            <w:tcW w:w="1591" w:type="dxa"/>
            <w:vAlign w:val="center"/>
          </w:tcPr>
          <w:p w14:paraId="5203E153">
            <w:pPr>
              <w:adjustRightInd w:val="0"/>
              <w:snapToGrid w:val="0"/>
              <w:jc w:val="center"/>
              <w:rPr>
                <w:sz w:val="15"/>
              </w:rPr>
            </w:pPr>
            <w:r>
              <w:rPr>
                <w:rFonts w:hint="eastAsia"/>
                <w:sz w:val="15"/>
              </w:rPr>
              <w:t>锁口圈梁</w:t>
            </w:r>
          </w:p>
        </w:tc>
        <w:tc>
          <w:tcPr>
            <w:tcW w:w="2369" w:type="dxa"/>
            <w:vAlign w:val="center"/>
          </w:tcPr>
          <w:p w14:paraId="2CD734EF">
            <w:pPr>
              <w:adjustRightInd w:val="0"/>
              <w:snapToGrid w:val="0"/>
              <w:jc w:val="center"/>
              <w:rPr>
                <w:sz w:val="15"/>
              </w:rPr>
            </w:pPr>
            <w:r>
              <w:rPr>
                <w:rFonts w:hint="eastAsia"/>
                <w:sz w:val="15"/>
              </w:rPr>
              <w:t>每一浇筑段</w:t>
            </w:r>
          </w:p>
        </w:tc>
      </w:tr>
      <w:tr w14:paraId="3409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02" w:type="dxa"/>
            <w:vMerge w:val="continue"/>
            <w:vAlign w:val="center"/>
          </w:tcPr>
          <w:p w14:paraId="000FC281">
            <w:pPr>
              <w:adjustRightInd w:val="0"/>
              <w:snapToGrid w:val="0"/>
              <w:jc w:val="center"/>
              <w:rPr>
                <w:sz w:val="15"/>
              </w:rPr>
            </w:pPr>
          </w:p>
        </w:tc>
        <w:tc>
          <w:tcPr>
            <w:tcW w:w="1147" w:type="dxa"/>
            <w:vMerge w:val="continue"/>
            <w:vAlign w:val="center"/>
          </w:tcPr>
          <w:p w14:paraId="194AD49D">
            <w:pPr>
              <w:adjustRightInd w:val="0"/>
              <w:snapToGrid w:val="0"/>
              <w:jc w:val="center"/>
              <w:rPr>
                <w:sz w:val="15"/>
              </w:rPr>
            </w:pPr>
          </w:p>
        </w:tc>
        <w:tc>
          <w:tcPr>
            <w:tcW w:w="1023" w:type="dxa"/>
            <w:vMerge w:val="continue"/>
            <w:vAlign w:val="center"/>
          </w:tcPr>
          <w:p w14:paraId="4556992E">
            <w:pPr>
              <w:adjustRightInd w:val="0"/>
              <w:snapToGrid w:val="0"/>
              <w:jc w:val="center"/>
              <w:rPr>
                <w:sz w:val="15"/>
              </w:rPr>
            </w:pPr>
          </w:p>
        </w:tc>
        <w:tc>
          <w:tcPr>
            <w:tcW w:w="1591" w:type="dxa"/>
            <w:vMerge w:val="continue"/>
            <w:vAlign w:val="center"/>
          </w:tcPr>
          <w:p w14:paraId="145599DE">
            <w:pPr>
              <w:adjustRightInd w:val="0"/>
              <w:snapToGrid w:val="0"/>
              <w:jc w:val="center"/>
              <w:rPr>
                <w:sz w:val="15"/>
              </w:rPr>
            </w:pPr>
          </w:p>
        </w:tc>
        <w:tc>
          <w:tcPr>
            <w:tcW w:w="1591" w:type="dxa"/>
            <w:vAlign w:val="center"/>
          </w:tcPr>
          <w:p w14:paraId="2D5CBEC8">
            <w:pPr>
              <w:adjustRightInd w:val="0"/>
              <w:snapToGrid w:val="0"/>
              <w:jc w:val="center"/>
              <w:rPr>
                <w:sz w:val="15"/>
              </w:rPr>
            </w:pPr>
            <w:r>
              <w:rPr>
                <w:rFonts w:hint="eastAsia"/>
                <w:sz w:val="15"/>
              </w:rPr>
              <w:t>钢格栅喷射混凝土</w:t>
            </w:r>
          </w:p>
        </w:tc>
        <w:tc>
          <w:tcPr>
            <w:tcW w:w="2369" w:type="dxa"/>
            <w:vAlign w:val="center"/>
          </w:tcPr>
          <w:p w14:paraId="65502294">
            <w:pPr>
              <w:adjustRightInd w:val="0"/>
              <w:snapToGrid w:val="0"/>
              <w:jc w:val="center"/>
              <w:rPr>
                <w:sz w:val="15"/>
              </w:rPr>
            </w:pPr>
            <w:r>
              <w:rPr>
                <w:rFonts w:hint="eastAsia"/>
                <w:sz w:val="15"/>
              </w:rPr>
              <w:t>每20根桩间</w:t>
            </w:r>
          </w:p>
        </w:tc>
      </w:tr>
      <w:tr w14:paraId="34BB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02" w:type="dxa"/>
            <w:vMerge w:val="continue"/>
            <w:vAlign w:val="center"/>
          </w:tcPr>
          <w:p w14:paraId="1C64427D">
            <w:pPr>
              <w:adjustRightInd w:val="0"/>
              <w:snapToGrid w:val="0"/>
              <w:jc w:val="center"/>
              <w:rPr>
                <w:sz w:val="15"/>
              </w:rPr>
            </w:pPr>
          </w:p>
        </w:tc>
        <w:tc>
          <w:tcPr>
            <w:tcW w:w="1147" w:type="dxa"/>
            <w:vMerge w:val="continue"/>
            <w:vAlign w:val="center"/>
          </w:tcPr>
          <w:p w14:paraId="7E24CC02">
            <w:pPr>
              <w:adjustRightInd w:val="0"/>
              <w:snapToGrid w:val="0"/>
              <w:jc w:val="center"/>
              <w:rPr>
                <w:sz w:val="15"/>
              </w:rPr>
            </w:pPr>
          </w:p>
        </w:tc>
        <w:tc>
          <w:tcPr>
            <w:tcW w:w="1023" w:type="dxa"/>
            <w:vMerge w:val="continue"/>
            <w:vAlign w:val="center"/>
          </w:tcPr>
          <w:p w14:paraId="182CB56F">
            <w:pPr>
              <w:adjustRightInd w:val="0"/>
              <w:snapToGrid w:val="0"/>
              <w:jc w:val="center"/>
              <w:rPr>
                <w:sz w:val="15"/>
              </w:rPr>
            </w:pPr>
          </w:p>
        </w:tc>
        <w:tc>
          <w:tcPr>
            <w:tcW w:w="1591" w:type="dxa"/>
            <w:vMerge w:val="continue"/>
            <w:vAlign w:val="center"/>
          </w:tcPr>
          <w:p w14:paraId="34E1172E">
            <w:pPr>
              <w:adjustRightInd w:val="0"/>
              <w:snapToGrid w:val="0"/>
              <w:jc w:val="center"/>
              <w:rPr>
                <w:sz w:val="15"/>
              </w:rPr>
            </w:pPr>
          </w:p>
        </w:tc>
        <w:tc>
          <w:tcPr>
            <w:tcW w:w="1591" w:type="dxa"/>
            <w:vAlign w:val="center"/>
          </w:tcPr>
          <w:p w14:paraId="58641ECC">
            <w:pPr>
              <w:adjustRightInd w:val="0"/>
              <w:snapToGrid w:val="0"/>
              <w:jc w:val="center"/>
              <w:rPr>
                <w:sz w:val="15"/>
              </w:rPr>
            </w:pPr>
            <w:r>
              <w:rPr>
                <w:rFonts w:hint="eastAsia"/>
                <w:sz w:val="15"/>
              </w:rPr>
              <w:t>支撑</w:t>
            </w:r>
          </w:p>
        </w:tc>
        <w:tc>
          <w:tcPr>
            <w:tcW w:w="2369" w:type="dxa"/>
            <w:vAlign w:val="center"/>
          </w:tcPr>
          <w:p w14:paraId="6048AD42">
            <w:pPr>
              <w:adjustRightInd w:val="0"/>
              <w:snapToGrid w:val="0"/>
              <w:jc w:val="center"/>
              <w:rPr>
                <w:sz w:val="15"/>
              </w:rPr>
            </w:pPr>
            <w:r>
              <w:rPr>
                <w:rFonts w:hint="eastAsia"/>
                <w:sz w:val="15"/>
              </w:rPr>
              <w:t>每10根</w:t>
            </w:r>
          </w:p>
        </w:tc>
      </w:tr>
      <w:tr w14:paraId="2748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02" w:type="dxa"/>
            <w:vMerge w:val="continue"/>
            <w:vAlign w:val="center"/>
          </w:tcPr>
          <w:p w14:paraId="7D4C700E">
            <w:pPr>
              <w:adjustRightInd w:val="0"/>
              <w:snapToGrid w:val="0"/>
              <w:jc w:val="center"/>
              <w:rPr>
                <w:sz w:val="15"/>
              </w:rPr>
            </w:pPr>
          </w:p>
        </w:tc>
        <w:tc>
          <w:tcPr>
            <w:tcW w:w="1147" w:type="dxa"/>
            <w:vMerge w:val="continue"/>
            <w:vAlign w:val="center"/>
          </w:tcPr>
          <w:p w14:paraId="1741DD50">
            <w:pPr>
              <w:adjustRightInd w:val="0"/>
              <w:snapToGrid w:val="0"/>
              <w:jc w:val="center"/>
              <w:rPr>
                <w:sz w:val="15"/>
              </w:rPr>
            </w:pPr>
          </w:p>
        </w:tc>
        <w:tc>
          <w:tcPr>
            <w:tcW w:w="1023" w:type="dxa"/>
            <w:vMerge w:val="continue"/>
            <w:vAlign w:val="center"/>
          </w:tcPr>
          <w:p w14:paraId="632C33EC">
            <w:pPr>
              <w:adjustRightInd w:val="0"/>
              <w:snapToGrid w:val="0"/>
              <w:jc w:val="center"/>
              <w:rPr>
                <w:sz w:val="15"/>
              </w:rPr>
            </w:pPr>
          </w:p>
        </w:tc>
        <w:tc>
          <w:tcPr>
            <w:tcW w:w="1591" w:type="dxa"/>
            <w:vMerge w:val="continue"/>
            <w:vAlign w:val="center"/>
          </w:tcPr>
          <w:p w14:paraId="2F500697">
            <w:pPr>
              <w:adjustRightInd w:val="0"/>
              <w:snapToGrid w:val="0"/>
              <w:jc w:val="center"/>
              <w:rPr>
                <w:sz w:val="15"/>
              </w:rPr>
            </w:pPr>
          </w:p>
        </w:tc>
        <w:tc>
          <w:tcPr>
            <w:tcW w:w="1591" w:type="dxa"/>
            <w:vAlign w:val="center"/>
          </w:tcPr>
          <w:p w14:paraId="709763AC">
            <w:pPr>
              <w:adjustRightInd w:val="0"/>
              <w:snapToGrid w:val="0"/>
              <w:jc w:val="center"/>
              <w:rPr>
                <w:sz w:val="15"/>
              </w:rPr>
            </w:pPr>
            <w:r>
              <w:rPr>
                <w:rFonts w:hint="eastAsia"/>
                <w:sz w:val="15"/>
              </w:rPr>
              <w:t>基坑放样测量</w:t>
            </w:r>
          </w:p>
        </w:tc>
        <w:tc>
          <w:tcPr>
            <w:tcW w:w="2369" w:type="dxa"/>
            <w:vAlign w:val="center"/>
          </w:tcPr>
          <w:p w14:paraId="3E8F7D87">
            <w:pPr>
              <w:adjustRightInd w:val="0"/>
              <w:snapToGrid w:val="0"/>
              <w:jc w:val="center"/>
              <w:rPr>
                <w:sz w:val="15"/>
              </w:rPr>
            </w:pPr>
            <w:r>
              <w:rPr>
                <w:rFonts w:hint="eastAsia"/>
                <w:sz w:val="15"/>
              </w:rPr>
              <w:t>每座井</w:t>
            </w:r>
          </w:p>
        </w:tc>
      </w:tr>
      <w:tr w14:paraId="109C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2" w:type="dxa"/>
            <w:vMerge w:val="continue"/>
            <w:vAlign w:val="center"/>
          </w:tcPr>
          <w:p w14:paraId="6F5EB014">
            <w:pPr>
              <w:adjustRightInd w:val="0"/>
              <w:snapToGrid w:val="0"/>
              <w:jc w:val="center"/>
              <w:rPr>
                <w:sz w:val="15"/>
              </w:rPr>
            </w:pPr>
          </w:p>
        </w:tc>
        <w:tc>
          <w:tcPr>
            <w:tcW w:w="1147" w:type="dxa"/>
            <w:vMerge w:val="continue"/>
            <w:vAlign w:val="center"/>
          </w:tcPr>
          <w:p w14:paraId="02F1B49C">
            <w:pPr>
              <w:adjustRightInd w:val="0"/>
              <w:snapToGrid w:val="0"/>
              <w:jc w:val="center"/>
              <w:rPr>
                <w:sz w:val="15"/>
              </w:rPr>
            </w:pPr>
          </w:p>
        </w:tc>
        <w:tc>
          <w:tcPr>
            <w:tcW w:w="1023" w:type="dxa"/>
            <w:vMerge w:val="continue"/>
            <w:vAlign w:val="center"/>
          </w:tcPr>
          <w:p w14:paraId="5F620566">
            <w:pPr>
              <w:adjustRightInd w:val="0"/>
              <w:snapToGrid w:val="0"/>
              <w:jc w:val="center"/>
              <w:rPr>
                <w:sz w:val="15"/>
              </w:rPr>
            </w:pPr>
          </w:p>
        </w:tc>
        <w:tc>
          <w:tcPr>
            <w:tcW w:w="1591" w:type="dxa"/>
            <w:vMerge w:val="continue"/>
            <w:vAlign w:val="center"/>
          </w:tcPr>
          <w:p w14:paraId="0B5524E4">
            <w:pPr>
              <w:adjustRightInd w:val="0"/>
              <w:snapToGrid w:val="0"/>
              <w:jc w:val="center"/>
              <w:rPr>
                <w:sz w:val="15"/>
              </w:rPr>
            </w:pPr>
          </w:p>
        </w:tc>
        <w:tc>
          <w:tcPr>
            <w:tcW w:w="1591" w:type="dxa"/>
            <w:vAlign w:val="center"/>
          </w:tcPr>
          <w:p w14:paraId="14FC5906">
            <w:pPr>
              <w:adjustRightInd w:val="0"/>
              <w:snapToGrid w:val="0"/>
              <w:jc w:val="center"/>
              <w:rPr>
                <w:sz w:val="15"/>
              </w:rPr>
            </w:pPr>
            <w:r>
              <w:rPr>
                <w:rFonts w:hint="eastAsia"/>
                <w:sz w:val="15"/>
              </w:rPr>
              <w:t>土方开挖</w:t>
            </w:r>
          </w:p>
        </w:tc>
        <w:tc>
          <w:tcPr>
            <w:tcW w:w="2369" w:type="dxa"/>
            <w:vAlign w:val="center"/>
          </w:tcPr>
          <w:p w14:paraId="324DABF2">
            <w:pPr>
              <w:adjustRightInd w:val="0"/>
              <w:snapToGrid w:val="0"/>
              <w:jc w:val="center"/>
              <w:rPr>
                <w:sz w:val="15"/>
              </w:rPr>
            </w:pPr>
            <w:r>
              <w:rPr>
                <w:rFonts w:hint="eastAsia"/>
                <w:sz w:val="15"/>
              </w:rPr>
              <w:t>每一施工段</w:t>
            </w:r>
          </w:p>
        </w:tc>
      </w:tr>
      <w:tr w14:paraId="25C8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2" w:type="dxa"/>
            <w:vMerge w:val="continue"/>
            <w:vAlign w:val="center"/>
          </w:tcPr>
          <w:p w14:paraId="1253FEAB">
            <w:pPr>
              <w:adjustRightInd w:val="0"/>
              <w:snapToGrid w:val="0"/>
              <w:jc w:val="center"/>
              <w:rPr>
                <w:sz w:val="15"/>
              </w:rPr>
            </w:pPr>
          </w:p>
        </w:tc>
        <w:tc>
          <w:tcPr>
            <w:tcW w:w="1147" w:type="dxa"/>
            <w:vMerge w:val="continue"/>
            <w:vAlign w:val="center"/>
          </w:tcPr>
          <w:p w14:paraId="697D0B9E">
            <w:pPr>
              <w:adjustRightInd w:val="0"/>
              <w:snapToGrid w:val="0"/>
              <w:jc w:val="center"/>
              <w:rPr>
                <w:sz w:val="15"/>
              </w:rPr>
            </w:pPr>
          </w:p>
        </w:tc>
        <w:tc>
          <w:tcPr>
            <w:tcW w:w="1023" w:type="dxa"/>
            <w:vMerge w:val="continue"/>
            <w:vAlign w:val="center"/>
          </w:tcPr>
          <w:p w14:paraId="028B68BF">
            <w:pPr>
              <w:adjustRightInd w:val="0"/>
              <w:snapToGrid w:val="0"/>
              <w:jc w:val="center"/>
              <w:rPr>
                <w:sz w:val="15"/>
              </w:rPr>
            </w:pPr>
          </w:p>
        </w:tc>
        <w:tc>
          <w:tcPr>
            <w:tcW w:w="1591" w:type="dxa"/>
            <w:vMerge w:val="continue"/>
            <w:vAlign w:val="center"/>
          </w:tcPr>
          <w:p w14:paraId="70FC3B27">
            <w:pPr>
              <w:adjustRightInd w:val="0"/>
              <w:snapToGrid w:val="0"/>
              <w:jc w:val="center"/>
              <w:rPr>
                <w:sz w:val="15"/>
              </w:rPr>
            </w:pPr>
          </w:p>
        </w:tc>
        <w:tc>
          <w:tcPr>
            <w:tcW w:w="1591" w:type="dxa"/>
            <w:vAlign w:val="center"/>
          </w:tcPr>
          <w:p w14:paraId="686D3BF9">
            <w:pPr>
              <w:adjustRightInd w:val="0"/>
              <w:snapToGrid w:val="0"/>
              <w:jc w:val="center"/>
              <w:rPr>
                <w:sz w:val="15"/>
              </w:rPr>
            </w:pPr>
            <w:r>
              <w:rPr>
                <w:rFonts w:hint="eastAsia"/>
                <w:sz w:val="15"/>
              </w:rPr>
              <w:t>土方回填</w:t>
            </w:r>
          </w:p>
        </w:tc>
        <w:tc>
          <w:tcPr>
            <w:tcW w:w="2369" w:type="dxa"/>
            <w:vAlign w:val="center"/>
          </w:tcPr>
          <w:p w14:paraId="31E78B20">
            <w:pPr>
              <w:adjustRightInd w:val="0"/>
              <w:snapToGrid w:val="0"/>
              <w:jc w:val="center"/>
              <w:rPr>
                <w:sz w:val="15"/>
              </w:rPr>
            </w:pPr>
            <w:r>
              <w:rPr>
                <w:rFonts w:hint="eastAsia"/>
                <w:sz w:val="15"/>
              </w:rPr>
              <w:t>每一回填段</w:t>
            </w:r>
          </w:p>
        </w:tc>
      </w:tr>
      <w:tr w14:paraId="50B2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2" w:type="dxa"/>
            <w:vMerge w:val="continue"/>
            <w:vAlign w:val="center"/>
          </w:tcPr>
          <w:p w14:paraId="557DBD4A">
            <w:pPr>
              <w:adjustRightInd w:val="0"/>
              <w:snapToGrid w:val="0"/>
              <w:jc w:val="center"/>
              <w:rPr>
                <w:sz w:val="15"/>
              </w:rPr>
            </w:pPr>
          </w:p>
        </w:tc>
        <w:tc>
          <w:tcPr>
            <w:tcW w:w="1147" w:type="dxa"/>
            <w:vMerge w:val="continue"/>
            <w:vAlign w:val="center"/>
          </w:tcPr>
          <w:p w14:paraId="573789A5">
            <w:pPr>
              <w:adjustRightInd w:val="0"/>
              <w:snapToGrid w:val="0"/>
              <w:jc w:val="center"/>
              <w:rPr>
                <w:sz w:val="15"/>
              </w:rPr>
            </w:pPr>
          </w:p>
        </w:tc>
        <w:tc>
          <w:tcPr>
            <w:tcW w:w="1023" w:type="dxa"/>
            <w:vMerge w:val="continue"/>
            <w:vAlign w:val="center"/>
          </w:tcPr>
          <w:p w14:paraId="5023F86B">
            <w:pPr>
              <w:adjustRightInd w:val="0"/>
              <w:snapToGrid w:val="0"/>
              <w:jc w:val="center"/>
              <w:rPr>
                <w:sz w:val="15"/>
              </w:rPr>
            </w:pPr>
          </w:p>
        </w:tc>
        <w:tc>
          <w:tcPr>
            <w:tcW w:w="1591" w:type="dxa"/>
            <w:vMerge w:val="restart"/>
            <w:vAlign w:val="center"/>
          </w:tcPr>
          <w:p w14:paraId="67809ACA">
            <w:pPr>
              <w:adjustRightInd w:val="0"/>
              <w:snapToGrid w:val="0"/>
              <w:jc w:val="center"/>
              <w:rPr>
                <w:sz w:val="15"/>
              </w:rPr>
            </w:pPr>
            <w:r>
              <w:rPr>
                <w:rFonts w:hint="eastAsia"/>
                <w:sz w:val="15"/>
              </w:rPr>
              <w:t>衬砌</w:t>
            </w:r>
          </w:p>
        </w:tc>
        <w:tc>
          <w:tcPr>
            <w:tcW w:w="1591" w:type="dxa"/>
            <w:vAlign w:val="center"/>
          </w:tcPr>
          <w:p w14:paraId="2883F471">
            <w:pPr>
              <w:adjustRightInd w:val="0"/>
              <w:snapToGrid w:val="0"/>
              <w:jc w:val="center"/>
              <w:rPr>
                <w:sz w:val="15"/>
              </w:rPr>
            </w:pPr>
            <w:r>
              <w:rPr>
                <w:rFonts w:hint="eastAsia"/>
                <w:sz w:val="15"/>
              </w:rPr>
              <w:t>模板及支架</w:t>
            </w:r>
          </w:p>
        </w:tc>
        <w:tc>
          <w:tcPr>
            <w:tcW w:w="2369" w:type="dxa"/>
            <w:vAlign w:val="center"/>
          </w:tcPr>
          <w:p w14:paraId="0B8B0B4B">
            <w:pPr>
              <w:adjustRightInd w:val="0"/>
              <w:snapToGrid w:val="0"/>
              <w:jc w:val="center"/>
              <w:rPr>
                <w:sz w:val="15"/>
              </w:rPr>
            </w:pPr>
            <w:r>
              <w:rPr>
                <w:rFonts w:hint="eastAsia"/>
                <w:sz w:val="15"/>
              </w:rPr>
              <w:t>每一施工段</w:t>
            </w:r>
          </w:p>
        </w:tc>
      </w:tr>
      <w:tr w14:paraId="0241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2" w:type="dxa"/>
            <w:vMerge w:val="continue"/>
            <w:vAlign w:val="center"/>
          </w:tcPr>
          <w:p w14:paraId="1ABE07F9">
            <w:pPr>
              <w:adjustRightInd w:val="0"/>
              <w:snapToGrid w:val="0"/>
              <w:jc w:val="center"/>
              <w:rPr>
                <w:sz w:val="15"/>
              </w:rPr>
            </w:pPr>
          </w:p>
        </w:tc>
        <w:tc>
          <w:tcPr>
            <w:tcW w:w="1147" w:type="dxa"/>
            <w:vMerge w:val="continue"/>
            <w:vAlign w:val="center"/>
          </w:tcPr>
          <w:p w14:paraId="2715BAE4">
            <w:pPr>
              <w:adjustRightInd w:val="0"/>
              <w:snapToGrid w:val="0"/>
              <w:jc w:val="center"/>
              <w:rPr>
                <w:sz w:val="15"/>
              </w:rPr>
            </w:pPr>
          </w:p>
        </w:tc>
        <w:tc>
          <w:tcPr>
            <w:tcW w:w="1023" w:type="dxa"/>
            <w:vMerge w:val="continue"/>
            <w:vAlign w:val="center"/>
          </w:tcPr>
          <w:p w14:paraId="24DC311C">
            <w:pPr>
              <w:adjustRightInd w:val="0"/>
              <w:snapToGrid w:val="0"/>
              <w:jc w:val="center"/>
              <w:rPr>
                <w:sz w:val="15"/>
              </w:rPr>
            </w:pPr>
          </w:p>
        </w:tc>
        <w:tc>
          <w:tcPr>
            <w:tcW w:w="1591" w:type="dxa"/>
            <w:vMerge w:val="continue"/>
            <w:vAlign w:val="center"/>
          </w:tcPr>
          <w:p w14:paraId="139ED31E">
            <w:pPr>
              <w:adjustRightInd w:val="0"/>
              <w:snapToGrid w:val="0"/>
              <w:jc w:val="center"/>
              <w:rPr>
                <w:sz w:val="15"/>
              </w:rPr>
            </w:pPr>
          </w:p>
        </w:tc>
        <w:tc>
          <w:tcPr>
            <w:tcW w:w="1591" w:type="dxa"/>
            <w:vAlign w:val="center"/>
          </w:tcPr>
          <w:p w14:paraId="2FF7B579">
            <w:pPr>
              <w:adjustRightInd w:val="0"/>
              <w:snapToGrid w:val="0"/>
              <w:jc w:val="center"/>
              <w:rPr>
                <w:sz w:val="15"/>
              </w:rPr>
            </w:pPr>
            <w:r>
              <w:rPr>
                <w:rFonts w:hint="eastAsia"/>
                <w:sz w:val="15"/>
              </w:rPr>
              <w:t>钢筋</w:t>
            </w:r>
          </w:p>
        </w:tc>
        <w:tc>
          <w:tcPr>
            <w:tcW w:w="2369" w:type="dxa"/>
            <w:vAlign w:val="center"/>
          </w:tcPr>
          <w:p w14:paraId="44565E5A">
            <w:pPr>
              <w:adjustRightInd w:val="0"/>
              <w:snapToGrid w:val="0"/>
              <w:jc w:val="center"/>
              <w:rPr>
                <w:sz w:val="15"/>
              </w:rPr>
            </w:pPr>
            <w:r>
              <w:rPr>
                <w:rFonts w:hint="eastAsia"/>
                <w:sz w:val="15"/>
              </w:rPr>
              <w:t>每一施工段</w:t>
            </w:r>
          </w:p>
        </w:tc>
      </w:tr>
      <w:tr w14:paraId="5C9E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2" w:type="dxa"/>
            <w:vMerge w:val="continue"/>
            <w:vAlign w:val="center"/>
          </w:tcPr>
          <w:p w14:paraId="7CEB7940">
            <w:pPr>
              <w:adjustRightInd w:val="0"/>
              <w:snapToGrid w:val="0"/>
              <w:jc w:val="center"/>
              <w:rPr>
                <w:sz w:val="15"/>
              </w:rPr>
            </w:pPr>
          </w:p>
        </w:tc>
        <w:tc>
          <w:tcPr>
            <w:tcW w:w="1147" w:type="dxa"/>
            <w:vMerge w:val="continue"/>
            <w:vAlign w:val="center"/>
          </w:tcPr>
          <w:p w14:paraId="107927F9">
            <w:pPr>
              <w:adjustRightInd w:val="0"/>
              <w:snapToGrid w:val="0"/>
              <w:jc w:val="center"/>
              <w:rPr>
                <w:sz w:val="15"/>
              </w:rPr>
            </w:pPr>
          </w:p>
        </w:tc>
        <w:tc>
          <w:tcPr>
            <w:tcW w:w="1023" w:type="dxa"/>
            <w:vMerge w:val="continue"/>
            <w:vAlign w:val="center"/>
          </w:tcPr>
          <w:p w14:paraId="48E2239A">
            <w:pPr>
              <w:adjustRightInd w:val="0"/>
              <w:snapToGrid w:val="0"/>
              <w:jc w:val="center"/>
              <w:rPr>
                <w:sz w:val="15"/>
              </w:rPr>
            </w:pPr>
          </w:p>
        </w:tc>
        <w:tc>
          <w:tcPr>
            <w:tcW w:w="1591" w:type="dxa"/>
            <w:vMerge w:val="continue"/>
            <w:vAlign w:val="center"/>
          </w:tcPr>
          <w:p w14:paraId="44D78DD4">
            <w:pPr>
              <w:adjustRightInd w:val="0"/>
              <w:snapToGrid w:val="0"/>
              <w:jc w:val="center"/>
              <w:rPr>
                <w:sz w:val="15"/>
              </w:rPr>
            </w:pPr>
          </w:p>
        </w:tc>
        <w:tc>
          <w:tcPr>
            <w:tcW w:w="1591" w:type="dxa"/>
            <w:vAlign w:val="center"/>
          </w:tcPr>
          <w:p w14:paraId="1FA5B9EC">
            <w:pPr>
              <w:adjustRightInd w:val="0"/>
              <w:snapToGrid w:val="0"/>
              <w:jc w:val="center"/>
              <w:rPr>
                <w:sz w:val="15"/>
              </w:rPr>
            </w:pPr>
            <w:r>
              <w:rPr>
                <w:rFonts w:hint="eastAsia"/>
                <w:sz w:val="15"/>
              </w:rPr>
              <w:t>混凝土</w:t>
            </w:r>
          </w:p>
        </w:tc>
        <w:tc>
          <w:tcPr>
            <w:tcW w:w="2369" w:type="dxa"/>
            <w:vAlign w:val="center"/>
          </w:tcPr>
          <w:p w14:paraId="4AAF7122">
            <w:pPr>
              <w:adjustRightInd w:val="0"/>
              <w:snapToGrid w:val="0"/>
              <w:jc w:val="center"/>
              <w:rPr>
                <w:sz w:val="15"/>
              </w:rPr>
            </w:pPr>
            <w:r>
              <w:rPr>
                <w:rFonts w:hint="eastAsia"/>
                <w:sz w:val="15"/>
              </w:rPr>
              <w:t>每一浇筑段</w:t>
            </w:r>
          </w:p>
        </w:tc>
      </w:tr>
      <w:tr w14:paraId="004C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2" w:type="dxa"/>
            <w:vMerge w:val="continue"/>
            <w:vAlign w:val="center"/>
          </w:tcPr>
          <w:p w14:paraId="395D9F29">
            <w:pPr>
              <w:adjustRightInd w:val="0"/>
              <w:snapToGrid w:val="0"/>
              <w:jc w:val="center"/>
              <w:rPr>
                <w:sz w:val="15"/>
              </w:rPr>
            </w:pPr>
          </w:p>
        </w:tc>
        <w:tc>
          <w:tcPr>
            <w:tcW w:w="1147" w:type="dxa"/>
            <w:vMerge w:val="continue"/>
            <w:vAlign w:val="center"/>
          </w:tcPr>
          <w:p w14:paraId="2530C56B">
            <w:pPr>
              <w:adjustRightInd w:val="0"/>
              <w:snapToGrid w:val="0"/>
              <w:jc w:val="center"/>
              <w:rPr>
                <w:sz w:val="15"/>
              </w:rPr>
            </w:pPr>
          </w:p>
        </w:tc>
        <w:tc>
          <w:tcPr>
            <w:tcW w:w="1023" w:type="dxa"/>
            <w:vMerge w:val="continue"/>
            <w:vAlign w:val="center"/>
          </w:tcPr>
          <w:p w14:paraId="11F3E5AE">
            <w:pPr>
              <w:adjustRightInd w:val="0"/>
              <w:snapToGrid w:val="0"/>
              <w:jc w:val="center"/>
              <w:rPr>
                <w:sz w:val="15"/>
              </w:rPr>
            </w:pPr>
          </w:p>
        </w:tc>
        <w:tc>
          <w:tcPr>
            <w:tcW w:w="1591" w:type="dxa"/>
            <w:vMerge w:val="continue"/>
            <w:vAlign w:val="center"/>
          </w:tcPr>
          <w:p w14:paraId="7980AE28">
            <w:pPr>
              <w:adjustRightInd w:val="0"/>
              <w:snapToGrid w:val="0"/>
              <w:jc w:val="center"/>
              <w:rPr>
                <w:sz w:val="15"/>
              </w:rPr>
            </w:pPr>
          </w:p>
        </w:tc>
        <w:tc>
          <w:tcPr>
            <w:tcW w:w="1591" w:type="dxa"/>
            <w:vAlign w:val="center"/>
          </w:tcPr>
          <w:p w14:paraId="044BAB11">
            <w:pPr>
              <w:adjustRightInd w:val="0"/>
              <w:snapToGrid w:val="0"/>
              <w:jc w:val="center"/>
              <w:rPr>
                <w:sz w:val="15"/>
              </w:rPr>
            </w:pPr>
            <w:r>
              <w:rPr>
                <w:rFonts w:hint="eastAsia"/>
                <w:sz w:val="15"/>
              </w:rPr>
              <w:t>装配式结构</w:t>
            </w:r>
          </w:p>
        </w:tc>
        <w:tc>
          <w:tcPr>
            <w:tcW w:w="2369" w:type="dxa"/>
            <w:vAlign w:val="center"/>
          </w:tcPr>
          <w:p w14:paraId="54900BB8">
            <w:pPr>
              <w:adjustRightInd w:val="0"/>
              <w:snapToGrid w:val="0"/>
              <w:jc w:val="center"/>
              <w:rPr>
                <w:sz w:val="15"/>
              </w:rPr>
            </w:pPr>
            <w:r>
              <w:rPr>
                <w:rFonts w:hint="eastAsia"/>
                <w:sz w:val="15"/>
              </w:rPr>
              <w:t>每一安装段</w:t>
            </w:r>
          </w:p>
        </w:tc>
      </w:tr>
      <w:tr w14:paraId="32E8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2" w:type="dxa"/>
            <w:vMerge w:val="continue"/>
            <w:vAlign w:val="center"/>
          </w:tcPr>
          <w:p w14:paraId="564ABF7B">
            <w:pPr>
              <w:adjustRightInd w:val="0"/>
              <w:snapToGrid w:val="0"/>
              <w:jc w:val="center"/>
              <w:rPr>
                <w:sz w:val="15"/>
              </w:rPr>
            </w:pPr>
          </w:p>
        </w:tc>
        <w:tc>
          <w:tcPr>
            <w:tcW w:w="1147" w:type="dxa"/>
            <w:vMerge w:val="continue"/>
            <w:vAlign w:val="center"/>
          </w:tcPr>
          <w:p w14:paraId="0A0AE67B">
            <w:pPr>
              <w:adjustRightInd w:val="0"/>
              <w:snapToGrid w:val="0"/>
              <w:jc w:val="center"/>
              <w:rPr>
                <w:sz w:val="15"/>
              </w:rPr>
            </w:pPr>
          </w:p>
        </w:tc>
        <w:tc>
          <w:tcPr>
            <w:tcW w:w="1023" w:type="dxa"/>
            <w:vMerge w:val="continue"/>
            <w:vAlign w:val="center"/>
          </w:tcPr>
          <w:p w14:paraId="36EC06C0">
            <w:pPr>
              <w:adjustRightInd w:val="0"/>
              <w:snapToGrid w:val="0"/>
              <w:jc w:val="center"/>
              <w:rPr>
                <w:sz w:val="15"/>
              </w:rPr>
            </w:pPr>
          </w:p>
        </w:tc>
        <w:tc>
          <w:tcPr>
            <w:tcW w:w="1591" w:type="dxa"/>
            <w:vMerge w:val="continue"/>
            <w:vAlign w:val="center"/>
          </w:tcPr>
          <w:p w14:paraId="63737B4A">
            <w:pPr>
              <w:adjustRightInd w:val="0"/>
              <w:snapToGrid w:val="0"/>
              <w:jc w:val="center"/>
              <w:rPr>
                <w:sz w:val="15"/>
              </w:rPr>
            </w:pPr>
          </w:p>
        </w:tc>
        <w:tc>
          <w:tcPr>
            <w:tcW w:w="1591" w:type="dxa"/>
            <w:vAlign w:val="center"/>
          </w:tcPr>
          <w:p w14:paraId="50FC2BC9">
            <w:pPr>
              <w:adjustRightInd w:val="0"/>
              <w:snapToGrid w:val="0"/>
              <w:jc w:val="center"/>
              <w:rPr>
                <w:sz w:val="15"/>
              </w:rPr>
            </w:pPr>
            <w:r>
              <w:rPr>
                <w:rFonts w:hint="eastAsia"/>
                <w:sz w:val="15"/>
              </w:rPr>
              <w:t>洞口地层加固</w:t>
            </w:r>
          </w:p>
        </w:tc>
        <w:tc>
          <w:tcPr>
            <w:tcW w:w="2369" w:type="dxa"/>
            <w:vAlign w:val="center"/>
          </w:tcPr>
          <w:p w14:paraId="6D208981">
            <w:pPr>
              <w:adjustRightInd w:val="0"/>
              <w:snapToGrid w:val="0"/>
              <w:jc w:val="center"/>
              <w:rPr>
                <w:sz w:val="15"/>
              </w:rPr>
            </w:pPr>
            <w:r>
              <w:rPr>
                <w:rFonts w:hint="eastAsia"/>
                <w:sz w:val="15"/>
              </w:rPr>
              <w:t>每一洞口</w:t>
            </w:r>
          </w:p>
        </w:tc>
      </w:tr>
      <w:tr w14:paraId="79EA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2" w:type="dxa"/>
            <w:vMerge w:val="continue"/>
            <w:vAlign w:val="center"/>
          </w:tcPr>
          <w:p w14:paraId="440AFC8D">
            <w:pPr>
              <w:adjustRightInd w:val="0"/>
              <w:snapToGrid w:val="0"/>
              <w:jc w:val="center"/>
              <w:rPr>
                <w:sz w:val="15"/>
              </w:rPr>
            </w:pPr>
          </w:p>
        </w:tc>
        <w:tc>
          <w:tcPr>
            <w:tcW w:w="1147" w:type="dxa"/>
            <w:vMerge w:val="continue"/>
            <w:vAlign w:val="center"/>
          </w:tcPr>
          <w:p w14:paraId="017E66B1">
            <w:pPr>
              <w:adjustRightInd w:val="0"/>
              <w:snapToGrid w:val="0"/>
              <w:jc w:val="center"/>
              <w:rPr>
                <w:sz w:val="15"/>
              </w:rPr>
            </w:pPr>
          </w:p>
        </w:tc>
        <w:tc>
          <w:tcPr>
            <w:tcW w:w="1023" w:type="dxa"/>
            <w:vMerge w:val="continue"/>
            <w:vAlign w:val="center"/>
          </w:tcPr>
          <w:p w14:paraId="1E6D3851">
            <w:pPr>
              <w:adjustRightInd w:val="0"/>
              <w:snapToGrid w:val="0"/>
              <w:jc w:val="center"/>
              <w:rPr>
                <w:sz w:val="15"/>
              </w:rPr>
            </w:pPr>
          </w:p>
        </w:tc>
        <w:tc>
          <w:tcPr>
            <w:tcW w:w="1591" w:type="dxa"/>
            <w:vMerge w:val="continue"/>
            <w:vAlign w:val="center"/>
          </w:tcPr>
          <w:p w14:paraId="64588BFE">
            <w:pPr>
              <w:adjustRightInd w:val="0"/>
              <w:snapToGrid w:val="0"/>
              <w:jc w:val="center"/>
              <w:rPr>
                <w:sz w:val="15"/>
              </w:rPr>
            </w:pPr>
          </w:p>
        </w:tc>
        <w:tc>
          <w:tcPr>
            <w:tcW w:w="1591" w:type="dxa"/>
            <w:vAlign w:val="center"/>
          </w:tcPr>
          <w:p w14:paraId="1AB3BAEB">
            <w:pPr>
              <w:adjustRightInd w:val="0"/>
              <w:snapToGrid w:val="0"/>
              <w:jc w:val="center"/>
              <w:rPr>
                <w:sz w:val="15"/>
              </w:rPr>
            </w:pPr>
            <w:r>
              <w:rPr>
                <w:rFonts w:hint="eastAsia"/>
                <w:sz w:val="15"/>
              </w:rPr>
              <w:t>洞口预埋钢环制作与安装</w:t>
            </w:r>
          </w:p>
        </w:tc>
        <w:tc>
          <w:tcPr>
            <w:tcW w:w="2369" w:type="dxa"/>
            <w:vAlign w:val="center"/>
          </w:tcPr>
          <w:p w14:paraId="1C3B1EB6">
            <w:pPr>
              <w:adjustRightInd w:val="0"/>
              <w:snapToGrid w:val="0"/>
              <w:jc w:val="center"/>
              <w:rPr>
                <w:sz w:val="15"/>
              </w:rPr>
            </w:pPr>
            <w:r>
              <w:rPr>
                <w:rFonts w:hint="eastAsia"/>
                <w:sz w:val="15"/>
              </w:rPr>
              <w:t>每一洞口</w:t>
            </w:r>
          </w:p>
        </w:tc>
      </w:tr>
      <w:tr w14:paraId="3CCE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2" w:type="dxa"/>
            <w:vMerge w:val="continue"/>
            <w:vAlign w:val="center"/>
          </w:tcPr>
          <w:p w14:paraId="2A8C5B98">
            <w:pPr>
              <w:adjustRightInd w:val="0"/>
              <w:snapToGrid w:val="0"/>
              <w:jc w:val="center"/>
              <w:rPr>
                <w:sz w:val="15"/>
              </w:rPr>
            </w:pPr>
          </w:p>
        </w:tc>
        <w:tc>
          <w:tcPr>
            <w:tcW w:w="1147" w:type="dxa"/>
            <w:vMerge w:val="continue"/>
            <w:vAlign w:val="center"/>
          </w:tcPr>
          <w:p w14:paraId="23B8FAF1">
            <w:pPr>
              <w:adjustRightInd w:val="0"/>
              <w:snapToGrid w:val="0"/>
              <w:jc w:val="center"/>
              <w:rPr>
                <w:sz w:val="15"/>
              </w:rPr>
            </w:pPr>
          </w:p>
        </w:tc>
        <w:tc>
          <w:tcPr>
            <w:tcW w:w="1023" w:type="dxa"/>
            <w:vMerge w:val="continue"/>
            <w:vAlign w:val="center"/>
          </w:tcPr>
          <w:p w14:paraId="40B804D3">
            <w:pPr>
              <w:adjustRightInd w:val="0"/>
              <w:snapToGrid w:val="0"/>
              <w:jc w:val="center"/>
              <w:rPr>
                <w:sz w:val="15"/>
              </w:rPr>
            </w:pPr>
          </w:p>
        </w:tc>
        <w:tc>
          <w:tcPr>
            <w:tcW w:w="1591" w:type="dxa"/>
            <w:vMerge w:val="restart"/>
            <w:vAlign w:val="center"/>
          </w:tcPr>
          <w:p w14:paraId="3244DF4C">
            <w:pPr>
              <w:adjustRightInd w:val="0"/>
              <w:snapToGrid w:val="0"/>
              <w:jc w:val="center"/>
              <w:rPr>
                <w:sz w:val="15"/>
              </w:rPr>
            </w:pPr>
            <w:r>
              <w:rPr>
                <w:rFonts w:hint="eastAsia"/>
                <w:sz w:val="15"/>
              </w:rPr>
              <w:t>后背</w:t>
            </w:r>
          </w:p>
        </w:tc>
        <w:tc>
          <w:tcPr>
            <w:tcW w:w="1591" w:type="dxa"/>
            <w:vAlign w:val="center"/>
          </w:tcPr>
          <w:p w14:paraId="31784D33">
            <w:pPr>
              <w:adjustRightInd w:val="0"/>
              <w:snapToGrid w:val="0"/>
              <w:jc w:val="center"/>
              <w:rPr>
                <w:sz w:val="15"/>
              </w:rPr>
            </w:pPr>
            <w:r>
              <w:rPr>
                <w:rFonts w:hint="eastAsia"/>
                <w:sz w:val="15"/>
              </w:rPr>
              <w:t>后背墙</w:t>
            </w:r>
          </w:p>
        </w:tc>
        <w:tc>
          <w:tcPr>
            <w:tcW w:w="2369" w:type="dxa"/>
            <w:vAlign w:val="center"/>
          </w:tcPr>
          <w:p w14:paraId="71E62648">
            <w:pPr>
              <w:adjustRightInd w:val="0"/>
              <w:snapToGrid w:val="0"/>
              <w:jc w:val="center"/>
              <w:rPr>
                <w:sz w:val="15"/>
              </w:rPr>
            </w:pPr>
            <w:r>
              <w:rPr>
                <w:rFonts w:hint="eastAsia"/>
                <w:sz w:val="15"/>
              </w:rPr>
              <w:t>每个后背墙</w:t>
            </w:r>
          </w:p>
        </w:tc>
      </w:tr>
      <w:tr w14:paraId="0445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2" w:type="dxa"/>
            <w:vMerge w:val="continue"/>
            <w:vAlign w:val="center"/>
          </w:tcPr>
          <w:p w14:paraId="2EA1C5EC">
            <w:pPr>
              <w:adjustRightInd w:val="0"/>
              <w:snapToGrid w:val="0"/>
              <w:jc w:val="center"/>
              <w:rPr>
                <w:sz w:val="15"/>
              </w:rPr>
            </w:pPr>
          </w:p>
        </w:tc>
        <w:tc>
          <w:tcPr>
            <w:tcW w:w="1147" w:type="dxa"/>
            <w:vMerge w:val="continue"/>
            <w:vAlign w:val="center"/>
          </w:tcPr>
          <w:p w14:paraId="7F613688">
            <w:pPr>
              <w:adjustRightInd w:val="0"/>
              <w:snapToGrid w:val="0"/>
              <w:jc w:val="center"/>
              <w:rPr>
                <w:sz w:val="15"/>
              </w:rPr>
            </w:pPr>
          </w:p>
        </w:tc>
        <w:tc>
          <w:tcPr>
            <w:tcW w:w="1023" w:type="dxa"/>
            <w:vMerge w:val="continue"/>
            <w:vAlign w:val="center"/>
          </w:tcPr>
          <w:p w14:paraId="6B2D3AA0">
            <w:pPr>
              <w:adjustRightInd w:val="0"/>
              <w:snapToGrid w:val="0"/>
              <w:jc w:val="center"/>
              <w:rPr>
                <w:sz w:val="15"/>
              </w:rPr>
            </w:pPr>
          </w:p>
        </w:tc>
        <w:tc>
          <w:tcPr>
            <w:tcW w:w="1591" w:type="dxa"/>
            <w:vMerge w:val="continue"/>
            <w:vAlign w:val="center"/>
          </w:tcPr>
          <w:p w14:paraId="2975957B">
            <w:pPr>
              <w:adjustRightInd w:val="0"/>
              <w:snapToGrid w:val="0"/>
              <w:jc w:val="center"/>
              <w:rPr>
                <w:sz w:val="15"/>
              </w:rPr>
            </w:pPr>
          </w:p>
        </w:tc>
        <w:tc>
          <w:tcPr>
            <w:tcW w:w="1591" w:type="dxa"/>
            <w:vAlign w:val="center"/>
          </w:tcPr>
          <w:p w14:paraId="20B66AF6">
            <w:pPr>
              <w:adjustRightInd w:val="0"/>
              <w:snapToGrid w:val="0"/>
              <w:jc w:val="center"/>
              <w:rPr>
                <w:sz w:val="15"/>
              </w:rPr>
            </w:pPr>
            <w:r>
              <w:rPr>
                <w:rFonts w:hint="eastAsia"/>
                <w:sz w:val="15"/>
              </w:rPr>
              <w:t>后背制作与安装</w:t>
            </w:r>
          </w:p>
        </w:tc>
        <w:tc>
          <w:tcPr>
            <w:tcW w:w="2369" w:type="dxa"/>
            <w:vAlign w:val="center"/>
          </w:tcPr>
          <w:p w14:paraId="74593042">
            <w:pPr>
              <w:adjustRightInd w:val="0"/>
              <w:snapToGrid w:val="0"/>
              <w:jc w:val="center"/>
              <w:rPr>
                <w:sz w:val="15"/>
              </w:rPr>
            </w:pPr>
            <w:r>
              <w:rPr>
                <w:rFonts w:hint="eastAsia"/>
                <w:sz w:val="15"/>
              </w:rPr>
              <w:t>每个后背</w:t>
            </w:r>
          </w:p>
        </w:tc>
      </w:tr>
      <w:tr w14:paraId="77B1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2" w:type="dxa"/>
            <w:vMerge w:val="continue"/>
            <w:vAlign w:val="center"/>
          </w:tcPr>
          <w:p w14:paraId="7B87EB31">
            <w:pPr>
              <w:adjustRightInd w:val="0"/>
              <w:snapToGrid w:val="0"/>
              <w:jc w:val="center"/>
              <w:rPr>
                <w:sz w:val="15"/>
              </w:rPr>
            </w:pPr>
          </w:p>
        </w:tc>
        <w:tc>
          <w:tcPr>
            <w:tcW w:w="1147" w:type="dxa"/>
            <w:vMerge w:val="continue"/>
            <w:vAlign w:val="center"/>
          </w:tcPr>
          <w:p w14:paraId="31915199">
            <w:pPr>
              <w:adjustRightInd w:val="0"/>
              <w:snapToGrid w:val="0"/>
              <w:jc w:val="center"/>
              <w:rPr>
                <w:sz w:val="15"/>
              </w:rPr>
            </w:pPr>
          </w:p>
        </w:tc>
        <w:tc>
          <w:tcPr>
            <w:tcW w:w="1023" w:type="dxa"/>
            <w:vMerge w:val="continue"/>
            <w:vAlign w:val="center"/>
          </w:tcPr>
          <w:p w14:paraId="61B1BBD6">
            <w:pPr>
              <w:adjustRightInd w:val="0"/>
              <w:snapToGrid w:val="0"/>
              <w:jc w:val="center"/>
              <w:rPr>
                <w:sz w:val="15"/>
              </w:rPr>
            </w:pPr>
          </w:p>
        </w:tc>
        <w:tc>
          <w:tcPr>
            <w:tcW w:w="1591" w:type="dxa"/>
            <w:vMerge w:val="restart"/>
            <w:vAlign w:val="center"/>
          </w:tcPr>
          <w:p w14:paraId="62C13BBF">
            <w:pPr>
              <w:adjustRightInd w:val="0"/>
              <w:snapToGrid w:val="0"/>
              <w:jc w:val="center"/>
              <w:rPr>
                <w:sz w:val="15"/>
              </w:rPr>
            </w:pPr>
            <w:r>
              <w:rPr>
                <w:rFonts w:hint="eastAsia"/>
                <w:sz w:val="15"/>
              </w:rPr>
              <w:t>地下水控制</w:t>
            </w:r>
          </w:p>
        </w:tc>
        <w:tc>
          <w:tcPr>
            <w:tcW w:w="1591" w:type="dxa"/>
            <w:vAlign w:val="center"/>
          </w:tcPr>
          <w:p w14:paraId="0D6A5CE5">
            <w:pPr>
              <w:adjustRightInd w:val="0"/>
              <w:snapToGrid w:val="0"/>
              <w:jc w:val="center"/>
              <w:rPr>
                <w:sz w:val="15"/>
              </w:rPr>
            </w:pPr>
            <w:r>
              <w:rPr>
                <w:rFonts w:hint="eastAsia"/>
                <w:sz w:val="15"/>
              </w:rPr>
              <w:t>降水</w:t>
            </w:r>
          </w:p>
        </w:tc>
        <w:tc>
          <w:tcPr>
            <w:tcW w:w="2369" w:type="dxa"/>
            <w:vAlign w:val="center"/>
          </w:tcPr>
          <w:p w14:paraId="6BBDFAC5">
            <w:pPr>
              <w:adjustRightInd w:val="0"/>
              <w:snapToGrid w:val="0"/>
              <w:jc w:val="center"/>
              <w:rPr>
                <w:sz w:val="15"/>
              </w:rPr>
            </w:pPr>
            <w:r>
              <w:rPr>
                <w:rFonts w:hint="eastAsia"/>
                <w:sz w:val="15"/>
              </w:rPr>
              <w:t>降水井每20眼~40眼</w:t>
            </w:r>
          </w:p>
        </w:tc>
      </w:tr>
      <w:tr w14:paraId="422A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2" w:type="dxa"/>
            <w:vMerge w:val="continue"/>
            <w:vAlign w:val="center"/>
          </w:tcPr>
          <w:p w14:paraId="2BBCE2DB">
            <w:pPr>
              <w:adjustRightInd w:val="0"/>
              <w:snapToGrid w:val="0"/>
              <w:jc w:val="center"/>
              <w:rPr>
                <w:sz w:val="15"/>
              </w:rPr>
            </w:pPr>
          </w:p>
        </w:tc>
        <w:tc>
          <w:tcPr>
            <w:tcW w:w="1147" w:type="dxa"/>
            <w:vMerge w:val="continue"/>
            <w:vAlign w:val="center"/>
          </w:tcPr>
          <w:p w14:paraId="3D521709">
            <w:pPr>
              <w:adjustRightInd w:val="0"/>
              <w:snapToGrid w:val="0"/>
              <w:jc w:val="center"/>
              <w:rPr>
                <w:sz w:val="15"/>
              </w:rPr>
            </w:pPr>
          </w:p>
        </w:tc>
        <w:tc>
          <w:tcPr>
            <w:tcW w:w="1023" w:type="dxa"/>
            <w:vMerge w:val="continue"/>
            <w:vAlign w:val="center"/>
          </w:tcPr>
          <w:p w14:paraId="0CB7B39C">
            <w:pPr>
              <w:adjustRightInd w:val="0"/>
              <w:snapToGrid w:val="0"/>
              <w:jc w:val="center"/>
              <w:rPr>
                <w:sz w:val="15"/>
              </w:rPr>
            </w:pPr>
          </w:p>
        </w:tc>
        <w:tc>
          <w:tcPr>
            <w:tcW w:w="1591" w:type="dxa"/>
            <w:vMerge w:val="continue"/>
            <w:vAlign w:val="center"/>
          </w:tcPr>
          <w:p w14:paraId="372B7D27">
            <w:pPr>
              <w:adjustRightInd w:val="0"/>
              <w:snapToGrid w:val="0"/>
              <w:jc w:val="center"/>
              <w:rPr>
                <w:sz w:val="15"/>
              </w:rPr>
            </w:pPr>
          </w:p>
        </w:tc>
        <w:tc>
          <w:tcPr>
            <w:tcW w:w="1591" w:type="dxa"/>
            <w:vAlign w:val="center"/>
          </w:tcPr>
          <w:p w14:paraId="28CBCF40">
            <w:pPr>
              <w:adjustRightInd w:val="0"/>
              <w:snapToGrid w:val="0"/>
              <w:jc w:val="center"/>
              <w:rPr>
                <w:sz w:val="15"/>
              </w:rPr>
            </w:pPr>
            <w:r>
              <w:rPr>
                <w:rFonts w:hint="eastAsia"/>
                <w:sz w:val="15"/>
              </w:rPr>
              <w:t>止水</w:t>
            </w:r>
          </w:p>
        </w:tc>
        <w:tc>
          <w:tcPr>
            <w:tcW w:w="2369" w:type="dxa"/>
            <w:vAlign w:val="center"/>
          </w:tcPr>
          <w:p w14:paraId="687B476F">
            <w:pPr>
              <w:adjustRightInd w:val="0"/>
              <w:snapToGrid w:val="0"/>
              <w:jc w:val="center"/>
              <w:rPr>
                <w:sz w:val="15"/>
              </w:rPr>
            </w:pPr>
            <w:r>
              <w:rPr>
                <w:rFonts w:hint="eastAsia"/>
                <w:sz w:val="15"/>
              </w:rPr>
              <w:t>地连墙帷幕每槽段</w:t>
            </w:r>
          </w:p>
          <w:p w14:paraId="60E480E5">
            <w:pPr>
              <w:adjustRightInd w:val="0"/>
              <w:snapToGrid w:val="0"/>
              <w:jc w:val="center"/>
              <w:rPr>
                <w:sz w:val="15"/>
              </w:rPr>
            </w:pPr>
            <w:r>
              <w:rPr>
                <w:rFonts w:hint="eastAsia"/>
                <w:sz w:val="15"/>
              </w:rPr>
              <w:t>注浆隔水每20延米</w:t>
            </w:r>
          </w:p>
        </w:tc>
      </w:tr>
      <w:tr w14:paraId="75D8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02" w:type="dxa"/>
            <w:vMerge w:val="continue"/>
          </w:tcPr>
          <w:p w14:paraId="675ECAE3">
            <w:pPr>
              <w:adjustRightInd w:val="0"/>
              <w:snapToGrid w:val="0"/>
              <w:jc w:val="center"/>
              <w:rPr>
                <w:sz w:val="15"/>
              </w:rPr>
            </w:pPr>
          </w:p>
        </w:tc>
        <w:tc>
          <w:tcPr>
            <w:tcW w:w="1147" w:type="dxa"/>
            <w:vMerge w:val="continue"/>
            <w:vAlign w:val="center"/>
          </w:tcPr>
          <w:p w14:paraId="5FF720FB">
            <w:pPr>
              <w:adjustRightInd w:val="0"/>
              <w:snapToGrid w:val="0"/>
              <w:jc w:val="center"/>
              <w:rPr>
                <w:sz w:val="15"/>
              </w:rPr>
            </w:pPr>
          </w:p>
        </w:tc>
        <w:tc>
          <w:tcPr>
            <w:tcW w:w="1023" w:type="dxa"/>
            <w:vMerge w:val="restart"/>
            <w:vAlign w:val="center"/>
          </w:tcPr>
          <w:p w14:paraId="554AFC51">
            <w:pPr>
              <w:adjustRightInd w:val="0"/>
              <w:snapToGrid w:val="0"/>
              <w:jc w:val="center"/>
              <w:rPr>
                <w:sz w:val="15"/>
              </w:rPr>
            </w:pPr>
            <w:r>
              <w:rPr>
                <w:rFonts w:hint="eastAsia"/>
                <w:sz w:val="15"/>
              </w:rPr>
              <w:t>顶进</w:t>
            </w:r>
          </w:p>
        </w:tc>
        <w:tc>
          <w:tcPr>
            <w:tcW w:w="1591" w:type="dxa"/>
            <w:vMerge w:val="restart"/>
            <w:vAlign w:val="center"/>
          </w:tcPr>
          <w:p w14:paraId="3FE6B2B8">
            <w:pPr>
              <w:adjustRightInd w:val="0"/>
              <w:snapToGrid w:val="0"/>
              <w:jc w:val="center"/>
              <w:rPr>
                <w:sz w:val="15"/>
              </w:rPr>
            </w:pPr>
            <w:r>
              <w:rPr>
                <w:rFonts w:hint="eastAsia"/>
                <w:sz w:val="15"/>
              </w:rPr>
              <w:t>/</w:t>
            </w:r>
          </w:p>
        </w:tc>
        <w:tc>
          <w:tcPr>
            <w:tcW w:w="1591" w:type="dxa"/>
            <w:vAlign w:val="center"/>
          </w:tcPr>
          <w:p w14:paraId="547597C8">
            <w:pPr>
              <w:adjustRightInd w:val="0"/>
              <w:snapToGrid w:val="0"/>
              <w:jc w:val="center"/>
              <w:rPr>
                <w:sz w:val="15"/>
              </w:rPr>
            </w:pPr>
            <w:r>
              <w:rPr>
                <w:rFonts w:hint="eastAsia"/>
                <w:sz w:val="15"/>
              </w:rPr>
              <w:t>管节进场</w:t>
            </w:r>
          </w:p>
        </w:tc>
        <w:tc>
          <w:tcPr>
            <w:tcW w:w="2369" w:type="dxa"/>
            <w:vAlign w:val="center"/>
          </w:tcPr>
          <w:p w14:paraId="11044BB5">
            <w:pPr>
              <w:adjustRightInd w:val="0"/>
              <w:snapToGrid w:val="0"/>
              <w:jc w:val="left"/>
              <w:rPr>
                <w:sz w:val="15"/>
              </w:rPr>
            </w:pPr>
            <w:r>
              <w:rPr>
                <w:rFonts w:hint="eastAsia"/>
                <w:sz w:val="15"/>
              </w:rPr>
              <w:t>单次进场数量或5管节</w:t>
            </w:r>
          </w:p>
        </w:tc>
      </w:tr>
      <w:tr w14:paraId="7146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02" w:type="dxa"/>
            <w:vMerge w:val="continue"/>
          </w:tcPr>
          <w:p w14:paraId="7A3B59FE">
            <w:pPr>
              <w:adjustRightInd w:val="0"/>
              <w:snapToGrid w:val="0"/>
              <w:jc w:val="center"/>
              <w:rPr>
                <w:sz w:val="15"/>
              </w:rPr>
            </w:pPr>
          </w:p>
        </w:tc>
        <w:tc>
          <w:tcPr>
            <w:tcW w:w="1147" w:type="dxa"/>
            <w:vMerge w:val="continue"/>
            <w:vAlign w:val="center"/>
          </w:tcPr>
          <w:p w14:paraId="45739164">
            <w:pPr>
              <w:adjustRightInd w:val="0"/>
              <w:snapToGrid w:val="0"/>
              <w:jc w:val="center"/>
              <w:rPr>
                <w:sz w:val="15"/>
              </w:rPr>
            </w:pPr>
          </w:p>
        </w:tc>
        <w:tc>
          <w:tcPr>
            <w:tcW w:w="1023" w:type="dxa"/>
            <w:vMerge w:val="continue"/>
            <w:vAlign w:val="center"/>
          </w:tcPr>
          <w:p w14:paraId="7B36BD61">
            <w:pPr>
              <w:adjustRightInd w:val="0"/>
              <w:snapToGrid w:val="0"/>
              <w:jc w:val="center"/>
              <w:rPr>
                <w:sz w:val="15"/>
              </w:rPr>
            </w:pPr>
          </w:p>
        </w:tc>
        <w:tc>
          <w:tcPr>
            <w:tcW w:w="1591" w:type="dxa"/>
            <w:vMerge w:val="continue"/>
            <w:vAlign w:val="center"/>
          </w:tcPr>
          <w:p w14:paraId="4683249A">
            <w:pPr>
              <w:adjustRightInd w:val="0"/>
              <w:snapToGrid w:val="0"/>
              <w:jc w:val="center"/>
              <w:rPr>
                <w:sz w:val="15"/>
              </w:rPr>
            </w:pPr>
          </w:p>
        </w:tc>
        <w:tc>
          <w:tcPr>
            <w:tcW w:w="1591" w:type="dxa"/>
            <w:vAlign w:val="center"/>
          </w:tcPr>
          <w:p w14:paraId="0EAB44D2">
            <w:pPr>
              <w:adjustRightInd w:val="0"/>
              <w:snapToGrid w:val="0"/>
              <w:jc w:val="center"/>
              <w:rPr>
                <w:sz w:val="15"/>
              </w:rPr>
            </w:pPr>
            <w:r>
              <w:rPr>
                <w:rFonts w:hint="eastAsia"/>
                <w:sz w:val="15"/>
              </w:rPr>
              <w:t>管节顶进</w:t>
            </w:r>
          </w:p>
        </w:tc>
        <w:tc>
          <w:tcPr>
            <w:tcW w:w="2369" w:type="dxa"/>
            <w:vAlign w:val="center"/>
          </w:tcPr>
          <w:p w14:paraId="3DF428C4">
            <w:pPr>
              <w:adjustRightInd w:val="0"/>
              <w:snapToGrid w:val="0"/>
              <w:jc w:val="center"/>
              <w:rPr>
                <w:sz w:val="15"/>
              </w:rPr>
            </w:pPr>
            <w:r>
              <w:rPr>
                <w:rFonts w:hint="eastAsia"/>
                <w:sz w:val="15"/>
              </w:rPr>
              <w:t>2管节</w:t>
            </w:r>
          </w:p>
        </w:tc>
      </w:tr>
      <w:tr w14:paraId="16DA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02" w:type="dxa"/>
            <w:vMerge w:val="continue"/>
          </w:tcPr>
          <w:p w14:paraId="59237C60">
            <w:pPr>
              <w:adjustRightInd w:val="0"/>
              <w:snapToGrid w:val="0"/>
              <w:jc w:val="center"/>
              <w:rPr>
                <w:sz w:val="15"/>
              </w:rPr>
            </w:pPr>
          </w:p>
        </w:tc>
        <w:tc>
          <w:tcPr>
            <w:tcW w:w="1147" w:type="dxa"/>
            <w:vMerge w:val="continue"/>
            <w:vAlign w:val="center"/>
          </w:tcPr>
          <w:p w14:paraId="575F7EAF">
            <w:pPr>
              <w:adjustRightInd w:val="0"/>
              <w:snapToGrid w:val="0"/>
              <w:jc w:val="center"/>
              <w:rPr>
                <w:sz w:val="15"/>
              </w:rPr>
            </w:pPr>
          </w:p>
        </w:tc>
        <w:tc>
          <w:tcPr>
            <w:tcW w:w="1023" w:type="dxa"/>
            <w:vMerge w:val="continue"/>
            <w:vAlign w:val="center"/>
          </w:tcPr>
          <w:p w14:paraId="45E493D7">
            <w:pPr>
              <w:adjustRightInd w:val="0"/>
              <w:snapToGrid w:val="0"/>
              <w:jc w:val="center"/>
              <w:rPr>
                <w:sz w:val="15"/>
              </w:rPr>
            </w:pPr>
          </w:p>
        </w:tc>
        <w:tc>
          <w:tcPr>
            <w:tcW w:w="1591" w:type="dxa"/>
            <w:vMerge w:val="continue"/>
            <w:vAlign w:val="center"/>
          </w:tcPr>
          <w:p w14:paraId="44D062EF">
            <w:pPr>
              <w:adjustRightInd w:val="0"/>
              <w:snapToGrid w:val="0"/>
              <w:jc w:val="center"/>
              <w:rPr>
                <w:sz w:val="15"/>
              </w:rPr>
            </w:pPr>
          </w:p>
        </w:tc>
        <w:tc>
          <w:tcPr>
            <w:tcW w:w="1591" w:type="dxa"/>
            <w:vAlign w:val="center"/>
          </w:tcPr>
          <w:p w14:paraId="03FEB9F2">
            <w:pPr>
              <w:adjustRightInd w:val="0"/>
              <w:snapToGrid w:val="0"/>
              <w:jc w:val="center"/>
              <w:rPr>
                <w:sz w:val="15"/>
              </w:rPr>
            </w:pPr>
            <w:r>
              <w:rPr>
                <w:rFonts w:hint="eastAsia"/>
                <w:sz w:val="15"/>
              </w:rPr>
              <w:t>置换注浆</w:t>
            </w:r>
          </w:p>
        </w:tc>
        <w:tc>
          <w:tcPr>
            <w:tcW w:w="2369" w:type="dxa"/>
            <w:vAlign w:val="center"/>
          </w:tcPr>
          <w:p w14:paraId="400A9D2B">
            <w:pPr>
              <w:adjustRightInd w:val="0"/>
              <w:snapToGrid w:val="0"/>
              <w:jc w:val="center"/>
              <w:rPr>
                <w:sz w:val="15"/>
              </w:rPr>
            </w:pPr>
            <w:r>
              <w:rPr>
                <w:rFonts w:hint="eastAsia"/>
                <w:sz w:val="15"/>
              </w:rPr>
              <w:t>2管节</w:t>
            </w:r>
          </w:p>
        </w:tc>
      </w:tr>
      <w:tr w14:paraId="351F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02" w:type="dxa"/>
            <w:vMerge w:val="continue"/>
          </w:tcPr>
          <w:p w14:paraId="7DAE2911">
            <w:pPr>
              <w:adjustRightInd w:val="0"/>
              <w:snapToGrid w:val="0"/>
              <w:jc w:val="center"/>
              <w:rPr>
                <w:sz w:val="15"/>
              </w:rPr>
            </w:pPr>
          </w:p>
        </w:tc>
        <w:tc>
          <w:tcPr>
            <w:tcW w:w="1147" w:type="dxa"/>
            <w:vMerge w:val="continue"/>
            <w:vAlign w:val="center"/>
          </w:tcPr>
          <w:p w14:paraId="083EE568">
            <w:pPr>
              <w:adjustRightInd w:val="0"/>
              <w:snapToGrid w:val="0"/>
              <w:jc w:val="center"/>
              <w:rPr>
                <w:sz w:val="15"/>
              </w:rPr>
            </w:pPr>
          </w:p>
        </w:tc>
        <w:tc>
          <w:tcPr>
            <w:tcW w:w="1023" w:type="dxa"/>
            <w:vMerge w:val="continue"/>
            <w:vAlign w:val="center"/>
          </w:tcPr>
          <w:p w14:paraId="36D05EBF">
            <w:pPr>
              <w:adjustRightInd w:val="0"/>
              <w:snapToGrid w:val="0"/>
              <w:jc w:val="center"/>
              <w:rPr>
                <w:sz w:val="15"/>
              </w:rPr>
            </w:pPr>
          </w:p>
        </w:tc>
        <w:tc>
          <w:tcPr>
            <w:tcW w:w="1591" w:type="dxa"/>
            <w:vMerge w:val="continue"/>
            <w:vAlign w:val="center"/>
          </w:tcPr>
          <w:p w14:paraId="33D875D3">
            <w:pPr>
              <w:adjustRightInd w:val="0"/>
              <w:snapToGrid w:val="0"/>
              <w:jc w:val="center"/>
              <w:rPr>
                <w:sz w:val="15"/>
              </w:rPr>
            </w:pPr>
          </w:p>
        </w:tc>
        <w:tc>
          <w:tcPr>
            <w:tcW w:w="1591" w:type="dxa"/>
            <w:vAlign w:val="center"/>
          </w:tcPr>
          <w:p w14:paraId="2E757856">
            <w:pPr>
              <w:adjustRightInd w:val="0"/>
              <w:snapToGrid w:val="0"/>
              <w:jc w:val="center"/>
              <w:rPr>
                <w:sz w:val="15"/>
              </w:rPr>
            </w:pPr>
            <w:r>
              <w:rPr>
                <w:rFonts w:hint="eastAsia"/>
                <w:sz w:val="15"/>
              </w:rPr>
              <w:t>成型结构</w:t>
            </w:r>
          </w:p>
        </w:tc>
        <w:tc>
          <w:tcPr>
            <w:tcW w:w="2369" w:type="dxa"/>
            <w:vAlign w:val="center"/>
          </w:tcPr>
          <w:p w14:paraId="2D0FF31D">
            <w:pPr>
              <w:adjustRightInd w:val="0"/>
              <w:snapToGrid w:val="0"/>
              <w:jc w:val="center"/>
              <w:rPr>
                <w:sz w:val="15"/>
              </w:rPr>
            </w:pPr>
            <w:r>
              <w:rPr>
                <w:rFonts w:hint="eastAsia"/>
                <w:sz w:val="15"/>
              </w:rPr>
              <w:t>5管节</w:t>
            </w:r>
          </w:p>
        </w:tc>
      </w:tr>
      <w:tr w14:paraId="1D6F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02" w:type="dxa"/>
            <w:vMerge w:val="continue"/>
          </w:tcPr>
          <w:p w14:paraId="6EC8F2BA">
            <w:pPr>
              <w:adjustRightInd w:val="0"/>
              <w:snapToGrid w:val="0"/>
              <w:jc w:val="center"/>
              <w:rPr>
                <w:sz w:val="15"/>
              </w:rPr>
            </w:pPr>
          </w:p>
        </w:tc>
        <w:tc>
          <w:tcPr>
            <w:tcW w:w="1147" w:type="dxa"/>
            <w:vMerge w:val="continue"/>
            <w:vAlign w:val="center"/>
          </w:tcPr>
          <w:p w14:paraId="2EED50FF">
            <w:pPr>
              <w:adjustRightInd w:val="0"/>
              <w:snapToGrid w:val="0"/>
              <w:jc w:val="center"/>
              <w:rPr>
                <w:sz w:val="15"/>
              </w:rPr>
            </w:pPr>
          </w:p>
        </w:tc>
        <w:tc>
          <w:tcPr>
            <w:tcW w:w="1023" w:type="dxa"/>
            <w:vMerge w:val="continue"/>
            <w:vAlign w:val="center"/>
          </w:tcPr>
          <w:p w14:paraId="3C221F7F">
            <w:pPr>
              <w:adjustRightInd w:val="0"/>
              <w:snapToGrid w:val="0"/>
              <w:jc w:val="center"/>
              <w:rPr>
                <w:sz w:val="15"/>
              </w:rPr>
            </w:pPr>
          </w:p>
        </w:tc>
        <w:tc>
          <w:tcPr>
            <w:tcW w:w="1591" w:type="dxa"/>
            <w:vMerge w:val="continue"/>
            <w:vAlign w:val="center"/>
          </w:tcPr>
          <w:p w14:paraId="37D11CC6">
            <w:pPr>
              <w:adjustRightInd w:val="0"/>
              <w:snapToGrid w:val="0"/>
              <w:jc w:val="center"/>
              <w:rPr>
                <w:sz w:val="15"/>
              </w:rPr>
            </w:pPr>
          </w:p>
        </w:tc>
        <w:tc>
          <w:tcPr>
            <w:tcW w:w="1591" w:type="dxa"/>
            <w:vAlign w:val="center"/>
          </w:tcPr>
          <w:p w14:paraId="45E1C879">
            <w:pPr>
              <w:adjustRightInd w:val="0"/>
              <w:snapToGrid w:val="0"/>
              <w:jc w:val="center"/>
              <w:rPr>
                <w:sz w:val="15"/>
              </w:rPr>
            </w:pPr>
            <w:r>
              <w:rPr>
                <w:rFonts w:hint="eastAsia"/>
                <w:sz w:val="15"/>
              </w:rPr>
              <w:t>加固注浆</w:t>
            </w:r>
          </w:p>
        </w:tc>
        <w:tc>
          <w:tcPr>
            <w:tcW w:w="2369" w:type="dxa"/>
            <w:vAlign w:val="center"/>
          </w:tcPr>
          <w:p w14:paraId="31AB3D5D">
            <w:pPr>
              <w:adjustRightInd w:val="0"/>
              <w:snapToGrid w:val="0"/>
              <w:jc w:val="center"/>
              <w:rPr>
                <w:sz w:val="15"/>
              </w:rPr>
            </w:pPr>
            <w:r>
              <w:rPr>
                <w:rFonts w:hint="eastAsia"/>
                <w:sz w:val="15"/>
              </w:rPr>
              <w:t>5管节</w:t>
            </w:r>
          </w:p>
        </w:tc>
      </w:tr>
      <w:tr w14:paraId="0A5F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2" w:type="dxa"/>
            <w:vMerge w:val="continue"/>
          </w:tcPr>
          <w:p w14:paraId="3B6ACCE8">
            <w:pPr>
              <w:adjustRightInd w:val="0"/>
              <w:snapToGrid w:val="0"/>
              <w:jc w:val="center"/>
              <w:rPr>
                <w:sz w:val="15"/>
              </w:rPr>
            </w:pPr>
          </w:p>
        </w:tc>
        <w:tc>
          <w:tcPr>
            <w:tcW w:w="1147" w:type="dxa"/>
            <w:vMerge w:val="continue"/>
            <w:vAlign w:val="center"/>
          </w:tcPr>
          <w:p w14:paraId="1648C35A">
            <w:pPr>
              <w:adjustRightInd w:val="0"/>
              <w:snapToGrid w:val="0"/>
              <w:jc w:val="center"/>
              <w:rPr>
                <w:sz w:val="15"/>
              </w:rPr>
            </w:pPr>
          </w:p>
        </w:tc>
        <w:tc>
          <w:tcPr>
            <w:tcW w:w="1023" w:type="dxa"/>
            <w:vMerge w:val="continue"/>
            <w:vAlign w:val="center"/>
          </w:tcPr>
          <w:p w14:paraId="36AE2ECF">
            <w:pPr>
              <w:adjustRightInd w:val="0"/>
              <w:snapToGrid w:val="0"/>
              <w:jc w:val="center"/>
              <w:rPr>
                <w:sz w:val="15"/>
              </w:rPr>
            </w:pPr>
          </w:p>
        </w:tc>
        <w:tc>
          <w:tcPr>
            <w:tcW w:w="1591" w:type="dxa"/>
            <w:vMerge w:val="continue"/>
            <w:vAlign w:val="center"/>
          </w:tcPr>
          <w:p w14:paraId="7020CA88">
            <w:pPr>
              <w:adjustRightInd w:val="0"/>
              <w:snapToGrid w:val="0"/>
              <w:jc w:val="center"/>
              <w:rPr>
                <w:sz w:val="15"/>
              </w:rPr>
            </w:pPr>
          </w:p>
        </w:tc>
        <w:tc>
          <w:tcPr>
            <w:tcW w:w="1591" w:type="dxa"/>
            <w:vAlign w:val="center"/>
          </w:tcPr>
          <w:p w14:paraId="5383C029">
            <w:pPr>
              <w:adjustRightInd w:val="0"/>
              <w:snapToGrid w:val="0"/>
              <w:jc w:val="center"/>
              <w:rPr>
                <w:sz w:val="15"/>
              </w:rPr>
            </w:pPr>
            <w:r>
              <w:rPr>
                <w:rFonts w:hint="eastAsia"/>
                <w:sz w:val="15"/>
              </w:rPr>
              <w:t>洞口环梁</w:t>
            </w:r>
          </w:p>
        </w:tc>
        <w:tc>
          <w:tcPr>
            <w:tcW w:w="2369" w:type="dxa"/>
            <w:vAlign w:val="center"/>
          </w:tcPr>
          <w:p w14:paraId="5D87C009">
            <w:pPr>
              <w:adjustRightInd w:val="0"/>
              <w:snapToGrid w:val="0"/>
              <w:jc w:val="center"/>
              <w:rPr>
                <w:sz w:val="15"/>
              </w:rPr>
            </w:pPr>
            <w:r>
              <w:rPr>
                <w:rFonts w:hint="eastAsia"/>
                <w:sz w:val="15"/>
              </w:rPr>
              <w:t>每个环梁</w:t>
            </w:r>
          </w:p>
        </w:tc>
      </w:tr>
      <w:tr w14:paraId="1FBE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2" w:type="dxa"/>
            <w:vMerge w:val="continue"/>
          </w:tcPr>
          <w:p w14:paraId="6B2858AA">
            <w:pPr>
              <w:adjustRightInd w:val="0"/>
              <w:snapToGrid w:val="0"/>
              <w:jc w:val="center"/>
              <w:rPr>
                <w:sz w:val="15"/>
              </w:rPr>
            </w:pPr>
          </w:p>
        </w:tc>
        <w:tc>
          <w:tcPr>
            <w:tcW w:w="1147" w:type="dxa"/>
            <w:vMerge w:val="continue"/>
            <w:vAlign w:val="center"/>
          </w:tcPr>
          <w:p w14:paraId="385EF59A">
            <w:pPr>
              <w:adjustRightInd w:val="0"/>
              <w:snapToGrid w:val="0"/>
              <w:jc w:val="center"/>
              <w:rPr>
                <w:sz w:val="15"/>
              </w:rPr>
            </w:pPr>
          </w:p>
        </w:tc>
        <w:tc>
          <w:tcPr>
            <w:tcW w:w="1023" w:type="dxa"/>
            <w:vMerge w:val="restart"/>
            <w:vAlign w:val="center"/>
          </w:tcPr>
          <w:p w14:paraId="4A49321A">
            <w:pPr>
              <w:adjustRightInd w:val="0"/>
              <w:snapToGrid w:val="0"/>
              <w:jc w:val="center"/>
              <w:rPr>
                <w:sz w:val="15"/>
              </w:rPr>
            </w:pPr>
            <w:r>
              <w:rPr>
                <w:rFonts w:hint="eastAsia"/>
                <w:sz w:val="15"/>
              </w:rPr>
              <w:t>防水</w:t>
            </w:r>
          </w:p>
        </w:tc>
        <w:tc>
          <w:tcPr>
            <w:tcW w:w="1591" w:type="dxa"/>
            <w:vAlign w:val="center"/>
          </w:tcPr>
          <w:p w14:paraId="61E704BB">
            <w:pPr>
              <w:adjustRightInd w:val="0"/>
              <w:snapToGrid w:val="0"/>
              <w:jc w:val="center"/>
              <w:rPr>
                <w:sz w:val="15"/>
              </w:rPr>
            </w:pPr>
            <w:r>
              <w:rPr>
                <w:rFonts w:hint="eastAsia"/>
                <w:sz w:val="15"/>
              </w:rPr>
              <w:t>/</w:t>
            </w:r>
          </w:p>
        </w:tc>
        <w:tc>
          <w:tcPr>
            <w:tcW w:w="1591" w:type="dxa"/>
            <w:vAlign w:val="center"/>
          </w:tcPr>
          <w:p w14:paraId="7414A887">
            <w:pPr>
              <w:adjustRightInd w:val="0"/>
              <w:snapToGrid w:val="0"/>
              <w:jc w:val="center"/>
              <w:rPr>
                <w:sz w:val="15"/>
              </w:rPr>
            </w:pPr>
            <w:r>
              <w:rPr>
                <w:rFonts w:hint="eastAsia"/>
                <w:sz w:val="15"/>
              </w:rPr>
              <w:t>工作井结构防水</w:t>
            </w:r>
          </w:p>
        </w:tc>
        <w:tc>
          <w:tcPr>
            <w:tcW w:w="2369" w:type="dxa"/>
            <w:vAlign w:val="center"/>
          </w:tcPr>
          <w:p w14:paraId="6848AD8D">
            <w:pPr>
              <w:adjustRightInd w:val="0"/>
              <w:snapToGrid w:val="0"/>
              <w:jc w:val="center"/>
              <w:rPr>
                <w:sz w:val="15"/>
              </w:rPr>
            </w:pPr>
            <w:r>
              <w:rPr>
                <w:rFonts w:hint="eastAsia"/>
                <w:sz w:val="15"/>
              </w:rPr>
              <w:t>每一施工段</w:t>
            </w:r>
          </w:p>
        </w:tc>
      </w:tr>
      <w:tr w14:paraId="69D2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2" w:type="dxa"/>
            <w:vMerge w:val="continue"/>
          </w:tcPr>
          <w:p w14:paraId="7E01CD04">
            <w:pPr>
              <w:adjustRightInd w:val="0"/>
              <w:snapToGrid w:val="0"/>
              <w:jc w:val="center"/>
              <w:rPr>
                <w:sz w:val="15"/>
              </w:rPr>
            </w:pPr>
          </w:p>
        </w:tc>
        <w:tc>
          <w:tcPr>
            <w:tcW w:w="1147" w:type="dxa"/>
            <w:vMerge w:val="continue"/>
            <w:vAlign w:val="center"/>
          </w:tcPr>
          <w:p w14:paraId="6045EE4D">
            <w:pPr>
              <w:adjustRightInd w:val="0"/>
              <w:snapToGrid w:val="0"/>
              <w:jc w:val="center"/>
              <w:rPr>
                <w:sz w:val="15"/>
              </w:rPr>
            </w:pPr>
          </w:p>
        </w:tc>
        <w:tc>
          <w:tcPr>
            <w:tcW w:w="1023" w:type="dxa"/>
            <w:vMerge w:val="continue"/>
            <w:vAlign w:val="center"/>
          </w:tcPr>
          <w:p w14:paraId="335A4FE1">
            <w:pPr>
              <w:adjustRightInd w:val="0"/>
              <w:snapToGrid w:val="0"/>
              <w:jc w:val="center"/>
              <w:rPr>
                <w:sz w:val="15"/>
              </w:rPr>
            </w:pPr>
          </w:p>
        </w:tc>
        <w:tc>
          <w:tcPr>
            <w:tcW w:w="1591" w:type="dxa"/>
            <w:vAlign w:val="center"/>
          </w:tcPr>
          <w:p w14:paraId="4B981C8C">
            <w:pPr>
              <w:adjustRightInd w:val="0"/>
              <w:snapToGrid w:val="0"/>
              <w:jc w:val="center"/>
              <w:rPr>
                <w:sz w:val="15"/>
              </w:rPr>
            </w:pPr>
            <w:r>
              <w:rPr>
                <w:rFonts w:hint="eastAsia"/>
                <w:sz w:val="15"/>
              </w:rPr>
              <w:t>/</w:t>
            </w:r>
          </w:p>
        </w:tc>
        <w:tc>
          <w:tcPr>
            <w:tcW w:w="1591" w:type="dxa"/>
            <w:vAlign w:val="center"/>
          </w:tcPr>
          <w:p w14:paraId="226986F8">
            <w:pPr>
              <w:adjustRightInd w:val="0"/>
              <w:snapToGrid w:val="0"/>
              <w:jc w:val="center"/>
              <w:rPr>
                <w:sz w:val="15"/>
              </w:rPr>
            </w:pPr>
            <w:r>
              <w:rPr>
                <w:rFonts w:hint="eastAsia"/>
                <w:sz w:val="15"/>
              </w:rPr>
              <w:t>管节自防水、管节接缝防水、螺栓孔防水</w:t>
            </w:r>
          </w:p>
        </w:tc>
        <w:tc>
          <w:tcPr>
            <w:tcW w:w="2369" w:type="dxa"/>
            <w:vAlign w:val="center"/>
          </w:tcPr>
          <w:p w14:paraId="5EEA0B98">
            <w:pPr>
              <w:adjustRightInd w:val="0"/>
              <w:snapToGrid w:val="0"/>
              <w:jc w:val="center"/>
              <w:rPr>
                <w:sz w:val="15"/>
              </w:rPr>
            </w:pPr>
            <w:r>
              <w:rPr>
                <w:rFonts w:hint="eastAsia"/>
                <w:sz w:val="15"/>
              </w:rPr>
              <w:t>2管节</w:t>
            </w:r>
          </w:p>
        </w:tc>
      </w:tr>
    </w:tbl>
    <w:p w14:paraId="5AF2D61E">
      <w:pPr>
        <w:spacing w:line="360" w:lineRule="auto"/>
      </w:pPr>
    </w:p>
    <w:p w14:paraId="6AF466DB">
      <w:pPr>
        <w:spacing w:line="360" w:lineRule="auto"/>
        <w:jc w:val="center"/>
        <w:rPr>
          <w:kern w:val="0"/>
          <w:sz w:val="20"/>
          <w:lang w:bidi="ar"/>
        </w:rPr>
      </w:pPr>
      <w:r>
        <w:br w:type="page"/>
      </w:r>
    </w:p>
    <w:p w14:paraId="3AA8BB23">
      <w:r>
        <w:rPr>
          <w:rFonts w:hint="eastAsia" w:ascii="Cambria Math" w:hAnsi="Cambria Math" w:cs="Cambria Math"/>
          <w:b/>
          <w:bCs/>
          <w:kern w:val="0"/>
          <w:lang w:bidi="ar"/>
        </w:rPr>
        <w:t xml:space="preserve">A.0.2  </w:t>
      </w:r>
      <w:r>
        <w:rPr>
          <w:rFonts w:hint="eastAsia" w:ascii="Cambria Math" w:hAnsi="Cambria Math" w:cs="Cambria Math"/>
          <w:kern w:val="0"/>
          <w:lang w:bidi="ar"/>
        </w:rPr>
        <w:t xml:space="preserve">车站附属结构采用矩形顶管施工时，分部、分项工程和检验批划分按表 </w:t>
      </w:r>
      <w:r>
        <w:rPr>
          <w:rFonts w:hint="eastAsia" w:ascii="仿宋体" w:hAnsi="仿宋体" w:cs="仿宋体"/>
          <w:kern w:val="0"/>
          <w:lang w:bidi="ar"/>
        </w:rPr>
        <w:t>A</w:t>
      </w:r>
      <w:r>
        <w:rPr>
          <w:rFonts w:ascii="仿宋体" w:hAnsi="仿宋体" w:cs="仿宋体"/>
          <w:kern w:val="0"/>
          <w:lang w:bidi="ar"/>
        </w:rPr>
        <w:t>.0.</w:t>
      </w:r>
      <w:r>
        <w:rPr>
          <w:rFonts w:hint="eastAsia" w:ascii="仿宋体" w:hAnsi="仿宋体" w:cs="仿宋体"/>
          <w:kern w:val="0"/>
          <w:lang w:bidi="ar"/>
        </w:rPr>
        <w:t>2</w:t>
      </w:r>
      <w:r>
        <w:rPr>
          <w:rFonts w:hint="eastAsia" w:ascii="Cambria Math" w:hAnsi="Cambria Math" w:cs="Cambria Math"/>
          <w:kern w:val="0"/>
          <w:lang w:bidi="ar"/>
        </w:rPr>
        <w:t>。</w:t>
      </w:r>
    </w:p>
    <w:p w14:paraId="2252A2C9">
      <w:pPr>
        <w:spacing w:line="360" w:lineRule="auto"/>
        <w:jc w:val="center"/>
        <w:rPr>
          <w:kern w:val="0"/>
          <w:sz w:val="20"/>
          <w:lang w:bidi="ar"/>
        </w:rPr>
      </w:pPr>
      <w:r>
        <w:rPr>
          <w:rFonts w:hint="eastAsia"/>
          <w:kern w:val="0"/>
          <w:sz w:val="20"/>
          <w:lang w:bidi="ar"/>
        </w:rPr>
        <w:t>表A.0.2  矩形顶管分部、分项工程和检验批划分表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018"/>
        <w:gridCol w:w="1118"/>
        <w:gridCol w:w="1732"/>
        <w:gridCol w:w="1737"/>
        <w:gridCol w:w="2213"/>
      </w:tblGrid>
      <w:tr w14:paraId="1E4D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93" w:type="dxa"/>
            <w:vAlign w:val="center"/>
          </w:tcPr>
          <w:p w14:paraId="7AFB8956">
            <w:pPr>
              <w:adjustRightInd w:val="0"/>
              <w:snapToGrid w:val="0"/>
              <w:jc w:val="center"/>
              <w:rPr>
                <w:sz w:val="15"/>
              </w:rPr>
            </w:pPr>
            <w:r>
              <w:rPr>
                <w:rFonts w:hint="eastAsia"/>
                <w:sz w:val="15"/>
              </w:rPr>
              <w:t>单位工程</w:t>
            </w:r>
          </w:p>
        </w:tc>
        <w:tc>
          <w:tcPr>
            <w:tcW w:w="1018" w:type="dxa"/>
            <w:vAlign w:val="center"/>
          </w:tcPr>
          <w:p w14:paraId="1C7CDE41">
            <w:pPr>
              <w:adjustRightInd w:val="0"/>
              <w:snapToGrid w:val="0"/>
              <w:jc w:val="center"/>
              <w:rPr>
                <w:sz w:val="15"/>
              </w:rPr>
            </w:pPr>
            <w:r>
              <w:rPr>
                <w:rFonts w:hint="eastAsia"/>
                <w:sz w:val="15"/>
              </w:rPr>
              <w:t>子单位工程</w:t>
            </w:r>
          </w:p>
        </w:tc>
        <w:tc>
          <w:tcPr>
            <w:tcW w:w="1118" w:type="dxa"/>
            <w:vAlign w:val="center"/>
          </w:tcPr>
          <w:p w14:paraId="322878DB">
            <w:pPr>
              <w:adjustRightInd w:val="0"/>
              <w:snapToGrid w:val="0"/>
              <w:jc w:val="center"/>
              <w:rPr>
                <w:sz w:val="15"/>
              </w:rPr>
            </w:pPr>
            <w:r>
              <w:rPr>
                <w:rFonts w:hint="eastAsia"/>
                <w:sz w:val="15"/>
              </w:rPr>
              <w:t>分部工程</w:t>
            </w:r>
          </w:p>
        </w:tc>
        <w:tc>
          <w:tcPr>
            <w:tcW w:w="1732" w:type="dxa"/>
            <w:vAlign w:val="center"/>
          </w:tcPr>
          <w:p w14:paraId="5EDBEDBB">
            <w:pPr>
              <w:adjustRightInd w:val="0"/>
              <w:snapToGrid w:val="0"/>
              <w:jc w:val="center"/>
              <w:rPr>
                <w:sz w:val="15"/>
              </w:rPr>
            </w:pPr>
            <w:r>
              <w:rPr>
                <w:rFonts w:hint="eastAsia"/>
                <w:sz w:val="15"/>
              </w:rPr>
              <w:t>子分部工程</w:t>
            </w:r>
          </w:p>
        </w:tc>
        <w:tc>
          <w:tcPr>
            <w:tcW w:w="1737" w:type="dxa"/>
            <w:vAlign w:val="center"/>
          </w:tcPr>
          <w:p w14:paraId="3E97C406">
            <w:pPr>
              <w:adjustRightInd w:val="0"/>
              <w:snapToGrid w:val="0"/>
              <w:jc w:val="center"/>
              <w:rPr>
                <w:sz w:val="15"/>
              </w:rPr>
            </w:pPr>
            <w:r>
              <w:rPr>
                <w:rFonts w:hint="eastAsia"/>
                <w:sz w:val="15"/>
              </w:rPr>
              <w:t>分项工程</w:t>
            </w:r>
          </w:p>
        </w:tc>
        <w:tc>
          <w:tcPr>
            <w:tcW w:w="2213" w:type="dxa"/>
            <w:vAlign w:val="center"/>
          </w:tcPr>
          <w:p w14:paraId="7A009987">
            <w:pPr>
              <w:adjustRightInd w:val="0"/>
              <w:snapToGrid w:val="0"/>
              <w:jc w:val="center"/>
              <w:rPr>
                <w:sz w:val="15"/>
              </w:rPr>
            </w:pPr>
            <w:r>
              <w:rPr>
                <w:rFonts w:hint="eastAsia"/>
                <w:sz w:val="15"/>
              </w:rPr>
              <w:t>检验批</w:t>
            </w:r>
          </w:p>
        </w:tc>
      </w:tr>
      <w:tr w14:paraId="3177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93" w:type="dxa"/>
            <w:vMerge w:val="restart"/>
            <w:vAlign w:val="center"/>
          </w:tcPr>
          <w:p w14:paraId="347FC3E2">
            <w:pPr>
              <w:adjustRightInd w:val="0"/>
              <w:snapToGrid w:val="0"/>
              <w:jc w:val="center"/>
              <w:rPr>
                <w:sz w:val="15"/>
              </w:rPr>
            </w:pPr>
            <w:r>
              <w:rPr>
                <w:rFonts w:hint="eastAsia"/>
                <w:sz w:val="15"/>
              </w:rPr>
              <w:t>车站工程</w:t>
            </w:r>
          </w:p>
        </w:tc>
        <w:tc>
          <w:tcPr>
            <w:tcW w:w="1018" w:type="dxa"/>
            <w:vMerge w:val="restart"/>
            <w:vAlign w:val="center"/>
          </w:tcPr>
          <w:p w14:paraId="54CBF504">
            <w:pPr>
              <w:adjustRightInd w:val="0"/>
              <w:snapToGrid w:val="0"/>
              <w:jc w:val="center"/>
              <w:rPr>
                <w:sz w:val="15"/>
              </w:rPr>
            </w:pPr>
            <w:r>
              <w:rPr>
                <w:rFonts w:hint="eastAsia"/>
                <w:sz w:val="15"/>
              </w:rPr>
              <w:t>附属土建工程</w:t>
            </w:r>
          </w:p>
        </w:tc>
        <w:tc>
          <w:tcPr>
            <w:tcW w:w="1118" w:type="dxa"/>
            <w:vMerge w:val="restart"/>
            <w:vAlign w:val="center"/>
          </w:tcPr>
          <w:p w14:paraId="6B9926AB">
            <w:pPr>
              <w:adjustRightInd w:val="0"/>
              <w:snapToGrid w:val="0"/>
              <w:jc w:val="center"/>
              <w:rPr>
                <w:sz w:val="15"/>
              </w:rPr>
            </w:pPr>
            <w:r>
              <w:rPr>
                <w:rFonts w:hint="eastAsia"/>
                <w:sz w:val="15"/>
              </w:rPr>
              <w:t>出入口及通道</w:t>
            </w:r>
          </w:p>
        </w:tc>
        <w:tc>
          <w:tcPr>
            <w:tcW w:w="1732" w:type="dxa"/>
            <w:vMerge w:val="restart"/>
            <w:vAlign w:val="center"/>
          </w:tcPr>
          <w:p w14:paraId="1F207142">
            <w:pPr>
              <w:adjustRightInd w:val="0"/>
              <w:snapToGrid w:val="0"/>
              <w:jc w:val="center"/>
              <w:rPr>
                <w:sz w:val="15"/>
              </w:rPr>
            </w:pPr>
            <w:r>
              <w:rPr>
                <w:rFonts w:hint="eastAsia"/>
                <w:sz w:val="15"/>
              </w:rPr>
              <w:t>基坑围护与开挖</w:t>
            </w:r>
          </w:p>
        </w:tc>
        <w:tc>
          <w:tcPr>
            <w:tcW w:w="1737" w:type="dxa"/>
            <w:vAlign w:val="center"/>
          </w:tcPr>
          <w:p w14:paraId="7DC00516">
            <w:pPr>
              <w:adjustRightInd w:val="0"/>
              <w:snapToGrid w:val="0"/>
              <w:jc w:val="center"/>
              <w:rPr>
                <w:sz w:val="15"/>
              </w:rPr>
            </w:pPr>
            <w:r>
              <w:rPr>
                <w:rFonts w:hint="eastAsia"/>
                <w:sz w:val="15"/>
              </w:rPr>
              <w:t>地下连续墙</w:t>
            </w:r>
          </w:p>
        </w:tc>
        <w:tc>
          <w:tcPr>
            <w:tcW w:w="2213" w:type="dxa"/>
            <w:vAlign w:val="center"/>
          </w:tcPr>
          <w:p w14:paraId="053F9749">
            <w:pPr>
              <w:adjustRightInd w:val="0"/>
              <w:snapToGrid w:val="0"/>
              <w:jc w:val="center"/>
              <w:rPr>
                <w:sz w:val="15"/>
              </w:rPr>
            </w:pPr>
            <w:r>
              <w:rPr>
                <w:rFonts w:hint="eastAsia"/>
                <w:sz w:val="15"/>
              </w:rPr>
              <w:t>每一槽段</w:t>
            </w:r>
          </w:p>
        </w:tc>
      </w:tr>
      <w:tr w14:paraId="6170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93" w:type="dxa"/>
            <w:vMerge w:val="continue"/>
            <w:vAlign w:val="center"/>
          </w:tcPr>
          <w:p w14:paraId="5A62D513">
            <w:pPr>
              <w:adjustRightInd w:val="0"/>
              <w:snapToGrid w:val="0"/>
              <w:jc w:val="center"/>
              <w:rPr>
                <w:sz w:val="15"/>
              </w:rPr>
            </w:pPr>
          </w:p>
        </w:tc>
        <w:tc>
          <w:tcPr>
            <w:tcW w:w="1018" w:type="dxa"/>
            <w:vMerge w:val="continue"/>
            <w:vAlign w:val="center"/>
          </w:tcPr>
          <w:p w14:paraId="4EE5753A">
            <w:pPr>
              <w:adjustRightInd w:val="0"/>
              <w:snapToGrid w:val="0"/>
              <w:jc w:val="center"/>
              <w:rPr>
                <w:sz w:val="15"/>
              </w:rPr>
            </w:pPr>
          </w:p>
        </w:tc>
        <w:tc>
          <w:tcPr>
            <w:tcW w:w="1118" w:type="dxa"/>
            <w:vMerge w:val="continue"/>
            <w:vAlign w:val="center"/>
          </w:tcPr>
          <w:p w14:paraId="4A3CA860">
            <w:pPr>
              <w:adjustRightInd w:val="0"/>
              <w:snapToGrid w:val="0"/>
              <w:jc w:val="center"/>
              <w:rPr>
                <w:sz w:val="15"/>
              </w:rPr>
            </w:pPr>
          </w:p>
        </w:tc>
        <w:tc>
          <w:tcPr>
            <w:tcW w:w="1732" w:type="dxa"/>
            <w:vMerge w:val="continue"/>
            <w:vAlign w:val="center"/>
          </w:tcPr>
          <w:p w14:paraId="5C8C99AB">
            <w:pPr>
              <w:adjustRightInd w:val="0"/>
              <w:snapToGrid w:val="0"/>
              <w:jc w:val="center"/>
              <w:rPr>
                <w:sz w:val="15"/>
              </w:rPr>
            </w:pPr>
          </w:p>
        </w:tc>
        <w:tc>
          <w:tcPr>
            <w:tcW w:w="1737" w:type="dxa"/>
            <w:vAlign w:val="center"/>
          </w:tcPr>
          <w:p w14:paraId="60249DBB">
            <w:pPr>
              <w:adjustRightInd w:val="0"/>
              <w:snapToGrid w:val="0"/>
              <w:jc w:val="center"/>
              <w:rPr>
                <w:sz w:val="15"/>
              </w:rPr>
            </w:pPr>
            <w:r>
              <w:rPr>
                <w:rFonts w:hint="eastAsia"/>
                <w:sz w:val="15"/>
              </w:rPr>
              <w:t>钻孔灌注桩</w:t>
            </w:r>
          </w:p>
        </w:tc>
        <w:tc>
          <w:tcPr>
            <w:tcW w:w="2213" w:type="dxa"/>
            <w:vAlign w:val="center"/>
          </w:tcPr>
          <w:p w14:paraId="16C8C1E2">
            <w:pPr>
              <w:adjustRightInd w:val="0"/>
              <w:snapToGrid w:val="0"/>
              <w:jc w:val="center"/>
              <w:rPr>
                <w:sz w:val="15"/>
              </w:rPr>
            </w:pPr>
            <w:r>
              <w:rPr>
                <w:rFonts w:hint="eastAsia"/>
                <w:sz w:val="15"/>
              </w:rPr>
              <w:t>每20根</w:t>
            </w:r>
          </w:p>
        </w:tc>
      </w:tr>
      <w:tr w14:paraId="2346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6C140273">
            <w:pPr>
              <w:adjustRightInd w:val="0"/>
              <w:snapToGrid w:val="0"/>
              <w:jc w:val="center"/>
              <w:rPr>
                <w:sz w:val="15"/>
              </w:rPr>
            </w:pPr>
          </w:p>
        </w:tc>
        <w:tc>
          <w:tcPr>
            <w:tcW w:w="1018" w:type="dxa"/>
            <w:vMerge w:val="continue"/>
            <w:vAlign w:val="center"/>
          </w:tcPr>
          <w:p w14:paraId="42ED525F">
            <w:pPr>
              <w:adjustRightInd w:val="0"/>
              <w:snapToGrid w:val="0"/>
              <w:jc w:val="center"/>
              <w:rPr>
                <w:sz w:val="15"/>
              </w:rPr>
            </w:pPr>
          </w:p>
        </w:tc>
        <w:tc>
          <w:tcPr>
            <w:tcW w:w="1118" w:type="dxa"/>
            <w:vMerge w:val="continue"/>
            <w:vAlign w:val="center"/>
          </w:tcPr>
          <w:p w14:paraId="1273057D">
            <w:pPr>
              <w:adjustRightInd w:val="0"/>
              <w:snapToGrid w:val="0"/>
              <w:jc w:val="center"/>
              <w:rPr>
                <w:sz w:val="15"/>
              </w:rPr>
            </w:pPr>
          </w:p>
        </w:tc>
        <w:tc>
          <w:tcPr>
            <w:tcW w:w="1732" w:type="dxa"/>
            <w:vMerge w:val="continue"/>
            <w:vAlign w:val="center"/>
          </w:tcPr>
          <w:p w14:paraId="06A548B8">
            <w:pPr>
              <w:adjustRightInd w:val="0"/>
              <w:snapToGrid w:val="0"/>
              <w:jc w:val="center"/>
              <w:rPr>
                <w:sz w:val="15"/>
              </w:rPr>
            </w:pPr>
          </w:p>
        </w:tc>
        <w:tc>
          <w:tcPr>
            <w:tcW w:w="1737" w:type="dxa"/>
            <w:vAlign w:val="center"/>
          </w:tcPr>
          <w:p w14:paraId="19358294">
            <w:pPr>
              <w:adjustRightInd w:val="0"/>
              <w:snapToGrid w:val="0"/>
              <w:jc w:val="center"/>
              <w:rPr>
                <w:sz w:val="15"/>
              </w:rPr>
            </w:pPr>
            <w:r>
              <w:rPr>
                <w:rFonts w:hint="eastAsia"/>
                <w:sz w:val="15"/>
              </w:rPr>
              <w:t>锁口圈梁</w:t>
            </w:r>
          </w:p>
        </w:tc>
        <w:tc>
          <w:tcPr>
            <w:tcW w:w="2213" w:type="dxa"/>
            <w:vAlign w:val="center"/>
          </w:tcPr>
          <w:p w14:paraId="17375349">
            <w:pPr>
              <w:adjustRightInd w:val="0"/>
              <w:snapToGrid w:val="0"/>
              <w:jc w:val="center"/>
              <w:rPr>
                <w:sz w:val="15"/>
              </w:rPr>
            </w:pPr>
            <w:r>
              <w:rPr>
                <w:rFonts w:hint="eastAsia"/>
                <w:sz w:val="15"/>
              </w:rPr>
              <w:t>每一浇筑段</w:t>
            </w:r>
          </w:p>
        </w:tc>
      </w:tr>
      <w:tr w14:paraId="19F3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074F6B9B">
            <w:pPr>
              <w:adjustRightInd w:val="0"/>
              <w:snapToGrid w:val="0"/>
              <w:jc w:val="center"/>
              <w:rPr>
                <w:sz w:val="15"/>
              </w:rPr>
            </w:pPr>
          </w:p>
        </w:tc>
        <w:tc>
          <w:tcPr>
            <w:tcW w:w="1018" w:type="dxa"/>
            <w:vMerge w:val="continue"/>
            <w:vAlign w:val="center"/>
          </w:tcPr>
          <w:p w14:paraId="6CCA8857">
            <w:pPr>
              <w:adjustRightInd w:val="0"/>
              <w:snapToGrid w:val="0"/>
              <w:jc w:val="center"/>
              <w:rPr>
                <w:sz w:val="15"/>
              </w:rPr>
            </w:pPr>
          </w:p>
        </w:tc>
        <w:tc>
          <w:tcPr>
            <w:tcW w:w="1118" w:type="dxa"/>
            <w:vMerge w:val="continue"/>
            <w:vAlign w:val="center"/>
          </w:tcPr>
          <w:p w14:paraId="2903CC98">
            <w:pPr>
              <w:adjustRightInd w:val="0"/>
              <w:snapToGrid w:val="0"/>
              <w:jc w:val="center"/>
              <w:rPr>
                <w:sz w:val="15"/>
              </w:rPr>
            </w:pPr>
          </w:p>
        </w:tc>
        <w:tc>
          <w:tcPr>
            <w:tcW w:w="1732" w:type="dxa"/>
            <w:vMerge w:val="continue"/>
            <w:vAlign w:val="center"/>
          </w:tcPr>
          <w:p w14:paraId="30086A01">
            <w:pPr>
              <w:adjustRightInd w:val="0"/>
              <w:snapToGrid w:val="0"/>
              <w:jc w:val="center"/>
              <w:rPr>
                <w:sz w:val="15"/>
              </w:rPr>
            </w:pPr>
          </w:p>
        </w:tc>
        <w:tc>
          <w:tcPr>
            <w:tcW w:w="1737" w:type="dxa"/>
            <w:vAlign w:val="center"/>
          </w:tcPr>
          <w:p w14:paraId="665CDDCA">
            <w:pPr>
              <w:adjustRightInd w:val="0"/>
              <w:snapToGrid w:val="0"/>
              <w:jc w:val="center"/>
              <w:rPr>
                <w:sz w:val="15"/>
              </w:rPr>
            </w:pPr>
            <w:r>
              <w:rPr>
                <w:rFonts w:hint="eastAsia"/>
                <w:sz w:val="15"/>
              </w:rPr>
              <w:t>钢格栅喷射混凝土</w:t>
            </w:r>
          </w:p>
        </w:tc>
        <w:tc>
          <w:tcPr>
            <w:tcW w:w="2213" w:type="dxa"/>
            <w:vAlign w:val="center"/>
          </w:tcPr>
          <w:p w14:paraId="2D1CA50C">
            <w:pPr>
              <w:adjustRightInd w:val="0"/>
              <w:snapToGrid w:val="0"/>
              <w:jc w:val="center"/>
              <w:rPr>
                <w:sz w:val="15"/>
              </w:rPr>
            </w:pPr>
            <w:r>
              <w:rPr>
                <w:rFonts w:hint="eastAsia"/>
                <w:sz w:val="15"/>
              </w:rPr>
              <w:t>每20根桩间</w:t>
            </w:r>
          </w:p>
        </w:tc>
      </w:tr>
      <w:tr w14:paraId="4FCF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20ADB51A">
            <w:pPr>
              <w:adjustRightInd w:val="0"/>
              <w:snapToGrid w:val="0"/>
              <w:jc w:val="center"/>
              <w:rPr>
                <w:sz w:val="15"/>
              </w:rPr>
            </w:pPr>
          </w:p>
        </w:tc>
        <w:tc>
          <w:tcPr>
            <w:tcW w:w="1018" w:type="dxa"/>
            <w:vMerge w:val="continue"/>
            <w:vAlign w:val="center"/>
          </w:tcPr>
          <w:p w14:paraId="05697F0A">
            <w:pPr>
              <w:adjustRightInd w:val="0"/>
              <w:snapToGrid w:val="0"/>
              <w:jc w:val="center"/>
              <w:rPr>
                <w:sz w:val="15"/>
              </w:rPr>
            </w:pPr>
          </w:p>
        </w:tc>
        <w:tc>
          <w:tcPr>
            <w:tcW w:w="1118" w:type="dxa"/>
            <w:vMerge w:val="continue"/>
            <w:vAlign w:val="center"/>
          </w:tcPr>
          <w:p w14:paraId="0F78E1B2">
            <w:pPr>
              <w:adjustRightInd w:val="0"/>
              <w:snapToGrid w:val="0"/>
              <w:jc w:val="center"/>
              <w:rPr>
                <w:sz w:val="15"/>
              </w:rPr>
            </w:pPr>
          </w:p>
        </w:tc>
        <w:tc>
          <w:tcPr>
            <w:tcW w:w="1732" w:type="dxa"/>
            <w:vMerge w:val="continue"/>
            <w:vAlign w:val="center"/>
          </w:tcPr>
          <w:p w14:paraId="38C1EA1E">
            <w:pPr>
              <w:adjustRightInd w:val="0"/>
              <w:snapToGrid w:val="0"/>
              <w:jc w:val="center"/>
              <w:rPr>
                <w:sz w:val="15"/>
              </w:rPr>
            </w:pPr>
          </w:p>
        </w:tc>
        <w:tc>
          <w:tcPr>
            <w:tcW w:w="1737" w:type="dxa"/>
            <w:vAlign w:val="center"/>
          </w:tcPr>
          <w:p w14:paraId="52999D24">
            <w:pPr>
              <w:adjustRightInd w:val="0"/>
              <w:snapToGrid w:val="0"/>
              <w:jc w:val="center"/>
              <w:rPr>
                <w:sz w:val="15"/>
              </w:rPr>
            </w:pPr>
            <w:r>
              <w:rPr>
                <w:rFonts w:hint="eastAsia"/>
                <w:sz w:val="15"/>
              </w:rPr>
              <w:t>支撑</w:t>
            </w:r>
          </w:p>
        </w:tc>
        <w:tc>
          <w:tcPr>
            <w:tcW w:w="2213" w:type="dxa"/>
            <w:vAlign w:val="center"/>
          </w:tcPr>
          <w:p w14:paraId="2C9D4AE2">
            <w:pPr>
              <w:adjustRightInd w:val="0"/>
              <w:snapToGrid w:val="0"/>
              <w:jc w:val="center"/>
              <w:rPr>
                <w:sz w:val="15"/>
              </w:rPr>
            </w:pPr>
            <w:r>
              <w:rPr>
                <w:rFonts w:hint="eastAsia"/>
                <w:sz w:val="15"/>
              </w:rPr>
              <w:t>每10根</w:t>
            </w:r>
          </w:p>
        </w:tc>
      </w:tr>
      <w:tr w14:paraId="1F77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7AF697D6">
            <w:pPr>
              <w:adjustRightInd w:val="0"/>
              <w:snapToGrid w:val="0"/>
              <w:jc w:val="center"/>
              <w:rPr>
                <w:sz w:val="15"/>
              </w:rPr>
            </w:pPr>
          </w:p>
        </w:tc>
        <w:tc>
          <w:tcPr>
            <w:tcW w:w="1018" w:type="dxa"/>
            <w:vMerge w:val="continue"/>
            <w:vAlign w:val="center"/>
          </w:tcPr>
          <w:p w14:paraId="5770A158">
            <w:pPr>
              <w:adjustRightInd w:val="0"/>
              <w:snapToGrid w:val="0"/>
              <w:jc w:val="center"/>
              <w:rPr>
                <w:sz w:val="15"/>
              </w:rPr>
            </w:pPr>
          </w:p>
        </w:tc>
        <w:tc>
          <w:tcPr>
            <w:tcW w:w="1118" w:type="dxa"/>
            <w:vMerge w:val="continue"/>
            <w:vAlign w:val="center"/>
          </w:tcPr>
          <w:p w14:paraId="77B89B3F">
            <w:pPr>
              <w:adjustRightInd w:val="0"/>
              <w:snapToGrid w:val="0"/>
              <w:jc w:val="center"/>
              <w:rPr>
                <w:sz w:val="15"/>
              </w:rPr>
            </w:pPr>
          </w:p>
        </w:tc>
        <w:tc>
          <w:tcPr>
            <w:tcW w:w="1732" w:type="dxa"/>
            <w:vMerge w:val="continue"/>
            <w:vAlign w:val="center"/>
          </w:tcPr>
          <w:p w14:paraId="740AD110">
            <w:pPr>
              <w:adjustRightInd w:val="0"/>
              <w:snapToGrid w:val="0"/>
              <w:jc w:val="center"/>
              <w:rPr>
                <w:sz w:val="15"/>
              </w:rPr>
            </w:pPr>
          </w:p>
        </w:tc>
        <w:tc>
          <w:tcPr>
            <w:tcW w:w="1737" w:type="dxa"/>
            <w:vAlign w:val="center"/>
          </w:tcPr>
          <w:p w14:paraId="21249A8A">
            <w:pPr>
              <w:adjustRightInd w:val="0"/>
              <w:snapToGrid w:val="0"/>
              <w:jc w:val="center"/>
              <w:rPr>
                <w:sz w:val="15"/>
              </w:rPr>
            </w:pPr>
            <w:r>
              <w:rPr>
                <w:rFonts w:hint="eastAsia"/>
                <w:sz w:val="15"/>
              </w:rPr>
              <w:t>基坑放样测量</w:t>
            </w:r>
          </w:p>
        </w:tc>
        <w:tc>
          <w:tcPr>
            <w:tcW w:w="2213" w:type="dxa"/>
            <w:vAlign w:val="center"/>
          </w:tcPr>
          <w:p w14:paraId="20C41B26">
            <w:pPr>
              <w:adjustRightInd w:val="0"/>
              <w:snapToGrid w:val="0"/>
              <w:jc w:val="center"/>
              <w:rPr>
                <w:sz w:val="15"/>
              </w:rPr>
            </w:pPr>
            <w:r>
              <w:rPr>
                <w:rFonts w:hint="eastAsia"/>
                <w:sz w:val="15"/>
              </w:rPr>
              <w:t>每座井</w:t>
            </w:r>
          </w:p>
        </w:tc>
      </w:tr>
      <w:tr w14:paraId="1045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467F083E">
            <w:pPr>
              <w:adjustRightInd w:val="0"/>
              <w:snapToGrid w:val="0"/>
              <w:jc w:val="center"/>
              <w:rPr>
                <w:sz w:val="15"/>
              </w:rPr>
            </w:pPr>
          </w:p>
        </w:tc>
        <w:tc>
          <w:tcPr>
            <w:tcW w:w="1018" w:type="dxa"/>
            <w:vMerge w:val="continue"/>
            <w:vAlign w:val="center"/>
          </w:tcPr>
          <w:p w14:paraId="47E5F3CD">
            <w:pPr>
              <w:adjustRightInd w:val="0"/>
              <w:snapToGrid w:val="0"/>
              <w:jc w:val="center"/>
              <w:rPr>
                <w:sz w:val="15"/>
              </w:rPr>
            </w:pPr>
          </w:p>
        </w:tc>
        <w:tc>
          <w:tcPr>
            <w:tcW w:w="1118" w:type="dxa"/>
            <w:vMerge w:val="continue"/>
            <w:vAlign w:val="center"/>
          </w:tcPr>
          <w:p w14:paraId="2467978E">
            <w:pPr>
              <w:adjustRightInd w:val="0"/>
              <w:snapToGrid w:val="0"/>
              <w:jc w:val="center"/>
              <w:rPr>
                <w:sz w:val="15"/>
              </w:rPr>
            </w:pPr>
          </w:p>
        </w:tc>
        <w:tc>
          <w:tcPr>
            <w:tcW w:w="1732" w:type="dxa"/>
            <w:vMerge w:val="continue"/>
            <w:vAlign w:val="center"/>
          </w:tcPr>
          <w:p w14:paraId="0A52269F">
            <w:pPr>
              <w:adjustRightInd w:val="0"/>
              <w:snapToGrid w:val="0"/>
              <w:jc w:val="center"/>
              <w:rPr>
                <w:sz w:val="15"/>
              </w:rPr>
            </w:pPr>
          </w:p>
        </w:tc>
        <w:tc>
          <w:tcPr>
            <w:tcW w:w="1737" w:type="dxa"/>
            <w:vAlign w:val="center"/>
          </w:tcPr>
          <w:p w14:paraId="65B46321">
            <w:pPr>
              <w:adjustRightInd w:val="0"/>
              <w:snapToGrid w:val="0"/>
              <w:jc w:val="center"/>
              <w:rPr>
                <w:sz w:val="15"/>
              </w:rPr>
            </w:pPr>
            <w:r>
              <w:rPr>
                <w:rFonts w:hint="eastAsia"/>
                <w:sz w:val="15"/>
              </w:rPr>
              <w:t>土方开挖</w:t>
            </w:r>
          </w:p>
        </w:tc>
        <w:tc>
          <w:tcPr>
            <w:tcW w:w="2213" w:type="dxa"/>
            <w:vAlign w:val="center"/>
          </w:tcPr>
          <w:p w14:paraId="22E62D6F">
            <w:pPr>
              <w:adjustRightInd w:val="0"/>
              <w:snapToGrid w:val="0"/>
              <w:jc w:val="center"/>
              <w:rPr>
                <w:sz w:val="15"/>
              </w:rPr>
            </w:pPr>
            <w:r>
              <w:rPr>
                <w:rFonts w:hint="eastAsia"/>
                <w:sz w:val="15"/>
              </w:rPr>
              <w:t>每一施工段</w:t>
            </w:r>
          </w:p>
        </w:tc>
      </w:tr>
      <w:tr w14:paraId="70A7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5FD3B760">
            <w:pPr>
              <w:adjustRightInd w:val="0"/>
              <w:snapToGrid w:val="0"/>
              <w:jc w:val="center"/>
              <w:rPr>
                <w:sz w:val="15"/>
              </w:rPr>
            </w:pPr>
          </w:p>
        </w:tc>
        <w:tc>
          <w:tcPr>
            <w:tcW w:w="1018" w:type="dxa"/>
            <w:vMerge w:val="continue"/>
            <w:vAlign w:val="center"/>
          </w:tcPr>
          <w:p w14:paraId="673D5673">
            <w:pPr>
              <w:adjustRightInd w:val="0"/>
              <w:snapToGrid w:val="0"/>
              <w:jc w:val="center"/>
              <w:rPr>
                <w:sz w:val="15"/>
              </w:rPr>
            </w:pPr>
          </w:p>
        </w:tc>
        <w:tc>
          <w:tcPr>
            <w:tcW w:w="1118" w:type="dxa"/>
            <w:vMerge w:val="continue"/>
            <w:vAlign w:val="center"/>
          </w:tcPr>
          <w:p w14:paraId="2CB75678">
            <w:pPr>
              <w:adjustRightInd w:val="0"/>
              <w:snapToGrid w:val="0"/>
              <w:jc w:val="center"/>
              <w:rPr>
                <w:sz w:val="15"/>
              </w:rPr>
            </w:pPr>
          </w:p>
        </w:tc>
        <w:tc>
          <w:tcPr>
            <w:tcW w:w="1732" w:type="dxa"/>
            <w:vMerge w:val="continue"/>
            <w:vAlign w:val="center"/>
          </w:tcPr>
          <w:p w14:paraId="629FC24E">
            <w:pPr>
              <w:adjustRightInd w:val="0"/>
              <w:snapToGrid w:val="0"/>
              <w:jc w:val="center"/>
              <w:rPr>
                <w:sz w:val="15"/>
              </w:rPr>
            </w:pPr>
          </w:p>
        </w:tc>
        <w:tc>
          <w:tcPr>
            <w:tcW w:w="1737" w:type="dxa"/>
            <w:vAlign w:val="center"/>
          </w:tcPr>
          <w:p w14:paraId="1BCF1EE5">
            <w:pPr>
              <w:adjustRightInd w:val="0"/>
              <w:snapToGrid w:val="0"/>
              <w:jc w:val="center"/>
              <w:rPr>
                <w:sz w:val="15"/>
              </w:rPr>
            </w:pPr>
            <w:r>
              <w:rPr>
                <w:rFonts w:hint="eastAsia"/>
                <w:sz w:val="15"/>
              </w:rPr>
              <w:t>土方回填</w:t>
            </w:r>
          </w:p>
        </w:tc>
        <w:tc>
          <w:tcPr>
            <w:tcW w:w="2213" w:type="dxa"/>
            <w:vAlign w:val="center"/>
          </w:tcPr>
          <w:p w14:paraId="18ADEBE8">
            <w:pPr>
              <w:adjustRightInd w:val="0"/>
              <w:snapToGrid w:val="0"/>
              <w:jc w:val="center"/>
              <w:rPr>
                <w:sz w:val="15"/>
              </w:rPr>
            </w:pPr>
            <w:r>
              <w:rPr>
                <w:rFonts w:hint="eastAsia"/>
                <w:sz w:val="15"/>
              </w:rPr>
              <w:t>每一回填段</w:t>
            </w:r>
          </w:p>
        </w:tc>
      </w:tr>
      <w:tr w14:paraId="0BBB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79B9A419">
            <w:pPr>
              <w:adjustRightInd w:val="0"/>
              <w:snapToGrid w:val="0"/>
              <w:jc w:val="center"/>
              <w:rPr>
                <w:sz w:val="15"/>
              </w:rPr>
            </w:pPr>
          </w:p>
        </w:tc>
        <w:tc>
          <w:tcPr>
            <w:tcW w:w="1018" w:type="dxa"/>
            <w:vMerge w:val="continue"/>
            <w:vAlign w:val="center"/>
          </w:tcPr>
          <w:p w14:paraId="26B2B220">
            <w:pPr>
              <w:adjustRightInd w:val="0"/>
              <w:snapToGrid w:val="0"/>
              <w:jc w:val="center"/>
              <w:rPr>
                <w:sz w:val="15"/>
              </w:rPr>
            </w:pPr>
          </w:p>
        </w:tc>
        <w:tc>
          <w:tcPr>
            <w:tcW w:w="1118" w:type="dxa"/>
            <w:vMerge w:val="continue"/>
            <w:vAlign w:val="center"/>
          </w:tcPr>
          <w:p w14:paraId="72374E0F">
            <w:pPr>
              <w:adjustRightInd w:val="0"/>
              <w:snapToGrid w:val="0"/>
              <w:jc w:val="center"/>
              <w:rPr>
                <w:sz w:val="15"/>
              </w:rPr>
            </w:pPr>
          </w:p>
        </w:tc>
        <w:tc>
          <w:tcPr>
            <w:tcW w:w="1732" w:type="dxa"/>
            <w:vMerge w:val="restart"/>
            <w:vAlign w:val="center"/>
          </w:tcPr>
          <w:p w14:paraId="2F397A27">
            <w:pPr>
              <w:adjustRightInd w:val="0"/>
              <w:snapToGrid w:val="0"/>
              <w:jc w:val="center"/>
              <w:rPr>
                <w:sz w:val="15"/>
              </w:rPr>
            </w:pPr>
            <w:r>
              <w:rPr>
                <w:rFonts w:hint="eastAsia"/>
                <w:sz w:val="15"/>
              </w:rPr>
              <w:t>衬砌</w:t>
            </w:r>
          </w:p>
        </w:tc>
        <w:tc>
          <w:tcPr>
            <w:tcW w:w="1737" w:type="dxa"/>
            <w:vAlign w:val="center"/>
          </w:tcPr>
          <w:p w14:paraId="5991C7C8">
            <w:pPr>
              <w:adjustRightInd w:val="0"/>
              <w:snapToGrid w:val="0"/>
              <w:jc w:val="center"/>
              <w:rPr>
                <w:sz w:val="15"/>
              </w:rPr>
            </w:pPr>
            <w:r>
              <w:rPr>
                <w:rFonts w:hint="eastAsia"/>
                <w:sz w:val="15"/>
              </w:rPr>
              <w:t>模板及支架</w:t>
            </w:r>
          </w:p>
        </w:tc>
        <w:tc>
          <w:tcPr>
            <w:tcW w:w="2213" w:type="dxa"/>
            <w:vAlign w:val="center"/>
          </w:tcPr>
          <w:p w14:paraId="097D4AB7">
            <w:pPr>
              <w:adjustRightInd w:val="0"/>
              <w:snapToGrid w:val="0"/>
              <w:jc w:val="center"/>
              <w:rPr>
                <w:sz w:val="15"/>
              </w:rPr>
            </w:pPr>
            <w:r>
              <w:rPr>
                <w:rFonts w:hint="eastAsia"/>
                <w:sz w:val="15"/>
              </w:rPr>
              <w:t>每一施工段</w:t>
            </w:r>
          </w:p>
        </w:tc>
      </w:tr>
      <w:tr w14:paraId="6A8B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33B7A1BA">
            <w:pPr>
              <w:adjustRightInd w:val="0"/>
              <w:snapToGrid w:val="0"/>
              <w:jc w:val="center"/>
              <w:rPr>
                <w:sz w:val="15"/>
              </w:rPr>
            </w:pPr>
          </w:p>
        </w:tc>
        <w:tc>
          <w:tcPr>
            <w:tcW w:w="1018" w:type="dxa"/>
            <w:vMerge w:val="continue"/>
            <w:vAlign w:val="center"/>
          </w:tcPr>
          <w:p w14:paraId="22121B34">
            <w:pPr>
              <w:adjustRightInd w:val="0"/>
              <w:snapToGrid w:val="0"/>
              <w:jc w:val="center"/>
              <w:rPr>
                <w:sz w:val="15"/>
              </w:rPr>
            </w:pPr>
          </w:p>
        </w:tc>
        <w:tc>
          <w:tcPr>
            <w:tcW w:w="1118" w:type="dxa"/>
            <w:vMerge w:val="continue"/>
            <w:vAlign w:val="center"/>
          </w:tcPr>
          <w:p w14:paraId="53FE9FCF">
            <w:pPr>
              <w:adjustRightInd w:val="0"/>
              <w:snapToGrid w:val="0"/>
              <w:jc w:val="center"/>
              <w:rPr>
                <w:sz w:val="15"/>
              </w:rPr>
            </w:pPr>
          </w:p>
        </w:tc>
        <w:tc>
          <w:tcPr>
            <w:tcW w:w="1732" w:type="dxa"/>
            <w:vMerge w:val="continue"/>
            <w:vAlign w:val="center"/>
          </w:tcPr>
          <w:p w14:paraId="2E9C21B1">
            <w:pPr>
              <w:adjustRightInd w:val="0"/>
              <w:snapToGrid w:val="0"/>
              <w:jc w:val="center"/>
              <w:rPr>
                <w:sz w:val="15"/>
              </w:rPr>
            </w:pPr>
          </w:p>
        </w:tc>
        <w:tc>
          <w:tcPr>
            <w:tcW w:w="1737" w:type="dxa"/>
            <w:vAlign w:val="center"/>
          </w:tcPr>
          <w:p w14:paraId="13D630FD">
            <w:pPr>
              <w:adjustRightInd w:val="0"/>
              <w:snapToGrid w:val="0"/>
              <w:jc w:val="center"/>
              <w:rPr>
                <w:sz w:val="15"/>
              </w:rPr>
            </w:pPr>
            <w:r>
              <w:rPr>
                <w:rFonts w:hint="eastAsia"/>
                <w:sz w:val="15"/>
              </w:rPr>
              <w:t>钢筋</w:t>
            </w:r>
          </w:p>
        </w:tc>
        <w:tc>
          <w:tcPr>
            <w:tcW w:w="2213" w:type="dxa"/>
            <w:vAlign w:val="center"/>
          </w:tcPr>
          <w:p w14:paraId="5ED1AF33">
            <w:pPr>
              <w:adjustRightInd w:val="0"/>
              <w:snapToGrid w:val="0"/>
              <w:jc w:val="center"/>
              <w:rPr>
                <w:sz w:val="15"/>
              </w:rPr>
            </w:pPr>
            <w:r>
              <w:rPr>
                <w:rFonts w:hint="eastAsia"/>
                <w:sz w:val="15"/>
              </w:rPr>
              <w:t>每一施工段</w:t>
            </w:r>
          </w:p>
        </w:tc>
      </w:tr>
      <w:tr w14:paraId="0CF3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5504023C">
            <w:pPr>
              <w:adjustRightInd w:val="0"/>
              <w:snapToGrid w:val="0"/>
              <w:jc w:val="center"/>
              <w:rPr>
                <w:sz w:val="15"/>
              </w:rPr>
            </w:pPr>
          </w:p>
        </w:tc>
        <w:tc>
          <w:tcPr>
            <w:tcW w:w="1018" w:type="dxa"/>
            <w:vMerge w:val="continue"/>
            <w:vAlign w:val="center"/>
          </w:tcPr>
          <w:p w14:paraId="170DDDBB">
            <w:pPr>
              <w:adjustRightInd w:val="0"/>
              <w:snapToGrid w:val="0"/>
              <w:jc w:val="center"/>
              <w:rPr>
                <w:sz w:val="15"/>
              </w:rPr>
            </w:pPr>
          </w:p>
        </w:tc>
        <w:tc>
          <w:tcPr>
            <w:tcW w:w="1118" w:type="dxa"/>
            <w:vMerge w:val="continue"/>
            <w:vAlign w:val="center"/>
          </w:tcPr>
          <w:p w14:paraId="76DB9AEF">
            <w:pPr>
              <w:adjustRightInd w:val="0"/>
              <w:snapToGrid w:val="0"/>
              <w:jc w:val="center"/>
              <w:rPr>
                <w:sz w:val="15"/>
              </w:rPr>
            </w:pPr>
          </w:p>
        </w:tc>
        <w:tc>
          <w:tcPr>
            <w:tcW w:w="1732" w:type="dxa"/>
            <w:vMerge w:val="continue"/>
            <w:vAlign w:val="center"/>
          </w:tcPr>
          <w:p w14:paraId="11D90F4D">
            <w:pPr>
              <w:adjustRightInd w:val="0"/>
              <w:snapToGrid w:val="0"/>
              <w:jc w:val="center"/>
              <w:rPr>
                <w:sz w:val="15"/>
              </w:rPr>
            </w:pPr>
          </w:p>
        </w:tc>
        <w:tc>
          <w:tcPr>
            <w:tcW w:w="1737" w:type="dxa"/>
            <w:vAlign w:val="center"/>
          </w:tcPr>
          <w:p w14:paraId="6B74039C">
            <w:pPr>
              <w:adjustRightInd w:val="0"/>
              <w:snapToGrid w:val="0"/>
              <w:jc w:val="center"/>
              <w:rPr>
                <w:sz w:val="15"/>
              </w:rPr>
            </w:pPr>
            <w:r>
              <w:rPr>
                <w:rFonts w:hint="eastAsia"/>
                <w:sz w:val="15"/>
              </w:rPr>
              <w:t>混凝土</w:t>
            </w:r>
          </w:p>
        </w:tc>
        <w:tc>
          <w:tcPr>
            <w:tcW w:w="2213" w:type="dxa"/>
            <w:vAlign w:val="center"/>
          </w:tcPr>
          <w:p w14:paraId="686C1A74">
            <w:pPr>
              <w:adjustRightInd w:val="0"/>
              <w:snapToGrid w:val="0"/>
              <w:jc w:val="center"/>
              <w:rPr>
                <w:sz w:val="15"/>
              </w:rPr>
            </w:pPr>
            <w:r>
              <w:rPr>
                <w:rFonts w:hint="eastAsia"/>
                <w:sz w:val="15"/>
              </w:rPr>
              <w:t>每一浇筑段</w:t>
            </w:r>
          </w:p>
        </w:tc>
      </w:tr>
      <w:tr w14:paraId="70F2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05143477">
            <w:pPr>
              <w:adjustRightInd w:val="0"/>
              <w:snapToGrid w:val="0"/>
              <w:jc w:val="center"/>
              <w:rPr>
                <w:sz w:val="15"/>
              </w:rPr>
            </w:pPr>
          </w:p>
        </w:tc>
        <w:tc>
          <w:tcPr>
            <w:tcW w:w="1018" w:type="dxa"/>
            <w:vMerge w:val="continue"/>
            <w:vAlign w:val="center"/>
          </w:tcPr>
          <w:p w14:paraId="4B6FA39C">
            <w:pPr>
              <w:adjustRightInd w:val="0"/>
              <w:snapToGrid w:val="0"/>
              <w:jc w:val="center"/>
              <w:rPr>
                <w:sz w:val="15"/>
              </w:rPr>
            </w:pPr>
          </w:p>
        </w:tc>
        <w:tc>
          <w:tcPr>
            <w:tcW w:w="1118" w:type="dxa"/>
            <w:vMerge w:val="continue"/>
            <w:vAlign w:val="center"/>
          </w:tcPr>
          <w:p w14:paraId="259B5AD1">
            <w:pPr>
              <w:adjustRightInd w:val="0"/>
              <w:snapToGrid w:val="0"/>
              <w:jc w:val="center"/>
              <w:rPr>
                <w:sz w:val="15"/>
              </w:rPr>
            </w:pPr>
          </w:p>
        </w:tc>
        <w:tc>
          <w:tcPr>
            <w:tcW w:w="1732" w:type="dxa"/>
            <w:vMerge w:val="continue"/>
            <w:vAlign w:val="center"/>
          </w:tcPr>
          <w:p w14:paraId="6BA0B6AE">
            <w:pPr>
              <w:adjustRightInd w:val="0"/>
              <w:snapToGrid w:val="0"/>
              <w:jc w:val="center"/>
              <w:rPr>
                <w:sz w:val="15"/>
              </w:rPr>
            </w:pPr>
          </w:p>
        </w:tc>
        <w:tc>
          <w:tcPr>
            <w:tcW w:w="1737" w:type="dxa"/>
            <w:vAlign w:val="center"/>
          </w:tcPr>
          <w:p w14:paraId="0AF2FDE2">
            <w:pPr>
              <w:adjustRightInd w:val="0"/>
              <w:snapToGrid w:val="0"/>
              <w:jc w:val="center"/>
              <w:rPr>
                <w:sz w:val="15"/>
              </w:rPr>
            </w:pPr>
            <w:r>
              <w:rPr>
                <w:rFonts w:hint="eastAsia"/>
                <w:sz w:val="15"/>
              </w:rPr>
              <w:t>装配式结构</w:t>
            </w:r>
          </w:p>
        </w:tc>
        <w:tc>
          <w:tcPr>
            <w:tcW w:w="2213" w:type="dxa"/>
            <w:vAlign w:val="center"/>
          </w:tcPr>
          <w:p w14:paraId="72DD55B1">
            <w:pPr>
              <w:adjustRightInd w:val="0"/>
              <w:snapToGrid w:val="0"/>
              <w:jc w:val="center"/>
              <w:rPr>
                <w:sz w:val="15"/>
              </w:rPr>
            </w:pPr>
            <w:r>
              <w:rPr>
                <w:rFonts w:hint="eastAsia"/>
                <w:sz w:val="15"/>
              </w:rPr>
              <w:t>每一安装段</w:t>
            </w:r>
          </w:p>
        </w:tc>
      </w:tr>
      <w:tr w14:paraId="31D7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262CFC42">
            <w:pPr>
              <w:adjustRightInd w:val="0"/>
              <w:snapToGrid w:val="0"/>
              <w:jc w:val="center"/>
              <w:rPr>
                <w:sz w:val="15"/>
              </w:rPr>
            </w:pPr>
          </w:p>
        </w:tc>
        <w:tc>
          <w:tcPr>
            <w:tcW w:w="1018" w:type="dxa"/>
            <w:vMerge w:val="continue"/>
            <w:vAlign w:val="center"/>
          </w:tcPr>
          <w:p w14:paraId="34A6855C">
            <w:pPr>
              <w:adjustRightInd w:val="0"/>
              <w:snapToGrid w:val="0"/>
              <w:jc w:val="center"/>
              <w:rPr>
                <w:sz w:val="15"/>
              </w:rPr>
            </w:pPr>
          </w:p>
        </w:tc>
        <w:tc>
          <w:tcPr>
            <w:tcW w:w="1118" w:type="dxa"/>
            <w:vMerge w:val="continue"/>
            <w:vAlign w:val="center"/>
          </w:tcPr>
          <w:p w14:paraId="46E7E5AB">
            <w:pPr>
              <w:adjustRightInd w:val="0"/>
              <w:snapToGrid w:val="0"/>
              <w:jc w:val="center"/>
              <w:rPr>
                <w:sz w:val="15"/>
              </w:rPr>
            </w:pPr>
          </w:p>
        </w:tc>
        <w:tc>
          <w:tcPr>
            <w:tcW w:w="1732" w:type="dxa"/>
            <w:vMerge w:val="continue"/>
            <w:vAlign w:val="center"/>
          </w:tcPr>
          <w:p w14:paraId="60D3C770">
            <w:pPr>
              <w:adjustRightInd w:val="0"/>
              <w:snapToGrid w:val="0"/>
              <w:jc w:val="center"/>
              <w:rPr>
                <w:sz w:val="15"/>
              </w:rPr>
            </w:pPr>
          </w:p>
        </w:tc>
        <w:tc>
          <w:tcPr>
            <w:tcW w:w="1737" w:type="dxa"/>
            <w:vAlign w:val="center"/>
          </w:tcPr>
          <w:p w14:paraId="21DCA10B">
            <w:pPr>
              <w:adjustRightInd w:val="0"/>
              <w:snapToGrid w:val="0"/>
              <w:jc w:val="center"/>
              <w:rPr>
                <w:sz w:val="15"/>
              </w:rPr>
            </w:pPr>
            <w:r>
              <w:rPr>
                <w:rFonts w:hint="eastAsia"/>
                <w:sz w:val="15"/>
              </w:rPr>
              <w:t>洞口地层加固</w:t>
            </w:r>
          </w:p>
        </w:tc>
        <w:tc>
          <w:tcPr>
            <w:tcW w:w="2213" w:type="dxa"/>
            <w:vAlign w:val="center"/>
          </w:tcPr>
          <w:p w14:paraId="16C4E809">
            <w:pPr>
              <w:adjustRightInd w:val="0"/>
              <w:snapToGrid w:val="0"/>
              <w:jc w:val="center"/>
              <w:rPr>
                <w:sz w:val="15"/>
              </w:rPr>
            </w:pPr>
            <w:r>
              <w:rPr>
                <w:rFonts w:hint="eastAsia"/>
                <w:sz w:val="15"/>
              </w:rPr>
              <w:t>每一洞口</w:t>
            </w:r>
          </w:p>
        </w:tc>
      </w:tr>
      <w:tr w14:paraId="7588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782F9718">
            <w:pPr>
              <w:adjustRightInd w:val="0"/>
              <w:snapToGrid w:val="0"/>
              <w:jc w:val="center"/>
              <w:rPr>
                <w:sz w:val="15"/>
              </w:rPr>
            </w:pPr>
          </w:p>
        </w:tc>
        <w:tc>
          <w:tcPr>
            <w:tcW w:w="1018" w:type="dxa"/>
            <w:vMerge w:val="continue"/>
            <w:vAlign w:val="center"/>
          </w:tcPr>
          <w:p w14:paraId="4D836021">
            <w:pPr>
              <w:adjustRightInd w:val="0"/>
              <w:snapToGrid w:val="0"/>
              <w:jc w:val="center"/>
              <w:rPr>
                <w:sz w:val="15"/>
              </w:rPr>
            </w:pPr>
          </w:p>
        </w:tc>
        <w:tc>
          <w:tcPr>
            <w:tcW w:w="1118" w:type="dxa"/>
            <w:vMerge w:val="continue"/>
            <w:vAlign w:val="center"/>
          </w:tcPr>
          <w:p w14:paraId="0FDE79A9">
            <w:pPr>
              <w:adjustRightInd w:val="0"/>
              <w:snapToGrid w:val="0"/>
              <w:jc w:val="center"/>
              <w:rPr>
                <w:sz w:val="15"/>
              </w:rPr>
            </w:pPr>
          </w:p>
        </w:tc>
        <w:tc>
          <w:tcPr>
            <w:tcW w:w="1732" w:type="dxa"/>
            <w:vMerge w:val="continue"/>
            <w:vAlign w:val="center"/>
          </w:tcPr>
          <w:p w14:paraId="4CD58BE5">
            <w:pPr>
              <w:adjustRightInd w:val="0"/>
              <w:snapToGrid w:val="0"/>
              <w:jc w:val="center"/>
              <w:rPr>
                <w:sz w:val="15"/>
              </w:rPr>
            </w:pPr>
          </w:p>
        </w:tc>
        <w:tc>
          <w:tcPr>
            <w:tcW w:w="1737" w:type="dxa"/>
            <w:vAlign w:val="center"/>
          </w:tcPr>
          <w:p w14:paraId="661CE3C5">
            <w:pPr>
              <w:adjustRightInd w:val="0"/>
              <w:snapToGrid w:val="0"/>
              <w:jc w:val="center"/>
              <w:rPr>
                <w:sz w:val="15"/>
              </w:rPr>
            </w:pPr>
            <w:r>
              <w:rPr>
                <w:rFonts w:hint="eastAsia"/>
                <w:sz w:val="15"/>
              </w:rPr>
              <w:t>洞口预埋钢环制作与安装</w:t>
            </w:r>
          </w:p>
        </w:tc>
        <w:tc>
          <w:tcPr>
            <w:tcW w:w="2213" w:type="dxa"/>
            <w:vAlign w:val="center"/>
          </w:tcPr>
          <w:p w14:paraId="22A7950C">
            <w:pPr>
              <w:adjustRightInd w:val="0"/>
              <w:snapToGrid w:val="0"/>
              <w:jc w:val="center"/>
              <w:rPr>
                <w:sz w:val="15"/>
              </w:rPr>
            </w:pPr>
            <w:r>
              <w:rPr>
                <w:rFonts w:hint="eastAsia"/>
                <w:sz w:val="15"/>
              </w:rPr>
              <w:t>每一洞口</w:t>
            </w:r>
          </w:p>
        </w:tc>
      </w:tr>
      <w:tr w14:paraId="6FBE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6CD6EDF8">
            <w:pPr>
              <w:adjustRightInd w:val="0"/>
              <w:snapToGrid w:val="0"/>
              <w:jc w:val="center"/>
              <w:rPr>
                <w:sz w:val="15"/>
              </w:rPr>
            </w:pPr>
          </w:p>
        </w:tc>
        <w:tc>
          <w:tcPr>
            <w:tcW w:w="1018" w:type="dxa"/>
            <w:vMerge w:val="continue"/>
            <w:vAlign w:val="center"/>
          </w:tcPr>
          <w:p w14:paraId="234A0A85">
            <w:pPr>
              <w:adjustRightInd w:val="0"/>
              <w:snapToGrid w:val="0"/>
              <w:jc w:val="center"/>
              <w:rPr>
                <w:sz w:val="15"/>
              </w:rPr>
            </w:pPr>
          </w:p>
        </w:tc>
        <w:tc>
          <w:tcPr>
            <w:tcW w:w="1118" w:type="dxa"/>
            <w:vMerge w:val="continue"/>
            <w:vAlign w:val="center"/>
          </w:tcPr>
          <w:p w14:paraId="447ECB87">
            <w:pPr>
              <w:adjustRightInd w:val="0"/>
              <w:snapToGrid w:val="0"/>
              <w:jc w:val="center"/>
              <w:rPr>
                <w:sz w:val="15"/>
              </w:rPr>
            </w:pPr>
          </w:p>
        </w:tc>
        <w:tc>
          <w:tcPr>
            <w:tcW w:w="1732" w:type="dxa"/>
            <w:vMerge w:val="restart"/>
            <w:vAlign w:val="center"/>
          </w:tcPr>
          <w:p w14:paraId="5CCA6318">
            <w:pPr>
              <w:adjustRightInd w:val="0"/>
              <w:snapToGrid w:val="0"/>
              <w:jc w:val="center"/>
              <w:rPr>
                <w:sz w:val="15"/>
              </w:rPr>
            </w:pPr>
            <w:r>
              <w:rPr>
                <w:rFonts w:hint="eastAsia"/>
                <w:sz w:val="15"/>
              </w:rPr>
              <w:t>后背</w:t>
            </w:r>
          </w:p>
        </w:tc>
        <w:tc>
          <w:tcPr>
            <w:tcW w:w="1737" w:type="dxa"/>
            <w:vAlign w:val="center"/>
          </w:tcPr>
          <w:p w14:paraId="2D36F96D">
            <w:pPr>
              <w:adjustRightInd w:val="0"/>
              <w:snapToGrid w:val="0"/>
              <w:jc w:val="center"/>
              <w:rPr>
                <w:sz w:val="15"/>
              </w:rPr>
            </w:pPr>
            <w:r>
              <w:rPr>
                <w:rFonts w:hint="eastAsia"/>
                <w:sz w:val="15"/>
              </w:rPr>
              <w:t>后背墙</w:t>
            </w:r>
          </w:p>
        </w:tc>
        <w:tc>
          <w:tcPr>
            <w:tcW w:w="2213" w:type="dxa"/>
            <w:vAlign w:val="center"/>
          </w:tcPr>
          <w:p w14:paraId="4E5DEE64">
            <w:pPr>
              <w:adjustRightInd w:val="0"/>
              <w:snapToGrid w:val="0"/>
              <w:jc w:val="center"/>
              <w:rPr>
                <w:sz w:val="15"/>
              </w:rPr>
            </w:pPr>
            <w:r>
              <w:rPr>
                <w:rFonts w:hint="eastAsia"/>
                <w:sz w:val="15"/>
              </w:rPr>
              <w:t>每个后背墙</w:t>
            </w:r>
          </w:p>
        </w:tc>
      </w:tr>
      <w:tr w14:paraId="522A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65A6AED5">
            <w:pPr>
              <w:adjustRightInd w:val="0"/>
              <w:snapToGrid w:val="0"/>
              <w:jc w:val="center"/>
              <w:rPr>
                <w:sz w:val="15"/>
              </w:rPr>
            </w:pPr>
          </w:p>
        </w:tc>
        <w:tc>
          <w:tcPr>
            <w:tcW w:w="1018" w:type="dxa"/>
            <w:vMerge w:val="continue"/>
            <w:vAlign w:val="center"/>
          </w:tcPr>
          <w:p w14:paraId="76DA68C0">
            <w:pPr>
              <w:adjustRightInd w:val="0"/>
              <w:snapToGrid w:val="0"/>
              <w:jc w:val="center"/>
              <w:rPr>
                <w:sz w:val="15"/>
              </w:rPr>
            </w:pPr>
          </w:p>
        </w:tc>
        <w:tc>
          <w:tcPr>
            <w:tcW w:w="1118" w:type="dxa"/>
            <w:vMerge w:val="continue"/>
            <w:vAlign w:val="center"/>
          </w:tcPr>
          <w:p w14:paraId="7A91F313">
            <w:pPr>
              <w:adjustRightInd w:val="0"/>
              <w:snapToGrid w:val="0"/>
              <w:jc w:val="center"/>
              <w:rPr>
                <w:sz w:val="15"/>
              </w:rPr>
            </w:pPr>
          </w:p>
        </w:tc>
        <w:tc>
          <w:tcPr>
            <w:tcW w:w="1732" w:type="dxa"/>
            <w:vMerge w:val="continue"/>
            <w:vAlign w:val="center"/>
          </w:tcPr>
          <w:p w14:paraId="09CAA498">
            <w:pPr>
              <w:adjustRightInd w:val="0"/>
              <w:snapToGrid w:val="0"/>
              <w:jc w:val="center"/>
              <w:rPr>
                <w:sz w:val="15"/>
              </w:rPr>
            </w:pPr>
          </w:p>
        </w:tc>
        <w:tc>
          <w:tcPr>
            <w:tcW w:w="1737" w:type="dxa"/>
            <w:vAlign w:val="center"/>
          </w:tcPr>
          <w:p w14:paraId="7126AFA4">
            <w:pPr>
              <w:adjustRightInd w:val="0"/>
              <w:snapToGrid w:val="0"/>
              <w:jc w:val="center"/>
              <w:rPr>
                <w:sz w:val="15"/>
              </w:rPr>
            </w:pPr>
            <w:r>
              <w:rPr>
                <w:rFonts w:hint="eastAsia"/>
                <w:sz w:val="15"/>
              </w:rPr>
              <w:t>后背制作与安装</w:t>
            </w:r>
          </w:p>
        </w:tc>
        <w:tc>
          <w:tcPr>
            <w:tcW w:w="2213" w:type="dxa"/>
            <w:vAlign w:val="center"/>
          </w:tcPr>
          <w:p w14:paraId="5C089CEF">
            <w:pPr>
              <w:adjustRightInd w:val="0"/>
              <w:snapToGrid w:val="0"/>
              <w:jc w:val="center"/>
              <w:rPr>
                <w:sz w:val="15"/>
              </w:rPr>
            </w:pPr>
            <w:r>
              <w:rPr>
                <w:rFonts w:hint="eastAsia"/>
                <w:sz w:val="15"/>
              </w:rPr>
              <w:t>每个后背</w:t>
            </w:r>
          </w:p>
        </w:tc>
      </w:tr>
      <w:tr w14:paraId="653D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6079FFE5">
            <w:pPr>
              <w:adjustRightInd w:val="0"/>
              <w:snapToGrid w:val="0"/>
              <w:jc w:val="center"/>
              <w:rPr>
                <w:sz w:val="15"/>
              </w:rPr>
            </w:pPr>
          </w:p>
        </w:tc>
        <w:tc>
          <w:tcPr>
            <w:tcW w:w="1018" w:type="dxa"/>
            <w:vMerge w:val="continue"/>
            <w:vAlign w:val="center"/>
          </w:tcPr>
          <w:p w14:paraId="4791DBB5">
            <w:pPr>
              <w:adjustRightInd w:val="0"/>
              <w:snapToGrid w:val="0"/>
              <w:jc w:val="center"/>
              <w:rPr>
                <w:sz w:val="15"/>
              </w:rPr>
            </w:pPr>
          </w:p>
        </w:tc>
        <w:tc>
          <w:tcPr>
            <w:tcW w:w="1118" w:type="dxa"/>
            <w:vMerge w:val="continue"/>
            <w:vAlign w:val="center"/>
          </w:tcPr>
          <w:p w14:paraId="7E5CC327">
            <w:pPr>
              <w:adjustRightInd w:val="0"/>
              <w:snapToGrid w:val="0"/>
              <w:jc w:val="center"/>
              <w:rPr>
                <w:sz w:val="15"/>
              </w:rPr>
            </w:pPr>
          </w:p>
        </w:tc>
        <w:tc>
          <w:tcPr>
            <w:tcW w:w="1732" w:type="dxa"/>
            <w:vMerge w:val="restart"/>
            <w:vAlign w:val="center"/>
          </w:tcPr>
          <w:p w14:paraId="34333ABA">
            <w:pPr>
              <w:adjustRightInd w:val="0"/>
              <w:snapToGrid w:val="0"/>
              <w:jc w:val="center"/>
              <w:rPr>
                <w:sz w:val="15"/>
              </w:rPr>
            </w:pPr>
            <w:r>
              <w:rPr>
                <w:rFonts w:hint="eastAsia"/>
                <w:sz w:val="15"/>
              </w:rPr>
              <w:t>地下水控制</w:t>
            </w:r>
          </w:p>
        </w:tc>
        <w:tc>
          <w:tcPr>
            <w:tcW w:w="1737" w:type="dxa"/>
            <w:vAlign w:val="center"/>
          </w:tcPr>
          <w:p w14:paraId="6BCC87BB">
            <w:pPr>
              <w:adjustRightInd w:val="0"/>
              <w:snapToGrid w:val="0"/>
              <w:jc w:val="center"/>
              <w:rPr>
                <w:sz w:val="15"/>
              </w:rPr>
            </w:pPr>
            <w:r>
              <w:rPr>
                <w:rFonts w:hint="eastAsia"/>
                <w:sz w:val="15"/>
              </w:rPr>
              <w:t>降水</w:t>
            </w:r>
          </w:p>
        </w:tc>
        <w:tc>
          <w:tcPr>
            <w:tcW w:w="2213" w:type="dxa"/>
            <w:vAlign w:val="center"/>
          </w:tcPr>
          <w:p w14:paraId="64E23E05">
            <w:pPr>
              <w:adjustRightInd w:val="0"/>
              <w:snapToGrid w:val="0"/>
              <w:jc w:val="center"/>
              <w:rPr>
                <w:sz w:val="15"/>
              </w:rPr>
            </w:pPr>
            <w:r>
              <w:rPr>
                <w:rFonts w:hint="eastAsia"/>
                <w:sz w:val="15"/>
              </w:rPr>
              <w:t>降水井每20眼~40眼</w:t>
            </w:r>
          </w:p>
        </w:tc>
      </w:tr>
      <w:tr w14:paraId="4654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1129B38C">
            <w:pPr>
              <w:adjustRightInd w:val="0"/>
              <w:snapToGrid w:val="0"/>
              <w:jc w:val="center"/>
              <w:rPr>
                <w:sz w:val="15"/>
              </w:rPr>
            </w:pPr>
          </w:p>
        </w:tc>
        <w:tc>
          <w:tcPr>
            <w:tcW w:w="1018" w:type="dxa"/>
            <w:vMerge w:val="continue"/>
            <w:vAlign w:val="center"/>
          </w:tcPr>
          <w:p w14:paraId="36320B9A">
            <w:pPr>
              <w:adjustRightInd w:val="0"/>
              <w:snapToGrid w:val="0"/>
              <w:jc w:val="center"/>
              <w:rPr>
                <w:sz w:val="15"/>
              </w:rPr>
            </w:pPr>
          </w:p>
        </w:tc>
        <w:tc>
          <w:tcPr>
            <w:tcW w:w="1118" w:type="dxa"/>
            <w:vMerge w:val="continue"/>
            <w:vAlign w:val="center"/>
          </w:tcPr>
          <w:p w14:paraId="118D540D">
            <w:pPr>
              <w:adjustRightInd w:val="0"/>
              <w:snapToGrid w:val="0"/>
              <w:jc w:val="center"/>
              <w:rPr>
                <w:sz w:val="15"/>
              </w:rPr>
            </w:pPr>
          </w:p>
        </w:tc>
        <w:tc>
          <w:tcPr>
            <w:tcW w:w="1732" w:type="dxa"/>
            <w:vMerge w:val="continue"/>
            <w:vAlign w:val="center"/>
          </w:tcPr>
          <w:p w14:paraId="24E074B6">
            <w:pPr>
              <w:adjustRightInd w:val="0"/>
              <w:snapToGrid w:val="0"/>
              <w:jc w:val="center"/>
              <w:rPr>
                <w:sz w:val="15"/>
              </w:rPr>
            </w:pPr>
          </w:p>
        </w:tc>
        <w:tc>
          <w:tcPr>
            <w:tcW w:w="1737" w:type="dxa"/>
            <w:vAlign w:val="center"/>
          </w:tcPr>
          <w:p w14:paraId="397694B7">
            <w:pPr>
              <w:adjustRightInd w:val="0"/>
              <w:snapToGrid w:val="0"/>
              <w:jc w:val="center"/>
              <w:rPr>
                <w:sz w:val="15"/>
              </w:rPr>
            </w:pPr>
            <w:r>
              <w:rPr>
                <w:rFonts w:hint="eastAsia"/>
                <w:sz w:val="15"/>
              </w:rPr>
              <w:t>止水</w:t>
            </w:r>
          </w:p>
        </w:tc>
        <w:tc>
          <w:tcPr>
            <w:tcW w:w="2213" w:type="dxa"/>
            <w:vAlign w:val="center"/>
          </w:tcPr>
          <w:p w14:paraId="32FBBE63">
            <w:pPr>
              <w:adjustRightInd w:val="0"/>
              <w:snapToGrid w:val="0"/>
              <w:jc w:val="center"/>
              <w:rPr>
                <w:sz w:val="15"/>
              </w:rPr>
            </w:pPr>
            <w:r>
              <w:rPr>
                <w:rFonts w:hint="eastAsia"/>
                <w:sz w:val="15"/>
              </w:rPr>
              <w:t>地连墙帷幕每槽段</w:t>
            </w:r>
          </w:p>
          <w:p w14:paraId="5D3E36ED">
            <w:pPr>
              <w:adjustRightInd w:val="0"/>
              <w:snapToGrid w:val="0"/>
              <w:jc w:val="center"/>
              <w:rPr>
                <w:sz w:val="15"/>
              </w:rPr>
            </w:pPr>
            <w:r>
              <w:rPr>
                <w:rFonts w:hint="eastAsia"/>
                <w:sz w:val="15"/>
              </w:rPr>
              <w:t>注浆隔水每20延米</w:t>
            </w:r>
          </w:p>
        </w:tc>
      </w:tr>
      <w:tr w14:paraId="280D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6D6CDDF6">
            <w:pPr>
              <w:adjustRightInd w:val="0"/>
              <w:snapToGrid w:val="0"/>
              <w:jc w:val="center"/>
              <w:rPr>
                <w:sz w:val="15"/>
              </w:rPr>
            </w:pPr>
          </w:p>
        </w:tc>
        <w:tc>
          <w:tcPr>
            <w:tcW w:w="1018" w:type="dxa"/>
            <w:vMerge w:val="continue"/>
            <w:vAlign w:val="center"/>
          </w:tcPr>
          <w:p w14:paraId="65897EFF">
            <w:pPr>
              <w:adjustRightInd w:val="0"/>
              <w:snapToGrid w:val="0"/>
              <w:jc w:val="center"/>
              <w:rPr>
                <w:sz w:val="15"/>
              </w:rPr>
            </w:pPr>
          </w:p>
        </w:tc>
        <w:tc>
          <w:tcPr>
            <w:tcW w:w="1118" w:type="dxa"/>
            <w:vMerge w:val="continue"/>
            <w:vAlign w:val="center"/>
          </w:tcPr>
          <w:p w14:paraId="2CF84540">
            <w:pPr>
              <w:adjustRightInd w:val="0"/>
              <w:snapToGrid w:val="0"/>
              <w:jc w:val="center"/>
              <w:rPr>
                <w:sz w:val="15"/>
              </w:rPr>
            </w:pPr>
          </w:p>
        </w:tc>
        <w:tc>
          <w:tcPr>
            <w:tcW w:w="1732" w:type="dxa"/>
            <w:vMerge w:val="restart"/>
            <w:vAlign w:val="center"/>
          </w:tcPr>
          <w:p w14:paraId="3FDAF478">
            <w:pPr>
              <w:adjustRightInd w:val="0"/>
              <w:snapToGrid w:val="0"/>
              <w:jc w:val="center"/>
              <w:rPr>
                <w:sz w:val="15"/>
              </w:rPr>
            </w:pPr>
            <w:r>
              <w:rPr>
                <w:rFonts w:hint="eastAsia"/>
                <w:sz w:val="15"/>
              </w:rPr>
              <w:t>顶进</w:t>
            </w:r>
          </w:p>
        </w:tc>
        <w:tc>
          <w:tcPr>
            <w:tcW w:w="1737" w:type="dxa"/>
            <w:vAlign w:val="center"/>
          </w:tcPr>
          <w:p w14:paraId="3F4FB728">
            <w:pPr>
              <w:adjustRightInd w:val="0"/>
              <w:snapToGrid w:val="0"/>
              <w:jc w:val="center"/>
              <w:rPr>
                <w:sz w:val="15"/>
              </w:rPr>
            </w:pPr>
            <w:r>
              <w:rPr>
                <w:rFonts w:hint="eastAsia"/>
                <w:sz w:val="15"/>
              </w:rPr>
              <w:t>管节进场</w:t>
            </w:r>
          </w:p>
        </w:tc>
        <w:tc>
          <w:tcPr>
            <w:tcW w:w="2213" w:type="dxa"/>
            <w:vAlign w:val="center"/>
          </w:tcPr>
          <w:p w14:paraId="6676988E">
            <w:pPr>
              <w:adjustRightInd w:val="0"/>
              <w:snapToGrid w:val="0"/>
              <w:jc w:val="center"/>
              <w:rPr>
                <w:sz w:val="15"/>
              </w:rPr>
            </w:pPr>
            <w:r>
              <w:rPr>
                <w:rFonts w:hint="eastAsia"/>
                <w:sz w:val="15"/>
              </w:rPr>
              <w:t>单次进场数量或5管节</w:t>
            </w:r>
          </w:p>
        </w:tc>
      </w:tr>
      <w:tr w14:paraId="764B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68D1FDAA">
            <w:pPr>
              <w:adjustRightInd w:val="0"/>
              <w:snapToGrid w:val="0"/>
              <w:jc w:val="center"/>
              <w:rPr>
                <w:sz w:val="15"/>
              </w:rPr>
            </w:pPr>
          </w:p>
        </w:tc>
        <w:tc>
          <w:tcPr>
            <w:tcW w:w="1018" w:type="dxa"/>
            <w:vMerge w:val="continue"/>
            <w:vAlign w:val="center"/>
          </w:tcPr>
          <w:p w14:paraId="592844EA">
            <w:pPr>
              <w:adjustRightInd w:val="0"/>
              <w:snapToGrid w:val="0"/>
              <w:jc w:val="center"/>
              <w:rPr>
                <w:sz w:val="15"/>
              </w:rPr>
            </w:pPr>
          </w:p>
        </w:tc>
        <w:tc>
          <w:tcPr>
            <w:tcW w:w="1118" w:type="dxa"/>
            <w:vMerge w:val="continue"/>
            <w:vAlign w:val="center"/>
          </w:tcPr>
          <w:p w14:paraId="15C256D6">
            <w:pPr>
              <w:adjustRightInd w:val="0"/>
              <w:snapToGrid w:val="0"/>
              <w:jc w:val="center"/>
              <w:rPr>
                <w:sz w:val="15"/>
              </w:rPr>
            </w:pPr>
          </w:p>
        </w:tc>
        <w:tc>
          <w:tcPr>
            <w:tcW w:w="1732" w:type="dxa"/>
            <w:vMerge w:val="continue"/>
            <w:vAlign w:val="center"/>
          </w:tcPr>
          <w:p w14:paraId="28470CFE">
            <w:pPr>
              <w:adjustRightInd w:val="0"/>
              <w:snapToGrid w:val="0"/>
              <w:jc w:val="center"/>
              <w:rPr>
                <w:sz w:val="15"/>
              </w:rPr>
            </w:pPr>
          </w:p>
        </w:tc>
        <w:tc>
          <w:tcPr>
            <w:tcW w:w="1737" w:type="dxa"/>
            <w:vAlign w:val="center"/>
          </w:tcPr>
          <w:p w14:paraId="53C5F61B">
            <w:pPr>
              <w:adjustRightInd w:val="0"/>
              <w:snapToGrid w:val="0"/>
              <w:jc w:val="center"/>
              <w:rPr>
                <w:sz w:val="15"/>
              </w:rPr>
            </w:pPr>
            <w:r>
              <w:rPr>
                <w:rFonts w:hint="eastAsia"/>
                <w:sz w:val="15"/>
              </w:rPr>
              <w:t>管节顶进</w:t>
            </w:r>
          </w:p>
        </w:tc>
        <w:tc>
          <w:tcPr>
            <w:tcW w:w="2213" w:type="dxa"/>
            <w:vAlign w:val="center"/>
          </w:tcPr>
          <w:p w14:paraId="7FD8347B">
            <w:pPr>
              <w:adjustRightInd w:val="0"/>
              <w:snapToGrid w:val="0"/>
              <w:jc w:val="center"/>
              <w:rPr>
                <w:sz w:val="15"/>
              </w:rPr>
            </w:pPr>
            <w:r>
              <w:rPr>
                <w:rFonts w:hint="eastAsia"/>
                <w:sz w:val="15"/>
              </w:rPr>
              <w:t>2管节</w:t>
            </w:r>
          </w:p>
        </w:tc>
      </w:tr>
      <w:tr w14:paraId="322A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468421AF">
            <w:pPr>
              <w:adjustRightInd w:val="0"/>
              <w:snapToGrid w:val="0"/>
              <w:jc w:val="center"/>
              <w:rPr>
                <w:sz w:val="15"/>
              </w:rPr>
            </w:pPr>
          </w:p>
        </w:tc>
        <w:tc>
          <w:tcPr>
            <w:tcW w:w="1018" w:type="dxa"/>
            <w:vMerge w:val="continue"/>
            <w:vAlign w:val="center"/>
          </w:tcPr>
          <w:p w14:paraId="26DC24A2">
            <w:pPr>
              <w:adjustRightInd w:val="0"/>
              <w:snapToGrid w:val="0"/>
              <w:jc w:val="center"/>
              <w:rPr>
                <w:sz w:val="15"/>
              </w:rPr>
            </w:pPr>
          </w:p>
        </w:tc>
        <w:tc>
          <w:tcPr>
            <w:tcW w:w="1118" w:type="dxa"/>
            <w:vMerge w:val="continue"/>
            <w:vAlign w:val="center"/>
          </w:tcPr>
          <w:p w14:paraId="6E719E8F">
            <w:pPr>
              <w:adjustRightInd w:val="0"/>
              <w:snapToGrid w:val="0"/>
              <w:jc w:val="center"/>
              <w:rPr>
                <w:sz w:val="15"/>
              </w:rPr>
            </w:pPr>
          </w:p>
        </w:tc>
        <w:tc>
          <w:tcPr>
            <w:tcW w:w="1732" w:type="dxa"/>
            <w:vMerge w:val="continue"/>
            <w:vAlign w:val="center"/>
          </w:tcPr>
          <w:p w14:paraId="028650DA">
            <w:pPr>
              <w:adjustRightInd w:val="0"/>
              <w:snapToGrid w:val="0"/>
              <w:jc w:val="center"/>
              <w:rPr>
                <w:sz w:val="15"/>
              </w:rPr>
            </w:pPr>
          </w:p>
        </w:tc>
        <w:tc>
          <w:tcPr>
            <w:tcW w:w="1737" w:type="dxa"/>
            <w:vAlign w:val="center"/>
          </w:tcPr>
          <w:p w14:paraId="5652EF2F">
            <w:pPr>
              <w:adjustRightInd w:val="0"/>
              <w:snapToGrid w:val="0"/>
              <w:jc w:val="center"/>
              <w:rPr>
                <w:sz w:val="15"/>
              </w:rPr>
            </w:pPr>
            <w:r>
              <w:rPr>
                <w:rFonts w:hint="eastAsia"/>
                <w:sz w:val="15"/>
              </w:rPr>
              <w:t>置换注浆</w:t>
            </w:r>
          </w:p>
        </w:tc>
        <w:tc>
          <w:tcPr>
            <w:tcW w:w="2213" w:type="dxa"/>
            <w:vAlign w:val="center"/>
          </w:tcPr>
          <w:p w14:paraId="246DDEEC">
            <w:pPr>
              <w:adjustRightInd w:val="0"/>
              <w:snapToGrid w:val="0"/>
              <w:jc w:val="center"/>
              <w:rPr>
                <w:sz w:val="15"/>
              </w:rPr>
            </w:pPr>
            <w:r>
              <w:rPr>
                <w:rFonts w:hint="eastAsia"/>
                <w:sz w:val="15"/>
              </w:rPr>
              <w:t>2管节</w:t>
            </w:r>
          </w:p>
        </w:tc>
      </w:tr>
      <w:tr w14:paraId="3B77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6659C181">
            <w:pPr>
              <w:adjustRightInd w:val="0"/>
              <w:snapToGrid w:val="0"/>
              <w:jc w:val="center"/>
              <w:rPr>
                <w:sz w:val="15"/>
              </w:rPr>
            </w:pPr>
          </w:p>
        </w:tc>
        <w:tc>
          <w:tcPr>
            <w:tcW w:w="1018" w:type="dxa"/>
            <w:vMerge w:val="continue"/>
            <w:vAlign w:val="center"/>
          </w:tcPr>
          <w:p w14:paraId="3276734A">
            <w:pPr>
              <w:adjustRightInd w:val="0"/>
              <w:snapToGrid w:val="0"/>
              <w:jc w:val="center"/>
              <w:rPr>
                <w:sz w:val="15"/>
              </w:rPr>
            </w:pPr>
          </w:p>
        </w:tc>
        <w:tc>
          <w:tcPr>
            <w:tcW w:w="1118" w:type="dxa"/>
            <w:vMerge w:val="continue"/>
            <w:vAlign w:val="center"/>
          </w:tcPr>
          <w:p w14:paraId="66350C94">
            <w:pPr>
              <w:adjustRightInd w:val="0"/>
              <w:snapToGrid w:val="0"/>
              <w:jc w:val="center"/>
              <w:rPr>
                <w:sz w:val="15"/>
              </w:rPr>
            </w:pPr>
          </w:p>
        </w:tc>
        <w:tc>
          <w:tcPr>
            <w:tcW w:w="1732" w:type="dxa"/>
            <w:vMerge w:val="continue"/>
            <w:vAlign w:val="center"/>
          </w:tcPr>
          <w:p w14:paraId="5C07A9AB">
            <w:pPr>
              <w:adjustRightInd w:val="0"/>
              <w:snapToGrid w:val="0"/>
              <w:jc w:val="center"/>
              <w:rPr>
                <w:sz w:val="15"/>
              </w:rPr>
            </w:pPr>
          </w:p>
        </w:tc>
        <w:tc>
          <w:tcPr>
            <w:tcW w:w="1737" w:type="dxa"/>
            <w:vAlign w:val="center"/>
          </w:tcPr>
          <w:p w14:paraId="1D9E2BA7">
            <w:pPr>
              <w:adjustRightInd w:val="0"/>
              <w:snapToGrid w:val="0"/>
              <w:jc w:val="center"/>
              <w:rPr>
                <w:sz w:val="15"/>
              </w:rPr>
            </w:pPr>
            <w:r>
              <w:rPr>
                <w:rFonts w:hint="eastAsia"/>
                <w:sz w:val="15"/>
              </w:rPr>
              <w:t>成型结构</w:t>
            </w:r>
          </w:p>
        </w:tc>
        <w:tc>
          <w:tcPr>
            <w:tcW w:w="2213" w:type="dxa"/>
            <w:vAlign w:val="center"/>
          </w:tcPr>
          <w:p w14:paraId="27A9C846">
            <w:pPr>
              <w:adjustRightInd w:val="0"/>
              <w:snapToGrid w:val="0"/>
              <w:jc w:val="center"/>
              <w:rPr>
                <w:sz w:val="15"/>
              </w:rPr>
            </w:pPr>
            <w:r>
              <w:rPr>
                <w:rFonts w:hint="eastAsia"/>
                <w:sz w:val="15"/>
              </w:rPr>
              <w:t>5管节</w:t>
            </w:r>
          </w:p>
        </w:tc>
      </w:tr>
      <w:tr w14:paraId="57EE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vAlign w:val="center"/>
          </w:tcPr>
          <w:p w14:paraId="1969F591">
            <w:pPr>
              <w:adjustRightInd w:val="0"/>
              <w:snapToGrid w:val="0"/>
              <w:jc w:val="center"/>
              <w:rPr>
                <w:sz w:val="15"/>
              </w:rPr>
            </w:pPr>
          </w:p>
        </w:tc>
        <w:tc>
          <w:tcPr>
            <w:tcW w:w="1018" w:type="dxa"/>
            <w:vMerge w:val="continue"/>
            <w:vAlign w:val="center"/>
          </w:tcPr>
          <w:p w14:paraId="42BACC35">
            <w:pPr>
              <w:adjustRightInd w:val="0"/>
              <w:snapToGrid w:val="0"/>
              <w:jc w:val="center"/>
              <w:rPr>
                <w:sz w:val="15"/>
              </w:rPr>
            </w:pPr>
          </w:p>
        </w:tc>
        <w:tc>
          <w:tcPr>
            <w:tcW w:w="1118" w:type="dxa"/>
            <w:vMerge w:val="continue"/>
            <w:vAlign w:val="center"/>
          </w:tcPr>
          <w:p w14:paraId="12E18930">
            <w:pPr>
              <w:adjustRightInd w:val="0"/>
              <w:snapToGrid w:val="0"/>
              <w:jc w:val="center"/>
              <w:rPr>
                <w:sz w:val="15"/>
              </w:rPr>
            </w:pPr>
          </w:p>
        </w:tc>
        <w:tc>
          <w:tcPr>
            <w:tcW w:w="1732" w:type="dxa"/>
            <w:vMerge w:val="continue"/>
            <w:vAlign w:val="center"/>
          </w:tcPr>
          <w:p w14:paraId="5D6F4C3C">
            <w:pPr>
              <w:adjustRightInd w:val="0"/>
              <w:snapToGrid w:val="0"/>
              <w:jc w:val="center"/>
              <w:rPr>
                <w:sz w:val="15"/>
              </w:rPr>
            </w:pPr>
          </w:p>
        </w:tc>
        <w:tc>
          <w:tcPr>
            <w:tcW w:w="1737" w:type="dxa"/>
            <w:vAlign w:val="center"/>
          </w:tcPr>
          <w:p w14:paraId="38EA06A6">
            <w:pPr>
              <w:adjustRightInd w:val="0"/>
              <w:snapToGrid w:val="0"/>
              <w:jc w:val="center"/>
              <w:rPr>
                <w:sz w:val="15"/>
              </w:rPr>
            </w:pPr>
            <w:r>
              <w:rPr>
                <w:rFonts w:hint="eastAsia"/>
                <w:sz w:val="15"/>
              </w:rPr>
              <w:t>洞口环梁</w:t>
            </w:r>
          </w:p>
        </w:tc>
        <w:tc>
          <w:tcPr>
            <w:tcW w:w="2213" w:type="dxa"/>
            <w:vAlign w:val="center"/>
          </w:tcPr>
          <w:p w14:paraId="5190167F">
            <w:pPr>
              <w:adjustRightInd w:val="0"/>
              <w:snapToGrid w:val="0"/>
              <w:jc w:val="center"/>
              <w:rPr>
                <w:sz w:val="15"/>
              </w:rPr>
            </w:pPr>
            <w:r>
              <w:rPr>
                <w:rFonts w:hint="eastAsia"/>
                <w:sz w:val="15"/>
              </w:rPr>
              <w:t>每个环梁</w:t>
            </w:r>
          </w:p>
        </w:tc>
      </w:tr>
      <w:tr w14:paraId="1E8F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3" w:type="dxa"/>
            <w:vMerge w:val="continue"/>
            <w:vAlign w:val="center"/>
          </w:tcPr>
          <w:p w14:paraId="649563E5">
            <w:pPr>
              <w:adjustRightInd w:val="0"/>
              <w:snapToGrid w:val="0"/>
              <w:jc w:val="center"/>
              <w:rPr>
                <w:sz w:val="15"/>
              </w:rPr>
            </w:pPr>
          </w:p>
        </w:tc>
        <w:tc>
          <w:tcPr>
            <w:tcW w:w="1018" w:type="dxa"/>
            <w:vMerge w:val="continue"/>
            <w:vAlign w:val="center"/>
          </w:tcPr>
          <w:p w14:paraId="6FAB2AFF">
            <w:pPr>
              <w:adjustRightInd w:val="0"/>
              <w:snapToGrid w:val="0"/>
              <w:jc w:val="center"/>
              <w:rPr>
                <w:sz w:val="15"/>
              </w:rPr>
            </w:pPr>
          </w:p>
        </w:tc>
        <w:tc>
          <w:tcPr>
            <w:tcW w:w="1118" w:type="dxa"/>
            <w:vMerge w:val="continue"/>
            <w:vAlign w:val="center"/>
          </w:tcPr>
          <w:p w14:paraId="72E708E3">
            <w:pPr>
              <w:adjustRightInd w:val="0"/>
              <w:snapToGrid w:val="0"/>
              <w:jc w:val="center"/>
              <w:rPr>
                <w:sz w:val="15"/>
              </w:rPr>
            </w:pPr>
          </w:p>
        </w:tc>
        <w:tc>
          <w:tcPr>
            <w:tcW w:w="1732" w:type="dxa"/>
            <w:vMerge w:val="restart"/>
            <w:vAlign w:val="center"/>
          </w:tcPr>
          <w:p w14:paraId="1258AE79">
            <w:pPr>
              <w:adjustRightInd w:val="0"/>
              <w:snapToGrid w:val="0"/>
              <w:jc w:val="center"/>
              <w:rPr>
                <w:sz w:val="15"/>
              </w:rPr>
            </w:pPr>
            <w:r>
              <w:rPr>
                <w:rFonts w:hint="eastAsia"/>
                <w:sz w:val="15"/>
              </w:rPr>
              <w:t>防水</w:t>
            </w:r>
          </w:p>
        </w:tc>
        <w:tc>
          <w:tcPr>
            <w:tcW w:w="1737" w:type="dxa"/>
            <w:vAlign w:val="center"/>
          </w:tcPr>
          <w:p w14:paraId="1533B293">
            <w:pPr>
              <w:adjustRightInd w:val="0"/>
              <w:snapToGrid w:val="0"/>
              <w:jc w:val="center"/>
              <w:rPr>
                <w:sz w:val="15"/>
              </w:rPr>
            </w:pPr>
            <w:r>
              <w:rPr>
                <w:rFonts w:hint="eastAsia"/>
                <w:sz w:val="15"/>
              </w:rPr>
              <w:t>工作井结构防水</w:t>
            </w:r>
          </w:p>
        </w:tc>
        <w:tc>
          <w:tcPr>
            <w:tcW w:w="2213" w:type="dxa"/>
            <w:vAlign w:val="center"/>
          </w:tcPr>
          <w:p w14:paraId="31362A03">
            <w:pPr>
              <w:adjustRightInd w:val="0"/>
              <w:snapToGrid w:val="0"/>
              <w:jc w:val="center"/>
              <w:rPr>
                <w:sz w:val="15"/>
              </w:rPr>
            </w:pPr>
            <w:r>
              <w:rPr>
                <w:rFonts w:hint="eastAsia"/>
                <w:sz w:val="15"/>
              </w:rPr>
              <w:t>每一施工段</w:t>
            </w:r>
          </w:p>
        </w:tc>
      </w:tr>
      <w:tr w14:paraId="517F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3" w:type="dxa"/>
            <w:vMerge w:val="continue"/>
          </w:tcPr>
          <w:p w14:paraId="2E11685F">
            <w:pPr>
              <w:adjustRightInd w:val="0"/>
              <w:snapToGrid w:val="0"/>
              <w:jc w:val="center"/>
              <w:rPr>
                <w:sz w:val="15"/>
              </w:rPr>
            </w:pPr>
          </w:p>
        </w:tc>
        <w:tc>
          <w:tcPr>
            <w:tcW w:w="1018" w:type="dxa"/>
            <w:vMerge w:val="continue"/>
            <w:vAlign w:val="center"/>
          </w:tcPr>
          <w:p w14:paraId="77AB3913">
            <w:pPr>
              <w:adjustRightInd w:val="0"/>
              <w:snapToGrid w:val="0"/>
              <w:jc w:val="center"/>
              <w:rPr>
                <w:sz w:val="15"/>
              </w:rPr>
            </w:pPr>
          </w:p>
        </w:tc>
        <w:tc>
          <w:tcPr>
            <w:tcW w:w="1118" w:type="dxa"/>
            <w:vMerge w:val="continue"/>
            <w:vAlign w:val="center"/>
          </w:tcPr>
          <w:p w14:paraId="5FADE60C">
            <w:pPr>
              <w:adjustRightInd w:val="0"/>
              <w:snapToGrid w:val="0"/>
              <w:jc w:val="center"/>
              <w:rPr>
                <w:sz w:val="15"/>
              </w:rPr>
            </w:pPr>
          </w:p>
        </w:tc>
        <w:tc>
          <w:tcPr>
            <w:tcW w:w="1732" w:type="dxa"/>
            <w:vMerge w:val="continue"/>
            <w:vAlign w:val="center"/>
          </w:tcPr>
          <w:p w14:paraId="67DFFBAE">
            <w:pPr>
              <w:adjustRightInd w:val="0"/>
              <w:snapToGrid w:val="0"/>
              <w:jc w:val="center"/>
              <w:rPr>
                <w:sz w:val="15"/>
              </w:rPr>
            </w:pPr>
          </w:p>
        </w:tc>
        <w:tc>
          <w:tcPr>
            <w:tcW w:w="1737" w:type="dxa"/>
            <w:vAlign w:val="center"/>
          </w:tcPr>
          <w:p w14:paraId="0E503AB6">
            <w:pPr>
              <w:adjustRightInd w:val="0"/>
              <w:snapToGrid w:val="0"/>
              <w:jc w:val="center"/>
              <w:rPr>
                <w:sz w:val="15"/>
              </w:rPr>
            </w:pPr>
            <w:r>
              <w:rPr>
                <w:rFonts w:hint="eastAsia"/>
                <w:sz w:val="15"/>
              </w:rPr>
              <w:t>管节自防水、管节接缝防水、螺栓孔防水</w:t>
            </w:r>
          </w:p>
        </w:tc>
        <w:tc>
          <w:tcPr>
            <w:tcW w:w="2213" w:type="dxa"/>
            <w:vAlign w:val="center"/>
          </w:tcPr>
          <w:p w14:paraId="3989B12A">
            <w:pPr>
              <w:adjustRightInd w:val="0"/>
              <w:snapToGrid w:val="0"/>
              <w:jc w:val="center"/>
              <w:rPr>
                <w:sz w:val="15"/>
              </w:rPr>
            </w:pPr>
            <w:r>
              <w:rPr>
                <w:rFonts w:hint="eastAsia"/>
                <w:sz w:val="15"/>
              </w:rPr>
              <w:t>2管节</w:t>
            </w:r>
          </w:p>
        </w:tc>
      </w:tr>
    </w:tbl>
    <w:p w14:paraId="24010083">
      <w:pPr>
        <w:spacing w:line="360" w:lineRule="auto"/>
        <w:jc w:val="center"/>
        <w:rPr>
          <w:kern w:val="0"/>
          <w:sz w:val="20"/>
          <w:lang w:bidi="ar"/>
        </w:rPr>
      </w:pPr>
    </w:p>
    <w:p w14:paraId="56A350B1">
      <w:pPr>
        <w:spacing w:line="360" w:lineRule="auto"/>
        <w:jc w:val="center"/>
        <w:rPr>
          <w:kern w:val="0"/>
          <w:sz w:val="20"/>
          <w:lang w:bidi="ar"/>
        </w:rPr>
      </w:pPr>
    </w:p>
    <w:p w14:paraId="43662F33">
      <w:pPr>
        <w:spacing w:line="360" w:lineRule="auto"/>
        <w:jc w:val="center"/>
      </w:pPr>
      <w:r>
        <w:rPr/>
        <w:br w:type="textWrapping" w:clear="all"/>
      </w:r>
    </w:p>
    <w:p w14:paraId="6E319F98">
      <w:pPr>
        <w:pageBreakBefore/>
        <w:snapToGrid w:val="0"/>
        <w:spacing w:line="288" w:lineRule="auto"/>
        <w:jc w:val="center"/>
        <w:outlineLvl w:val="0"/>
        <w:rPr>
          <w:rFonts w:eastAsia="黑体"/>
          <w:bCs/>
          <w:kern w:val="44"/>
          <w:sz w:val="26"/>
          <w:szCs w:val="26"/>
        </w:rPr>
      </w:pPr>
      <w:bookmarkStart w:id="382" w:name="_Toc185236614"/>
      <w:bookmarkStart w:id="383" w:name="_Toc188612094"/>
      <w:bookmarkStart w:id="384" w:name="_Toc185235663"/>
      <w:bookmarkStart w:id="385" w:name="_Toc188798565"/>
      <w:r>
        <w:rPr>
          <w:rFonts w:hint="eastAsia" w:eastAsia="黑体"/>
          <w:bCs/>
          <w:kern w:val="44"/>
          <w:sz w:val="26"/>
          <w:szCs w:val="26"/>
        </w:rPr>
        <w:t>附录B  施工记录</w:t>
      </w:r>
      <w:bookmarkEnd w:id="382"/>
      <w:bookmarkEnd w:id="383"/>
      <w:bookmarkEnd w:id="384"/>
      <w:bookmarkEnd w:id="385"/>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47012C14">
      <w:r>
        <w:t>B</w:t>
      </w:r>
      <w:r>
        <w:rPr>
          <w:rFonts w:hint="eastAsia"/>
        </w:rPr>
        <w:t xml:space="preserve">.0.1 </w:t>
      </w:r>
      <w:r>
        <w:rPr>
          <w:rFonts w:hint="eastAsia" w:ascii="Cambria Math" w:hAnsi="Cambria Math" w:cs="Cambria Math"/>
          <w:kern w:val="0"/>
          <w:lang w:bidi="ar"/>
        </w:rPr>
        <w:t>顶管施工过程中应填写顶管施工记录</w:t>
      </w:r>
      <w:r>
        <w:rPr>
          <w:rFonts w:hint="eastAsia"/>
        </w:rPr>
        <w:t>，见表B.0.1。</w:t>
      </w:r>
    </w:p>
    <w:p w14:paraId="3F66D52F">
      <w:pPr>
        <w:jc w:val="center"/>
      </w:pPr>
      <w:r>
        <w:rPr>
          <w:rFonts w:hint="eastAsia"/>
        </w:rPr>
        <w:t>表</w:t>
      </w:r>
      <w:r>
        <w:t>B</w:t>
      </w:r>
      <w:r>
        <w:rPr>
          <w:rFonts w:hint="eastAsia"/>
        </w:rPr>
        <w:t>.0.1 顶管施工记录</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62"/>
        <w:gridCol w:w="189"/>
        <w:gridCol w:w="850"/>
        <w:gridCol w:w="907"/>
        <w:gridCol w:w="136"/>
        <w:gridCol w:w="517"/>
        <w:gridCol w:w="469"/>
        <w:gridCol w:w="312"/>
        <w:gridCol w:w="99"/>
        <w:gridCol w:w="679"/>
        <w:gridCol w:w="709"/>
        <w:gridCol w:w="156"/>
        <w:gridCol w:w="275"/>
        <w:gridCol w:w="703"/>
        <w:gridCol w:w="219"/>
        <w:gridCol w:w="408"/>
        <w:gridCol w:w="365"/>
        <w:gridCol w:w="956"/>
      </w:tblGrid>
      <w:tr w14:paraId="54E0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635" w:type="dxa"/>
            <w:gridSpan w:val="14"/>
            <w:vAlign w:val="center"/>
          </w:tcPr>
          <w:p w14:paraId="1826A157">
            <w:pPr>
              <w:jc w:val="center"/>
            </w:pPr>
            <w:r>
              <w:rPr>
                <w:rFonts w:hint="eastAsia"/>
                <w:sz w:val="28"/>
              </w:rPr>
              <w:t>顶管施工记录</w:t>
            </w:r>
          </w:p>
        </w:tc>
        <w:tc>
          <w:tcPr>
            <w:tcW w:w="1330" w:type="dxa"/>
            <w:gridSpan w:val="3"/>
            <w:vAlign w:val="center"/>
          </w:tcPr>
          <w:p w14:paraId="61C0481E">
            <w:pPr>
              <w:jc w:val="center"/>
            </w:pPr>
            <w:r>
              <w:rPr>
                <w:rFonts w:hint="eastAsia"/>
              </w:rPr>
              <w:t>资料编号</w:t>
            </w:r>
          </w:p>
        </w:tc>
        <w:tc>
          <w:tcPr>
            <w:tcW w:w="1321" w:type="dxa"/>
            <w:gridSpan w:val="2"/>
            <w:vAlign w:val="center"/>
          </w:tcPr>
          <w:p w14:paraId="6125B430">
            <w:pPr>
              <w:jc w:val="center"/>
            </w:pPr>
          </w:p>
        </w:tc>
      </w:tr>
      <w:tr w14:paraId="60B6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26" w:type="dxa"/>
            <w:gridSpan w:val="3"/>
            <w:vAlign w:val="center"/>
          </w:tcPr>
          <w:p w14:paraId="1CF50C95">
            <w:pPr>
              <w:jc w:val="center"/>
            </w:pPr>
            <w:r>
              <w:rPr>
                <w:rFonts w:hint="eastAsia"/>
              </w:rPr>
              <w:t>工程名称</w:t>
            </w:r>
          </w:p>
        </w:tc>
        <w:tc>
          <w:tcPr>
            <w:tcW w:w="7760" w:type="dxa"/>
            <w:gridSpan w:val="16"/>
            <w:vAlign w:val="center"/>
          </w:tcPr>
          <w:p w14:paraId="56867A37">
            <w:pPr>
              <w:jc w:val="center"/>
            </w:pPr>
          </w:p>
        </w:tc>
      </w:tr>
      <w:tr w14:paraId="5E34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26" w:type="dxa"/>
            <w:gridSpan w:val="3"/>
            <w:vAlign w:val="center"/>
          </w:tcPr>
          <w:p w14:paraId="41B854F6">
            <w:pPr>
              <w:jc w:val="center"/>
            </w:pPr>
            <w:r>
              <w:rPr>
                <w:rFonts w:hint="eastAsia"/>
              </w:rPr>
              <w:t>施工单位</w:t>
            </w:r>
          </w:p>
        </w:tc>
        <w:tc>
          <w:tcPr>
            <w:tcW w:w="7760" w:type="dxa"/>
            <w:gridSpan w:val="16"/>
            <w:vAlign w:val="center"/>
          </w:tcPr>
          <w:p w14:paraId="05C859AA">
            <w:pPr>
              <w:jc w:val="center"/>
            </w:pPr>
          </w:p>
        </w:tc>
      </w:tr>
      <w:tr w14:paraId="2129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26" w:type="dxa"/>
            <w:gridSpan w:val="3"/>
            <w:vAlign w:val="center"/>
          </w:tcPr>
          <w:p w14:paraId="2D4BB3DD">
            <w:pPr>
              <w:jc w:val="center"/>
            </w:pPr>
            <w:r>
              <w:rPr>
                <w:rFonts w:hint="eastAsia"/>
              </w:rPr>
              <w:t>位置</w:t>
            </w:r>
          </w:p>
        </w:tc>
        <w:tc>
          <w:tcPr>
            <w:tcW w:w="1893" w:type="dxa"/>
            <w:gridSpan w:val="3"/>
            <w:vAlign w:val="center"/>
          </w:tcPr>
          <w:p w14:paraId="300D4245">
            <w:pPr>
              <w:jc w:val="center"/>
            </w:pPr>
          </w:p>
        </w:tc>
        <w:tc>
          <w:tcPr>
            <w:tcW w:w="1397" w:type="dxa"/>
            <w:gridSpan w:val="4"/>
            <w:vAlign w:val="center"/>
          </w:tcPr>
          <w:p w14:paraId="4728F3AC">
            <w:pPr>
              <w:jc w:val="center"/>
            </w:pPr>
            <w:r>
              <w:rPr>
                <w:rFonts w:hint="eastAsia"/>
              </w:rPr>
              <w:t>管材</w:t>
            </w:r>
          </w:p>
        </w:tc>
        <w:tc>
          <w:tcPr>
            <w:tcW w:w="1819" w:type="dxa"/>
            <w:gridSpan w:val="4"/>
            <w:vAlign w:val="center"/>
          </w:tcPr>
          <w:p w14:paraId="15DA5D4F">
            <w:pPr>
              <w:jc w:val="center"/>
            </w:pPr>
          </w:p>
        </w:tc>
        <w:tc>
          <w:tcPr>
            <w:tcW w:w="1330" w:type="dxa"/>
            <w:gridSpan w:val="3"/>
            <w:vAlign w:val="center"/>
          </w:tcPr>
          <w:p w14:paraId="5EC87834">
            <w:pPr>
              <w:jc w:val="center"/>
            </w:pPr>
            <w:r>
              <w:rPr>
                <w:rFonts w:hint="eastAsia"/>
              </w:rPr>
              <w:t>管节规格</w:t>
            </w:r>
          </w:p>
        </w:tc>
        <w:tc>
          <w:tcPr>
            <w:tcW w:w="1321" w:type="dxa"/>
            <w:gridSpan w:val="2"/>
            <w:vAlign w:val="center"/>
          </w:tcPr>
          <w:p w14:paraId="082610CA">
            <w:pPr>
              <w:jc w:val="center"/>
            </w:pPr>
          </w:p>
        </w:tc>
      </w:tr>
      <w:tr w14:paraId="15EB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26" w:type="dxa"/>
            <w:gridSpan w:val="3"/>
            <w:vAlign w:val="center"/>
          </w:tcPr>
          <w:p w14:paraId="0E783CBF">
            <w:pPr>
              <w:jc w:val="center"/>
            </w:pPr>
            <w:r>
              <w:rPr>
                <w:rFonts w:hint="eastAsia"/>
              </w:rPr>
              <w:t>顶进设备规格</w:t>
            </w:r>
          </w:p>
        </w:tc>
        <w:tc>
          <w:tcPr>
            <w:tcW w:w="1893" w:type="dxa"/>
            <w:gridSpan w:val="3"/>
            <w:vAlign w:val="center"/>
          </w:tcPr>
          <w:p w14:paraId="26E5F828">
            <w:pPr>
              <w:jc w:val="center"/>
            </w:pPr>
          </w:p>
        </w:tc>
        <w:tc>
          <w:tcPr>
            <w:tcW w:w="1397" w:type="dxa"/>
            <w:gridSpan w:val="4"/>
            <w:vAlign w:val="center"/>
          </w:tcPr>
          <w:p w14:paraId="1BBC20DF">
            <w:pPr>
              <w:jc w:val="center"/>
            </w:pPr>
            <w:r>
              <w:rPr>
                <w:rFonts w:hint="eastAsia"/>
              </w:rPr>
              <w:t>顶进推力</w:t>
            </w:r>
          </w:p>
        </w:tc>
        <w:tc>
          <w:tcPr>
            <w:tcW w:w="1819" w:type="dxa"/>
            <w:gridSpan w:val="4"/>
            <w:vAlign w:val="center"/>
          </w:tcPr>
          <w:p w14:paraId="13DD29DA">
            <w:pPr>
              <w:jc w:val="center"/>
            </w:pPr>
          </w:p>
        </w:tc>
        <w:tc>
          <w:tcPr>
            <w:tcW w:w="1330" w:type="dxa"/>
            <w:gridSpan w:val="3"/>
            <w:vAlign w:val="center"/>
          </w:tcPr>
          <w:p w14:paraId="0E3166A9">
            <w:pPr>
              <w:jc w:val="center"/>
            </w:pPr>
            <w:r>
              <w:rPr>
                <w:rFonts w:hint="eastAsia"/>
              </w:rPr>
              <w:t>顶进措施</w:t>
            </w:r>
          </w:p>
        </w:tc>
        <w:tc>
          <w:tcPr>
            <w:tcW w:w="1321" w:type="dxa"/>
            <w:gridSpan w:val="2"/>
            <w:vAlign w:val="center"/>
          </w:tcPr>
          <w:p w14:paraId="3938502B">
            <w:pPr>
              <w:jc w:val="center"/>
            </w:pPr>
          </w:p>
        </w:tc>
      </w:tr>
      <w:tr w14:paraId="5183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26" w:type="dxa"/>
            <w:gridSpan w:val="3"/>
            <w:vAlign w:val="center"/>
          </w:tcPr>
          <w:p w14:paraId="604C3A1D">
            <w:pPr>
              <w:jc w:val="center"/>
            </w:pPr>
            <w:r>
              <w:rPr>
                <w:rFonts w:hint="eastAsia"/>
              </w:rPr>
              <w:t>接口形式</w:t>
            </w:r>
          </w:p>
        </w:tc>
        <w:tc>
          <w:tcPr>
            <w:tcW w:w="1893" w:type="dxa"/>
            <w:gridSpan w:val="3"/>
            <w:vAlign w:val="center"/>
          </w:tcPr>
          <w:p w14:paraId="667B650E">
            <w:pPr>
              <w:jc w:val="center"/>
            </w:pPr>
          </w:p>
        </w:tc>
        <w:tc>
          <w:tcPr>
            <w:tcW w:w="1397" w:type="dxa"/>
            <w:gridSpan w:val="4"/>
            <w:vAlign w:val="center"/>
          </w:tcPr>
          <w:p w14:paraId="0CEF6FF3">
            <w:pPr>
              <w:jc w:val="center"/>
            </w:pPr>
            <w:r>
              <w:rPr>
                <w:rFonts w:hint="eastAsia"/>
              </w:rPr>
              <w:t>土质</w:t>
            </w:r>
          </w:p>
        </w:tc>
        <w:tc>
          <w:tcPr>
            <w:tcW w:w="1819" w:type="dxa"/>
            <w:gridSpan w:val="4"/>
            <w:vAlign w:val="center"/>
          </w:tcPr>
          <w:p w14:paraId="06B3E569">
            <w:pPr>
              <w:jc w:val="center"/>
            </w:pPr>
          </w:p>
        </w:tc>
        <w:tc>
          <w:tcPr>
            <w:tcW w:w="1330" w:type="dxa"/>
            <w:gridSpan w:val="3"/>
            <w:vAlign w:val="center"/>
          </w:tcPr>
          <w:p w14:paraId="7D224CD0">
            <w:pPr>
              <w:jc w:val="center"/>
            </w:pPr>
            <w:r>
              <w:rPr>
                <w:rFonts w:hint="eastAsia"/>
              </w:rPr>
              <w:t>水文状况</w:t>
            </w:r>
          </w:p>
        </w:tc>
        <w:tc>
          <w:tcPr>
            <w:tcW w:w="1321" w:type="dxa"/>
            <w:gridSpan w:val="2"/>
            <w:vAlign w:val="center"/>
          </w:tcPr>
          <w:p w14:paraId="10E2041D">
            <w:pPr>
              <w:jc w:val="center"/>
            </w:pPr>
          </w:p>
        </w:tc>
      </w:tr>
      <w:tr w14:paraId="7DB2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Merge w:val="restart"/>
            <w:vAlign w:val="center"/>
          </w:tcPr>
          <w:p w14:paraId="112040A2">
            <w:pPr>
              <w:jc w:val="center"/>
              <w:rPr>
                <w:sz w:val="16"/>
              </w:rPr>
            </w:pPr>
            <w:r>
              <w:rPr>
                <w:rFonts w:hint="eastAsia"/>
                <w:sz w:val="16"/>
              </w:rPr>
              <w:t>日期</w:t>
            </w:r>
          </w:p>
          <w:p w14:paraId="408978EC">
            <w:pPr>
              <w:jc w:val="center"/>
              <w:rPr>
                <w:sz w:val="16"/>
              </w:rPr>
            </w:pPr>
            <w:r>
              <w:rPr>
                <w:rFonts w:hint="eastAsia"/>
                <w:sz w:val="16"/>
              </w:rPr>
              <w:t>月</w:t>
            </w:r>
            <w:r>
              <w:rPr>
                <w:sz w:val="16"/>
              </w:rPr>
              <w:t>/</w:t>
            </w:r>
            <w:r>
              <w:rPr>
                <w:rFonts w:hint="eastAsia"/>
                <w:sz w:val="16"/>
              </w:rPr>
              <w:t>日</w:t>
            </w:r>
          </w:p>
        </w:tc>
        <w:tc>
          <w:tcPr>
            <w:tcW w:w="851" w:type="dxa"/>
            <w:gridSpan w:val="2"/>
            <w:vMerge w:val="restart"/>
            <w:vAlign w:val="center"/>
          </w:tcPr>
          <w:p w14:paraId="144EEB74">
            <w:pPr>
              <w:jc w:val="center"/>
              <w:rPr>
                <w:sz w:val="16"/>
              </w:rPr>
            </w:pPr>
            <w:r>
              <w:rPr>
                <w:rFonts w:hint="eastAsia"/>
                <w:sz w:val="16"/>
              </w:rPr>
              <w:t>班次</w:t>
            </w:r>
          </w:p>
        </w:tc>
        <w:tc>
          <w:tcPr>
            <w:tcW w:w="850" w:type="dxa"/>
            <w:vMerge w:val="restart"/>
            <w:vAlign w:val="center"/>
          </w:tcPr>
          <w:p w14:paraId="40D05B27">
            <w:pPr>
              <w:jc w:val="center"/>
              <w:rPr>
                <w:sz w:val="16"/>
              </w:rPr>
            </w:pPr>
            <w:r>
              <w:rPr>
                <w:rFonts w:hint="eastAsia"/>
                <w:sz w:val="16"/>
              </w:rPr>
              <w:t>进尺（</w:t>
            </w:r>
            <w:r>
              <w:rPr>
                <w:sz w:val="16"/>
              </w:rPr>
              <w:t>m</w:t>
            </w:r>
            <w:r>
              <w:rPr>
                <w:rFonts w:hint="eastAsia"/>
                <w:sz w:val="16"/>
              </w:rPr>
              <w:t>）</w:t>
            </w:r>
          </w:p>
        </w:tc>
        <w:tc>
          <w:tcPr>
            <w:tcW w:w="907" w:type="dxa"/>
            <w:vMerge w:val="restart"/>
            <w:vAlign w:val="center"/>
          </w:tcPr>
          <w:p w14:paraId="1717DE2C">
            <w:pPr>
              <w:jc w:val="center"/>
              <w:rPr>
                <w:sz w:val="16"/>
              </w:rPr>
            </w:pPr>
            <w:r>
              <w:rPr>
                <w:rFonts w:hint="eastAsia"/>
                <w:sz w:val="16"/>
              </w:rPr>
              <w:t>累计进尺（</w:t>
            </w:r>
            <w:r>
              <w:rPr>
                <w:sz w:val="16"/>
              </w:rPr>
              <w:t>m</w:t>
            </w:r>
            <w:r>
              <w:rPr>
                <w:rFonts w:hint="eastAsia"/>
                <w:sz w:val="16"/>
              </w:rPr>
              <w:t>）</w:t>
            </w:r>
          </w:p>
        </w:tc>
        <w:tc>
          <w:tcPr>
            <w:tcW w:w="1434" w:type="dxa"/>
            <w:gridSpan w:val="4"/>
            <w:vAlign w:val="center"/>
          </w:tcPr>
          <w:p w14:paraId="1B51EC97">
            <w:pPr>
              <w:jc w:val="center"/>
              <w:rPr>
                <w:sz w:val="16"/>
              </w:rPr>
            </w:pPr>
            <w:r>
              <w:rPr>
                <w:rFonts w:hint="eastAsia"/>
                <w:sz w:val="16"/>
              </w:rPr>
              <w:t>中心水平偏差（</w:t>
            </w:r>
            <w:r>
              <w:rPr>
                <w:sz w:val="16"/>
              </w:rPr>
              <w:t>mm</w:t>
            </w:r>
            <w:r>
              <w:rPr>
                <w:rFonts w:hint="eastAsia"/>
                <w:sz w:val="16"/>
              </w:rPr>
              <w:t>）</w:t>
            </w:r>
          </w:p>
        </w:tc>
        <w:tc>
          <w:tcPr>
            <w:tcW w:w="1487" w:type="dxa"/>
            <w:gridSpan w:val="3"/>
            <w:vAlign w:val="center"/>
          </w:tcPr>
          <w:p w14:paraId="32591B89">
            <w:pPr>
              <w:jc w:val="center"/>
              <w:rPr>
                <w:sz w:val="16"/>
              </w:rPr>
            </w:pPr>
            <w:r>
              <w:rPr>
                <w:rFonts w:hint="eastAsia"/>
                <w:sz w:val="16"/>
              </w:rPr>
              <w:t>结构内底高程偏差（</w:t>
            </w:r>
            <w:r>
              <w:rPr>
                <w:sz w:val="16"/>
              </w:rPr>
              <w:t>mm</w:t>
            </w:r>
            <w:r>
              <w:rPr>
                <w:rFonts w:hint="eastAsia"/>
                <w:sz w:val="16"/>
              </w:rPr>
              <w:t>）</w:t>
            </w:r>
          </w:p>
        </w:tc>
        <w:tc>
          <w:tcPr>
            <w:tcW w:w="1134" w:type="dxa"/>
            <w:gridSpan w:val="3"/>
            <w:vMerge w:val="restart"/>
            <w:vAlign w:val="center"/>
          </w:tcPr>
          <w:p w14:paraId="1CE22EBB">
            <w:pPr>
              <w:jc w:val="center"/>
              <w:rPr>
                <w:sz w:val="16"/>
              </w:rPr>
            </w:pPr>
            <w:r>
              <w:rPr>
                <w:rFonts w:hint="eastAsia"/>
                <w:sz w:val="16"/>
              </w:rPr>
              <w:t>相邻管节错口（mm）</w:t>
            </w:r>
          </w:p>
        </w:tc>
        <w:tc>
          <w:tcPr>
            <w:tcW w:w="992" w:type="dxa"/>
            <w:gridSpan w:val="3"/>
            <w:vMerge w:val="restart"/>
            <w:vAlign w:val="center"/>
          </w:tcPr>
          <w:p w14:paraId="054C775D">
            <w:pPr>
              <w:jc w:val="center"/>
              <w:rPr>
                <w:sz w:val="16"/>
              </w:rPr>
            </w:pPr>
            <w:r>
              <w:rPr>
                <w:rFonts w:hint="eastAsia"/>
                <w:sz w:val="16"/>
              </w:rPr>
              <w:t>最大顶力（t）</w:t>
            </w:r>
          </w:p>
        </w:tc>
        <w:tc>
          <w:tcPr>
            <w:tcW w:w="956" w:type="dxa"/>
            <w:vMerge w:val="restart"/>
            <w:vAlign w:val="center"/>
          </w:tcPr>
          <w:p w14:paraId="0AF0765C">
            <w:pPr>
              <w:jc w:val="center"/>
              <w:rPr>
                <w:sz w:val="16"/>
              </w:rPr>
            </w:pPr>
            <w:r>
              <w:rPr>
                <w:rFonts w:hint="eastAsia"/>
                <w:sz w:val="16"/>
              </w:rPr>
              <w:t>发生意外情况及采取的措施</w:t>
            </w:r>
          </w:p>
        </w:tc>
      </w:tr>
      <w:tr w14:paraId="4501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Merge w:val="continue"/>
            <w:vAlign w:val="center"/>
          </w:tcPr>
          <w:p w14:paraId="5C53929C">
            <w:pPr>
              <w:jc w:val="center"/>
            </w:pPr>
          </w:p>
        </w:tc>
        <w:tc>
          <w:tcPr>
            <w:tcW w:w="851" w:type="dxa"/>
            <w:gridSpan w:val="2"/>
            <w:vMerge w:val="continue"/>
            <w:vAlign w:val="center"/>
          </w:tcPr>
          <w:p w14:paraId="7AA2680B">
            <w:pPr>
              <w:jc w:val="center"/>
            </w:pPr>
          </w:p>
        </w:tc>
        <w:tc>
          <w:tcPr>
            <w:tcW w:w="850" w:type="dxa"/>
            <w:vMerge w:val="continue"/>
            <w:vAlign w:val="center"/>
          </w:tcPr>
          <w:p w14:paraId="103AE890">
            <w:pPr>
              <w:jc w:val="center"/>
            </w:pPr>
          </w:p>
        </w:tc>
        <w:tc>
          <w:tcPr>
            <w:tcW w:w="907" w:type="dxa"/>
            <w:vMerge w:val="continue"/>
            <w:vAlign w:val="center"/>
          </w:tcPr>
          <w:p w14:paraId="1B97E2FA">
            <w:pPr>
              <w:jc w:val="center"/>
            </w:pPr>
          </w:p>
        </w:tc>
        <w:tc>
          <w:tcPr>
            <w:tcW w:w="653" w:type="dxa"/>
            <w:gridSpan w:val="2"/>
            <w:vAlign w:val="center"/>
          </w:tcPr>
          <w:p w14:paraId="48EDC55D">
            <w:pPr>
              <w:jc w:val="center"/>
            </w:pPr>
            <w:r>
              <w:rPr>
                <w:rFonts w:hint="eastAsia"/>
              </w:rPr>
              <w:t>偏左</w:t>
            </w:r>
          </w:p>
        </w:tc>
        <w:tc>
          <w:tcPr>
            <w:tcW w:w="781" w:type="dxa"/>
            <w:gridSpan w:val="2"/>
            <w:vAlign w:val="center"/>
          </w:tcPr>
          <w:p w14:paraId="42DE6AF6">
            <w:pPr>
              <w:jc w:val="center"/>
            </w:pPr>
            <w:r>
              <w:rPr>
                <w:rFonts w:hint="eastAsia"/>
              </w:rPr>
              <w:t>偏右</w:t>
            </w:r>
          </w:p>
        </w:tc>
        <w:tc>
          <w:tcPr>
            <w:tcW w:w="778" w:type="dxa"/>
            <w:gridSpan w:val="2"/>
            <w:vAlign w:val="center"/>
          </w:tcPr>
          <w:p w14:paraId="4F622D1E">
            <w:pPr>
              <w:jc w:val="center"/>
            </w:pPr>
            <w:r>
              <w:rPr>
                <w:rFonts w:hint="eastAsia"/>
              </w:rPr>
              <w:t>（+）</w:t>
            </w:r>
          </w:p>
        </w:tc>
        <w:tc>
          <w:tcPr>
            <w:tcW w:w="709" w:type="dxa"/>
            <w:vAlign w:val="center"/>
          </w:tcPr>
          <w:p w14:paraId="0BD94C70">
            <w:pPr>
              <w:jc w:val="center"/>
            </w:pPr>
            <w:r>
              <w:rPr>
                <w:rFonts w:hint="eastAsia"/>
              </w:rPr>
              <w:t>（-）</w:t>
            </w:r>
          </w:p>
        </w:tc>
        <w:tc>
          <w:tcPr>
            <w:tcW w:w="1134" w:type="dxa"/>
            <w:gridSpan w:val="3"/>
            <w:vMerge w:val="continue"/>
            <w:vAlign w:val="center"/>
          </w:tcPr>
          <w:p w14:paraId="42DA48A2">
            <w:pPr>
              <w:jc w:val="center"/>
            </w:pPr>
          </w:p>
        </w:tc>
        <w:tc>
          <w:tcPr>
            <w:tcW w:w="992" w:type="dxa"/>
            <w:gridSpan w:val="3"/>
            <w:vMerge w:val="continue"/>
            <w:vAlign w:val="center"/>
          </w:tcPr>
          <w:p w14:paraId="679FC90A">
            <w:pPr>
              <w:jc w:val="center"/>
            </w:pPr>
          </w:p>
        </w:tc>
        <w:tc>
          <w:tcPr>
            <w:tcW w:w="956" w:type="dxa"/>
            <w:vMerge w:val="continue"/>
            <w:vAlign w:val="center"/>
          </w:tcPr>
          <w:p w14:paraId="6643A3E9">
            <w:pPr>
              <w:jc w:val="center"/>
            </w:pPr>
          </w:p>
        </w:tc>
      </w:tr>
      <w:tr w14:paraId="10BF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1BE95E38">
            <w:pPr>
              <w:jc w:val="center"/>
            </w:pPr>
          </w:p>
        </w:tc>
        <w:tc>
          <w:tcPr>
            <w:tcW w:w="851" w:type="dxa"/>
            <w:gridSpan w:val="2"/>
            <w:vAlign w:val="center"/>
          </w:tcPr>
          <w:p w14:paraId="6A4A2C12">
            <w:pPr>
              <w:jc w:val="center"/>
            </w:pPr>
          </w:p>
        </w:tc>
        <w:tc>
          <w:tcPr>
            <w:tcW w:w="850" w:type="dxa"/>
            <w:vAlign w:val="center"/>
          </w:tcPr>
          <w:p w14:paraId="35B83D3A">
            <w:pPr>
              <w:jc w:val="center"/>
            </w:pPr>
          </w:p>
        </w:tc>
        <w:tc>
          <w:tcPr>
            <w:tcW w:w="907" w:type="dxa"/>
            <w:vAlign w:val="center"/>
          </w:tcPr>
          <w:p w14:paraId="1E8EBF97">
            <w:pPr>
              <w:jc w:val="center"/>
            </w:pPr>
          </w:p>
        </w:tc>
        <w:tc>
          <w:tcPr>
            <w:tcW w:w="653" w:type="dxa"/>
            <w:gridSpan w:val="2"/>
            <w:vAlign w:val="center"/>
          </w:tcPr>
          <w:p w14:paraId="67362132">
            <w:pPr>
              <w:jc w:val="center"/>
            </w:pPr>
          </w:p>
        </w:tc>
        <w:tc>
          <w:tcPr>
            <w:tcW w:w="781" w:type="dxa"/>
            <w:gridSpan w:val="2"/>
            <w:vAlign w:val="center"/>
          </w:tcPr>
          <w:p w14:paraId="7BE62E21">
            <w:pPr>
              <w:jc w:val="center"/>
            </w:pPr>
          </w:p>
        </w:tc>
        <w:tc>
          <w:tcPr>
            <w:tcW w:w="778" w:type="dxa"/>
            <w:gridSpan w:val="2"/>
            <w:vAlign w:val="center"/>
          </w:tcPr>
          <w:p w14:paraId="19709389">
            <w:pPr>
              <w:jc w:val="center"/>
            </w:pPr>
          </w:p>
        </w:tc>
        <w:tc>
          <w:tcPr>
            <w:tcW w:w="709" w:type="dxa"/>
            <w:vAlign w:val="center"/>
          </w:tcPr>
          <w:p w14:paraId="528CC9FD">
            <w:pPr>
              <w:jc w:val="center"/>
            </w:pPr>
          </w:p>
        </w:tc>
        <w:tc>
          <w:tcPr>
            <w:tcW w:w="1134" w:type="dxa"/>
            <w:gridSpan w:val="3"/>
            <w:vAlign w:val="center"/>
          </w:tcPr>
          <w:p w14:paraId="111D3E02">
            <w:pPr>
              <w:jc w:val="center"/>
            </w:pPr>
          </w:p>
        </w:tc>
        <w:tc>
          <w:tcPr>
            <w:tcW w:w="992" w:type="dxa"/>
            <w:gridSpan w:val="3"/>
            <w:vAlign w:val="center"/>
          </w:tcPr>
          <w:p w14:paraId="4D0175CB">
            <w:pPr>
              <w:jc w:val="center"/>
            </w:pPr>
          </w:p>
        </w:tc>
        <w:tc>
          <w:tcPr>
            <w:tcW w:w="956" w:type="dxa"/>
            <w:vAlign w:val="center"/>
          </w:tcPr>
          <w:p w14:paraId="69431EC8">
            <w:pPr>
              <w:jc w:val="center"/>
            </w:pPr>
          </w:p>
        </w:tc>
      </w:tr>
      <w:tr w14:paraId="5019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6CDA45C1">
            <w:pPr>
              <w:jc w:val="center"/>
            </w:pPr>
          </w:p>
        </w:tc>
        <w:tc>
          <w:tcPr>
            <w:tcW w:w="851" w:type="dxa"/>
            <w:gridSpan w:val="2"/>
            <w:vAlign w:val="center"/>
          </w:tcPr>
          <w:p w14:paraId="33567F7E">
            <w:pPr>
              <w:jc w:val="center"/>
            </w:pPr>
          </w:p>
        </w:tc>
        <w:tc>
          <w:tcPr>
            <w:tcW w:w="850" w:type="dxa"/>
            <w:vAlign w:val="center"/>
          </w:tcPr>
          <w:p w14:paraId="69191E61">
            <w:pPr>
              <w:jc w:val="center"/>
            </w:pPr>
          </w:p>
        </w:tc>
        <w:tc>
          <w:tcPr>
            <w:tcW w:w="907" w:type="dxa"/>
            <w:vAlign w:val="center"/>
          </w:tcPr>
          <w:p w14:paraId="3BD935DD">
            <w:pPr>
              <w:jc w:val="center"/>
            </w:pPr>
          </w:p>
        </w:tc>
        <w:tc>
          <w:tcPr>
            <w:tcW w:w="653" w:type="dxa"/>
            <w:gridSpan w:val="2"/>
            <w:vAlign w:val="center"/>
          </w:tcPr>
          <w:p w14:paraId="4BA36880">
            <w:pPr>
              <w:jc w:val="center"/>
            </w:pPr>
          </w:p>
        </w:tc>
        <w:tc>
          <w:tcPr>
            <w:tcW w:w="781" w:type="dxa"/>
            <w:gridSpan w:val="2"/>
            <w:vAlign w:val="center"/>
          </w:tcPr>
          <w:p w14:paraId="22E928D7">
            <w:pPr>
              <w:jc w:val="center"/>
            </w:pPr>
          </w:p>
        </w:tc>
        <w:tc>
          <w:tcPr>
            <w:tcW w:w="778" w:type="dxa"/>
            <w:gridSpan w:val="2"/>
            <w:vAlign w:val="center"/>
          </w:tcPr>
          <w:p w14:paraId="4FEAF60F">
            <w:pPr>
              <w:jc w:val="center"/>
            </w:pPr>
          </w:p>
        </w:tc>
        <w:tc>
          <w:tcPr>
            <w:tcW w:w="709" w:type="dxa"/>
            <w:vAlign w:val="center"/>
          </w:tcPr>
          <w:p w14:paraId="41074269">
            <w:pPr>
              <w:jc w:val="center"/>
            </w:pPr>
          </w:p>
        </w:tc>
        <w:tc>
          <w:tcPr>
            <w:tcW w:w="1134" w:type="dxa"/>
            <w:gridSpan w:val="3"/>
            <w:vAlign w:val="center"/>
          </w:tcPr>
          <w:p w14:paraId="2416A27E">
            <w:pPr>
              <w:jc w:val="center"/>
            </w:pPr>
          </w:p>
        </w:tc>
        <w:tc>
          <w:tcPr>
            <w:tcW w:w="992" w:type="dxa"/>
            <w:gridSpan w:val="3"/>
            <w:vAlign w:val="center"/>
          </w:tcPr>
          <w:p w14:paraId="58977B86">
            <w:pPr>
              <w:jc w:val="center"/>
            </w:pPr>
          </w:p>
        </w:tc>
        <w:tc>
          <w:tcPr>
            <w:tcW w:w="956" w:type="dxa"/>
            <w:vAlign w:val="center"/>
          </w:tcPr>
          <w:p w14:paraId="60D4F067">
            <w:pPr>
              <w:jc w:val="center"/>
            </w:pPr>
          </w:p>
        </w:tc>
      </w:tr>
      <w:tr w14:paraId="0301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343864B9">
            <w:pPr>
              <w:jc w:val="center"/>
            </w:pPr>
          </w:p>
        </w:tc>
        <w:tc>
          <w:tcPr>
            <w:tcW w:w="851" w:type="dxa"/>
            <w:gridSpan w:val="2"/>
            <w:vAlign w:val="center"/>
          </w:tcPr>
          <w:p w14:paraId="3590971E">
            <w:pPr>
              <w:jc w:val="center"/>
            </w:pPr>
          </w:p>
        </w:tc>
        <w:tc>
          <w:tcPr>
            <w:tcW w:w="850" w:type="dxa"/>
            <w:vAlign w:val="center"/>
          </w:tcPr>
          <w:p w14:paraId="582D6A76">
            <w:pPr>
              <w:jc w:val="center"/>
            </w:pPr>
          </w:p>
        </w:tc>
        <w:tc>
          <w:tcPr>
            <w:tcW w:w="907" w:type="dxa"/>
            <w:vAlign w:val="center"/>
          </w:tcPr>
          <w:p w14:paraId="4A6894EE">
            <w:pPr>
              <w:jc w:val="center"/>
            </w:pPr>
          </w:p>
        </w:tc>
        <w:tc>
          <w:tcPr>
            <w:tcW w:w="653" w:type="dxa"/>
            <w:gridSpan w:val="2"/>
            <w:vAlign w:val="center"/>
          </w:tcPr>
          <w:p w14:paraId="1A4982F4">
            <w:pPr>
              <w:jc w:val="center"/>
            </w:pPr>
          </w:p>
        </w:tc>
        <w:tc>
          <w:tcPr>
            <w:tcW w:w="781" w:type="dxa"/>
            <w:gridSpan w:val="2"/>
            <w:vAlign w:val="center"/>
          </w:tcPr>
          <w:p w14:paraId="487DADC0">
            <w:pPr>
              <w:jc w:val="center"/>
            </w:pPr>
          </w:p>
        </w:tc>
        <w:tc>
          <w:tcPr>
            <w:tcW w:w="778" w:type="dxa"/>
            <w:gridSpan w:val="2"/>
            <w:vAlign w:val="center"/>
          </w:tcPr>
          <w:p w14:paraId="28E9AA52">
            <w:pPr>
              <w:jc w:val="center"/>
            </w:pPr>
          </w:p>
        </w:tc>
        <w:tc>
          <w:tcPr>
            <w:tcW w:w="709" w:type="dxa"/>
            <w:vAlign w:val="center"/>
          </w:tcPr>
          <w:p w14:paraId="3463B1CF">
            <w:pPr>
              <w:jc w:val="center"/>
            </w:pPr>
          </w:p>
        </w:tc>
        <w:tc>
          <w:tcPr>
            <w:tcW w:w="1134" w:type="dxa"/>
            <w:gridSpan w:val="3"/>
            <w:vAlign w:val="center"/>
          </w:tcPr>
          <w:p w14:paraId="55076DFE">
            <w:pPr>
              <w:jc w:val="center"/>
            </w:pPr>
          </w:p>
        </w:tc>
        <w:tc>
          <w:tcPr>
            <w:tcW w:w="992" w:type="dxa"/>
            <w:gridSpan w:val="3"/>
            <w:vAlign w:val="center"/>
          </w:tcPr>
          <w:p w14:paraId="05378F0F">
            <w:pPr>
              <w:jc w:val="center"/>
            </w:pPr>
          </w:p>
        </w:tc>
        <w:tc>
          <w:tcPr>
            <w:tcW w:w="956" w:type="dxa"/>
            <w:vAlign w:val="center"/>
          </w:tcPr>
          <w:p w14:paraId="59EAF18F">
            <w:pPr>
              <w:jc w:val="center"/>
            </w:pPr>
          </w:p>
        </w:tc>
      </w:tr>
      <w:tr w14:paraId="4729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4825E38E">
            <w:pPr>
              <w:jc w:val="center"/>
            </w:pPr>
          </w:p>
        </w:tc>
        <w:tc>
          <w:tcPr>
            <w:tcW w:w="851" w:type="dxa"/>
            <w:gridSpan w:val="2"/>
            <w:vAlign w:val="center"/>
          </w:tcPr>
          <w:p w14:paraId="43621542">
            <w:pPr>
              <w:jc w:val="center"/>
            </w:pPr>
          </w:p>
        </w:tc>
        <w:tc>
          <w:tcPr>
            <w:tcW w:w="850" w:type="dxa"/>
            <w:vAlign w:val="center"/>
          </w:tcPr>
          <w:p w14:paraId="7922F4CA">
            <w:pPr>
              <w:jc w:val="center"/>
            </w:pPr>
          </w:p>
        </w:tc>
        <w:tc>
          <w:tcPr>
            <w:tcW w:w="907" w:type="dxa"/>
            <w:vAlign w:val="center"/>
          </w:tcPr>
          <w:p w14:paraId="1C6CD66A">
            <w:pPr>
              <w:jc w:val="center"/>
            </w:pPr>
          </w:p>
        </w:tc>
        <w:tc>
          <w:tcPr>
            <w:tcW w:w="653" w:type="dxa"/>
            <w:gridSpan w:val="2"/>
            <w:vAlign w:val="center"/>
          </w:tcPr>
          <w:p w14:paraId="0D6A829C">
            <w:pPr>
              <w:jc w:val="center"/>
            </w:pPr>
          </w:p>
        </w:tc>
        <w:tc>
          <w:tcPr>
            <w:tcW w:w="781" w:type="dxa"/>
            <w:gridSpan w:val="2"/>
            <w:vAlign w:val="center"/>
          </w:tcPr>
          <w:p w14:paraId="6A6E9012">
            <w:pPr>
              <w:jc w:val="center"/>
            </w:pPr>
          </w:p>
        </w:tc>
        <w:tc>
          <w:tcPr>
            <w:tcW w:w="778" w:type="dxa"/>
            <w:gridSpan w:val="2"/>
            <w:vAlign w:val="center"/>
          </w:tcPr>
          <w:p w14:paraId="0B7D3D0C">
            <w:pPr>
              <w:jc w:val="center"/>
            </w:pPr>
          </w:p>
        </w:tc>
        <w:tc>
          <w:tcPr>
            <w:tcW w:w="709" w:type="dxa"/>
            <w:vAlign w:val="center"/>
          </w:tcPr>
          <w:p w14:paraId="09B22C0C">
            <w:pPr>
              <w:jc w:val="center"/>
            </w:pPr>
          </w:p>
        </w:tc>
        <w:tc>
          <w:tcPr>
            <w:tcW w:w="1134" w:type="dxa"/>
            <w:gridSpan w:val="3"/>
            <w:vAlign w:val="center"/>
          </w:tcPr>
          <w:p w14:paraId="17AEEE12">
            <w:pPr>
              <w:jc w:val="center"/>
            </w:pPr>
          </w:p>
        </w:tc>
        <w:tc>
          <w:tcPr>
            <w:tcW w:w="992" w:type="dxa"/>
            <w:gridSpan w:val="3"/>
            <w:vAlign w:val="center"/>
          </w:tcPr>
          <w:p w14:paraId="746ECCBC">
            <w:pPr>
              <w:jc w:val="center"/>
            </w:pPr>
          </w:p>
        </w:tc>
        <w:tc>
          <w:tcPr>
            <w:tcW w:w="956" w:type="dxa"/>
            <w:vAlign w:val="center"/>
          </w:tcPr>
          <w:p w14:paraId="6595E4AB">
            <w:pPr>
              <w:jc w:val="center"/>
            </w:pPr>
          </w:p>
        </w:tc>
      </w:tr>
      <w:tr w14:paraId="0710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1612C17E">
            <w:pPr>
              <w:jc w:val="center"/>
            </w:pPr>
          </w:p>
        </w:tc>
        <w:tc>
          <w:tcPr>
            <w:tcW w:w="851" w:type="dxa"/>
            <w:gridSpan w:val="2"/>
            <w:vAlign w:val="center"/>
          </w:tcPr>
          <w:p w14:paraId="23AF4E1A">
            <w:pPr>
              <w:jc w:val="center"/>
            </w:pPr>
          </w:p>
        </w:tc>
        <w:tc>
          <w:tcPr>
            <w:tcW w:w="850" w:type="dxa"/>
            <w:vAlign w:val="center"/>
          </w:tcPr>
          <w:p w14:paraId="795B1050">
            <w:pPr>
              <w:jc w:val="center"/>
            </w:pPr>
          </w:p>
        </w:tc>
        <w:tc>
          <w:tcPr>
            <w:tcW w:w="907" w:type="dxa"/>
            <w:vAlign w:val="center"/>
          </w:tcPr>
          <w:p w14:paraId="2F25B6FD">
            <w:pPr>
              <w:jc w:val="center"/>
            </w:pPr>
          </w:p>
        </w:tc>
        <w:tc>
          <w:tcPr>
            <w:tcW w:w="653" w:type="dxa"/>
            <w:gridSpan w:val="2"/>
            <w:vAlign w:val="center"/>
          </w:tcPr>
          <w:p w14:paraId="409AA6FB">
            <w:pPr>
              <w:jc w:val="center"/>
            </w:pPr>
          </w:p>
        </w:tc>
        <w:tc>
          <w:tcPr>
            <w:tcW w:w="781" w:type="dxa"/>
            <w:gridSpan w:val="2"/>
            <w:vAlign w:val="center"/>
          </w:tcPr>
          <w:p w14:paraId="5D646925">
            <w:pPr>
              <w:jc w:val="center"/>
            </w:pPr>
          </w:p>
        </w:tc>
        <w:tc>
          <w:tcPr>
            <w:tcW w:w="778" w:type="dxa"/>
            <w:gridSpan w:val="2"/>
            <w:vAlign w:val="center"/>
          </w:tcPr>
          <w:p w14:paraId="3BD6ED32">
            <w:pPr>
              <w:jc w:val="center"/>
            </w:pPr>
          </w:p>
        </w:tc>
        <w:tc>
          <w:tcPr>
            <w:tcW w:w="709" w:type="dxa"/>
            <w:vAlign w:val="center"/>
          </w:tcPr>
          <w:p w14:paraId="37DC4149">
            <w:pPr>
              <w:jc w:val="center"/>
            </w:pPr>
          </w:p>
        </w:tc>
        <w:tc>
          <w:tcPr>
            <w:tcW w:w="1134" w:type="dxa"/>
            <w:gridSpan w:val="3"/>
            <w:vAlign w:val="center"/>
          </w:tcPr>
          <w:p w14:paraId="6E2C92AE">
            <w:pPr>
              <w:jc w:val="center"/>
            </w:pPr>
          </w:p>
        </w:tc>
        <w:tc>
          <w:tcPr>
            <w:tcW w:w="992" w:type="dxa"/>
            <w:gridSpan w:val="3"/>
            <w:vAlign w:val="center"/>
          </w:tcPr>
          <w:p w14:paraId="2266704E">
            <w:pPr>
              <w:jc w:val="center"/>
            </w:pPr>
          </w:p>
        </w:tc>
        <w:tc>
          <w:tcPr>
            <w:tcW w:w="956" w:type="dxa"/>
            <w:vAlign w:val="center"/>
          </w:tcPr>
          <w:p w14:paraId="44D44A96">
            <w:pPr>
              <w:jc w:val="center"/>
            </w:pPr>
          </w:p>
        </w:tc>
      </w:tr>
      <w:tr w14:paraId="38A8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39D09BBE">
            <w:pPr>
              <w:jc w:val="center"/>
            </w:pPr>
          </w:p>
        </w:tc>
        <w:tc>
          <w:tcPr>
            <w:tcW w:w="851" w:type="dxa"/>
            <w:gridSpan w:val="2"/>
            <w:vAlign w:val="center"/>
          </w:tcPr>
          <w:p w14:paraId="53A88061">
            <w:pPr>
              <w:jc w:val="center"/>
            </w:pPr>
          </w:p>
        </w:tc>
        <w:tc>
          <w:tcPr>
            <w:tcW w:w="850" w:type="dxa"/>
            <w:vAlign w:val="center"/>
          </w:tcPr>
          <w:p w14:paraId="6CA91358">
            <w:pPr>
              <w:jc w:val="center"/>
            </w:pPr>
          </w:p>
        </w:tc>
        <w:tc>
          <w:tcPr>
            <w:tcW w:w="907" w:type="dxa"/>
            <w:vAlign w:val="center"/>
          </w:tcPr>
          <w:p w14:paraId="204BF8B1">
            <w:pPr>
              <w:jc w:val="center"/>
            </w:pPr>
          </w:p>
        </w:tc>
        <w:tc>
          <w:tcPr>
            <w:tcW w:w="653" w:type="dxa"/>
            <w:gridSpan w:val="2"/>
            <w:vAlign w:val="center"/>
          </w:tcPr>
          <w:p w14:paraId="710B1E5E">
            <w:pPr>
              <w:jc w:val="center"/>
            </w:pPr>
          </w:p>
        </w:tc>
        <w:tc>
          <w:tcPr>
            <w:tcW w:w="781" w:type="dxa"/>
            <w:gridSpan w:val="2"/>
            <w:vAlign w:val="center"/>
          </w:tcPr>
          <w:p w14:paraId="4FD7C28F">
            <w:pPr>
              <w:jc w:val="center"/>
            </w:pPr>
          </w:p>
        </w:tc>
        <w:tc>
          <w:tcPr>
            <w:tcW w:w="778" w:type="dxa"/>
            <w:gridSpan w:val="2"/>
            <w:vAlign w:val="center"/>
          </w:tcPr>
          <w:p w14:paraId="3CD97C66">
            <w:pPr>
              <w:jc w:val="center"/>
            </w:pPr>
          </w:p>
        </w:tc>
        <w:tc>
          <w:tcPr>
            <w:tcW w:w="709" w:type="dxa"/>
            <w:vAlign w:val="center"/>
          </w:tcPr>
          <w:p w14:paraId="69C7009F">
            <w:pPr>
              <w:jc w:val="center"/>
            </w:pPr>
          </w:p>
        </w:tc>
        <w:tc>
          <w:tcPr>
            <w:tcW w:w="1134" w:type="dxa"/>
            <w:gridSpan w:val="3"/>
            <w:vAlign w:val="center"/>
          </w:tcPr>
          <w:p w14:paraId="1259A8EB">
            <w:pPr>
              <w:jc w:val="center"/>
            </w:pPr>
          </w:p>
        </w:tc>
        <w:tc>
          <w:tcPr>
            <w:tcW w:w="992" w:type="dxa"/>
            <w:gridSpan w:val="3"/>
            <w:vAlign w:val="center"/>
          </w:tcPr>
          <w:p w14:paraId="0E5A5EC1">
            <w:pPr>
              <w:jc w:val="center"/>
            </w:pPr>
          </w:p>
        </w:tc>
        <w:tc>
          <w:tcPr>
            <w:tcW w:w="956" w:type="dxa"/>
            <w:vAlign w:val="center"/>
          </w:tcPr>
          <w:p w14:paraId="6AA118BD">
            <w:pPr>
              <w:jc w:val="center"/>
            </w:pPr>
          </w:p>
        </w:tc>
      </w:tr>
      <w:tr w14:paraId="0C33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1FA2A2A3">
            <w:pPr>
              <w:jc w:val="center"/>
            </w:pPr>
          </w:p>
        </w:tc>
        <w:tc>
          <w:tcPr>
            <w:tcW w:w="851" w:type="dxa"/>
            <w:gridSpan w:val="2"/>
            <w:vAlign w:val="center"/>
          </w:tcPr>
          <w:p w14:paraId="06FDC337">
            <w:pPr>
              <w:jc w:val="center"/>
            </w:pPr>
          </w:p>
        </w:tc>
        <w:tc>
          <w:tcPr>
            <w:tcW w:w="850" w:type="dxa"/>
            <w:vAlign w:val="center"/>
          </w:tcPr>
          <w:p w14:paraId="7F15AF4E">
            <w:pPr>
              <w:jc w:val="center"/>
            </w:pPr>
          </w:p>
        </w:tc>
        <w:tc>
          <w:tcPr>
            <w:tcW w:w="907" w:type="dxa"/>
            <w:vAlign w:val="center"/>
          </w:tcPr>
          <w:p w14:paraId="642B6BE5">
            <w:pPr>
              <w:jc w:val="center"/>
            </w:pPr>
          </w:p>
        </w:tc>
        <w:tc>
          <w:tcPr>
            <w:tcW w:w="653" w:type="dxa"/>
            <w:gridSpan w:val="2"/>
            <w:vAlign w:val="center"/>
          </w:tcPr>
          <w:p w14:paraId="2339866F">
            <w:pPr>
              <w:jc w:val="center"/>
            </w:pPr>
          </w:p>
        </w:tc>
        <w:tc>
          <w:tcPr>
            <w:tcW w:w="781" w:type="dxa"/>
            <w:gridSpan w:val="2"/>
            <w:vAlign w:val="center"/>
          </w:tcPr>
          <w:p w14:paraId="7D9AB83E">
            <w:pPr>
              <w:jc w:val="center"/>
            </w:pPr>
          </w:p>
        </w:tc>
        <w:tc>
          <w:tcPr>
            <w:tcW w:w="778" w:type="dxa"/>
            <w:gridSpan w:val="2"/>
            <w:vAlign w:val="center"/>
          </w:tcPr>
          <w:p w14:paraId="7A54E515">
            <w:pPr>
              <w:jc w:val="center"/>
            </w:pPr>
          </w:p>
        </w:tc>
        <w:tc>
          <w:tcPr>
            <w:tcW w:w="709" w:type="dxa"/>
            <w:vAlign w:val="center"/>
          </w:tcPr>
          <w:p w14:paraId="6E397A3B">
            <w:pPr>
              <w:jc w:val="center"/>
            </w:pPr>
          </w:p>
        </w:tc>
        <w:tc>
          <w:tcPr>
            <w:tcW w:w="1134" w:type="dxa"/>
            <w:gridSpan w:val="3"/>
            <w:vAlign w:val="center"/>
          </w:tcPr>
          <w:p w14:paraId="532488C9">
            <w:pPr>
              <w:jc w:val="center"/>
            </w:pPr>
          </w:p>
        </w:tc>
        <w:tc>
          <w:tcPr>
            <w:tcW w:w="992" w:type="dxa"/>
            <w:gridSpan w:val="3"/>
            <w:vAlign w:val="center"/>
          </w:tcPr>
          <w:p w14:paraId="7EC1B16F">
            <w:pPr>
              <w:jc w:val="center"/>
            </w:pPr>
          </w:p>
        </w:tc>
        <w:tc>
          <w:tcPr>
            <w:tcW w:w="956" w:type="dxa"/>
            <w:vAlign w:val="center"/>
          </w:tcPr>
          <w:p w14:paraId="3828076E">
            <w:pPr>
              <w:jc w:val="center"/>
            </w:pPr>
          </w:p>
        </w:tc>
      </w:tr>
      <w:tr w14:paraId="5760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33A0268E">
            <w:pPr>
              <w:jc w:val="center"/>
            </w:pPr>
          </w:p>
        </w:tc>
        <w:tc>
          <w:tcPr>
            <w:tcW w:w="851" w:type="dxa"/>
            <w:gridSpan w:val="2"/>
            <w:vAlign w:val="center"/>
          </w:tcPr>
          <w:p w14:paraId="18115E6F">
            <w:pPr>
              <w:jc w:val="center"/>
            </w:pPr>
          </w:p>
        </w:tc>
        <w:tc>
          <w:tcPr>
            <w:tcW w:w="850" w:type="dxa"/>
            <w:vAlign w:val="center"/>
          </w:tcPr>
          <w:p w14:paraId="470BC18B">
            <w:pPr>
              <w:jc w:val="center"/>
            </w:pPr>
          </w:p>
        </w:tc>
        <w:tc>
          <w:tcPr>
            <w:tcW w:w="907" w:type="dxa"/>
            <w:vAlign w:val="center"/>
          </w:tcPr>
          <w:p w14:paraId="6F85CAB8">
            <w:pPr>
              <w:jc w:val="center"/>
            </w:pPr>
          </w:p>
        </w:tc>
        <w:tc>
          <w:tcPr>
            <w:tcW w:w="653" w:type="dxa"/>
            <w:gridSpan w:val="2"/>
            <w:vAlign w:val="center"/>
          </w:tcPr>
          <w:p w14:paraId="1A557A8E">
            <w:pPr>
              <w:jc w:val="center"/>
            </w:pPr>
          </w:p>
        </w:tc>
        <w:tc>
          <w:tcPr>
            <w:tcW w:w="781" w:type="dxa"/>
            <w:gridSpan w:val="2"/>
            <w:vAlign w:val="center"/>
          </w:tcPr>
          <w:p w14:paraId="1172A5C4">
            <w:pPr>
              <w:jc w:val="center"/>
            </w:pPr>
          </w:p>
        </w:tc>
        <w:tc>
          <w:tcPr>
            <w:tcW w:w="778" w:type="dxa"/>
            <w:gridSpan w:val="2"/>
            <w:vAlign w:val="center"/>
          </w:tcPr>
          <w:p w14:paraId="68FA4B1C">
            <w:pPr>
              <w:jc w:val="center"/>
            </w:pPr>
          </w:p>
        </w:tc>
        <w:tc>
          <w:tcPr>
            <w:tcW w:w="709" w:type="dxa"/>
            <w:vAlign w:val="center"/>
          </w:tcPr>
          <w:p w14:paraId="6A765B37">
            <w:pPr>
              <w:jc w:val="center"/>
            </w:pPr>
          </w:p>
        </w:tc>
        <w:tc>
          <w:tcPr>
            <w:tcW w:w="1134" w:type="dxa"/>
            <w:gridSpan w:val="3"/>
            <w:vAlign w:val="center"/>
          </w:tcPr>
          <w:p w14:paraId="0541EE59">
            <w:pPr>
              <w:jc w:val="center"/>
            </w:pPr>
          </w:p>
        </w:tc>
        <w:tc>
          <w:tcPr>
            <w:tcW w:w="992" w:type="dxa"/>
            <w:gridSpan w:val="3"/>
            <w:vAlign w:val="center"/>
          </w:tcPr>
          <w:p w14:paraId="31BC9477">
            <w:pPr>
              <w:jc w:val="center"/>
            </w:pPr>
          </w:p>
        </w:tc>
        <w:tc>
          <w:tcPr>
            <w:tcW w:w="956" w:type="dxa"/>
            <w:vAlign w:val="center"/>
          </w:tcPr>
          <w:p w14:paraId="7EDE7F9F">
            <w:pPr>
              <w:jc w:val="center"/>
            </w:pPr>
          </w:p>
        </w:tc>
      </w:tr>
      <w:tr w14:paraId="0ADE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27433293">
            <w:pPr>
              <w:jc w:val="center"/>
            </w:pPr>
          </w:p>
        </w:tc>
        <w:tc>
          <w:tcPr>
            <w:tcW w:w="851" w:type="dxa"/>
            <w:gridSpan w:val="2"/>
            <w:vAlign w:val="center"/>
          </w:tcPr>
          <w:p w14:paraId="6D35E3EB">
            <w:pPr>
              <w:jc w:val="center"/>
            </w:pPr>
          </w:p>
        </w:tc>
        <w:tc>
          <w:tcPr>
            <w:tcW w:w="850" w:type="dxa"/>
            <w:vAlign w:val="center"/>
          </w:tcPr>
          <w:p w14:paraId="52B01DBE">
            <w:pPr>
              <w:jc w:val="center"/>
            </w:pPr>
          </w:p>
        </w:tc>
        <w:tc>
          <w:tcPr>
            <w:tcW w:w="907" w:type="dxa"/>
            <w:vAlign w:val="center"/>
          </w:tcPr>
          <w:p w14:paraId="0B78A502">
            <w:pPr>
              <w:jc w:val="center"/>
            </w:pPr>
          </w:p>
        </w:tc>
        <w:tc>
          <w:tcPr>
            <w:tcW w:w="653" w:type="dxa"/>
            <w:gridSpan w:val="2"/>
            <w:vAlign w:val="center"/>
          </w:tcPr>
          <w:p w14:paraId="41132197">
            <w:pPr>
              <w:jc w:val="center"/>
            </w:pPr>
          </w:p>
        </w:tc>
        <w:tc>
          <w:tcPr>
            <w:tcW w:w="781" w:type="dxa"/>
            <w:gridSpan w:val="2"/>
            <w:vAlign w:val="center"/>
          </w:tcPr>
          <w:p w14:paraId="071E4C0E">
            <w:pPr>
              <w:jc w:val="center"/>
            </w:pPr>
          </w:p>
        </w:tc>
        <w:tc>
          <w:tcPr>
            <w:tcW w:w="778" w:type="dxa"/>
            <w:gridSpan w:val="2"/>
            <w:vAlign w:val="center"/>
          </w:tcPr>
          <w:p w14:paraId="41F3B683">
            <w:pPr>
              <w:jc w:val="center"/>
            </w:pPr>
          </w:p>
        </w:tc>
        <w:tc>
          <w:tcPr>
            <w:tcW w:w="709" w:type="dxa"/>
            <w:vAlign w:val="center"/>
          </w:tcPr>
          <w:p w14:paraId="696A7394">
            <w:pPr>
              <w:jc w:val="center"/>
            </w:pPr>
          </w:p>
        </w:tc>
        <w:tc>
          <w:tcPr>
            <w:tcW w:w="1134" w:type="dxa"/>
            <w:gridSpan w:val="3"/>
            <w:vAlign w:val="center"/>
          </w:tcPr>
          <w:p w14:paraId="286EF055">
            <w:pPr>
              <w:jc w:val="center"/>
            </w:pPr>
          </w:p>
        </w:tc>
        <w:tc>
          <w:tcPr>
            <w:tcW w:w="992" w:type="dxa"/>
            <w:gridSpan w:val="3"/>
            <w:vAlign w:val="center"/>
          </w:tcPr>
          <w:p w14:paraId="7D3C489B">
            <w:pPr>
              <w:jc w:val="center"/>
            </w:pPr>
          </w:p>
        </w:tc>
        <w:tc>
          <w:tcPr>
            <w:tcW w:w="956" w:type="dxa"/>
            <w:vAlign w:val="center"/>
          </w:tcPr>
          <w:p w14:paraId="5B8C05C6">
            <w:pPr>
              <w:jc w:val="center"/>
            </w:pPr>
          </w:p>
        </w:tc>
      </w:tr>
      <w:tr w14:paraId="39BC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3C8211F7">
            <w:pPr>
              <w:jc w:val="center"/>
            </w:pPr>
          </w:p>
        </w:tc>
        <w:tc>
          <w:tcPr>
            <w:tcW w:w="851" w:type="dxa"/>
            <w:gridSpan w:val="2"/>
            <w:vAlign w:val="center"/>
          </w:tcPr>
          <w:p w14:paraId="06BA0C0E">
            <w:pPr>
              <w:jc w:val="center"/>
            </w:pPr>
          </w:p>
        </w:tc>
        <w:tc>
          <w:tcPr>
            <w:tcW w:w="850" w:type="dxa"/>
            <w:vAlign w:val="center"/>
          </w:tcPr>
          <w:p w14:paraId="7AEC38A4">
            <w:pPr>
              <w:jc w:val="center"/>
            </w:pPr>
          </w:p>
        </w:tc>
        <w:tc>
          <w:tcPr>
            <w:tcW w:w="907" w:type="dxa"/>
            <w:vAlign w:val="center"/>
          </w:tcPr>
          <w:p w14:paraId="0C3A5BF3">
            <w:pPr>
              <w:jc w:val="center"/>
            </w:pPr>
          </w:p>
        </w:tc>
        <w:tc>
          <w:tcPr>
            <w:tcW w:w="653" w:type="dxa"/>
            <w:gridSpan w:val="2"/>
            <w:vAlign w:val="center"/>
          </w:tcPr>
          <w:p w14:paraId="1D530B5D">
            <w:pPr>
              <w:jc w:val="center"/>
            </w:pPr>
          </w:p>
        </w:tc>
        <w:tc>
          <w:tcPr>
            <w:tcW w:w="781" w:type="dxa"/>
            <w:gridSpan w:val="2"/>
            <w:vAlign w:val="center"/>
          </w:tcPr>
          <w:p w14:paraId="6CA41CB3">
            <w:pPr>
              <w:jc w:val="center"/>
            </w:pPr>
          </w:p>
        </w:tc>
        <w:tc>
          <w:tcPr>
            <w:tcW w:w="778" w:type="dxa"/>
            <w:gridSpan w:val="2"/>
            <w:vAlign w:val="center"/>
          </w:tcPr>
          <w:p w14:paraId="5A62E1E1">
            <w:pPr>
              <w:jc w:val="center"/>
            </w:pPr>
          </w:p>
        </w:tc>
        <w:tc>
          <w:tcPr>
            <w:tcW w:w="709" w:type="dxa"/>
            <w:vAlign w:val="center"/>
          </w:tcPr>
          <w:p w14:paraId="1434F414">
            <w:pPr>
              <w:jc w:val="center"/>
            </w:pPr>
          </w:p>
        </w:tc>
        <w:tc>
          <w:tcPr>
            <w:tcW w:w="1134" w:type="dxa"/>
            <w:gridSpan w:val="3"/>
            <w:vAlign w:val="center"/>
          </w:tcPr>
          <w:p w14:paraId="56C7B47F">
            <w:pPr>
              <w:jc w:val="center"/>
            </w:pPr>
          </w:p>
        </w:tc>
        <w:tc>
          <w:tcPr>
            <w:tcW w:w="992" w:type="dxa"/>
            <w:gridSpan w:val="3"/>
            <w:vAlign w:val="center"/>
          </w:tcPr>
          <w:p w14:paraId="3452F118">
            <w:pPr>
              <w:jc w:val="center"/>
            </w:pPr>
          </w:p>
        </w:tc>
        <w:tc>
          <w:tcPr>
            <w:tcW w:w="956" w:type="dxa"/>
            <w:vAlign w:val="center"/>
          </w:tcPr>
          <w:p w14:paraId="7E672F4E">
            <w:pPr>
              <w:jc w:val="center"/>
            </w:pPr>
          </w:p>
        </w:tc>
      </w:tr>
      <w:tr w14:paraId="0869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538BA5A0">
            <w:pPr>
              <w:jc w:val="center"/>
            </w:pPr>
          </w:p>
        </w:tc>
        <w:tc>
          <w:tcPr>
            <w:tcW w:w="851" w:type="dxa"/>
            <w:gridSpan w:val="2"/>
            <w:vAlign w:val="center"/>
          </w:tcPr>
          <w:p w14:paraId="09F6D74D">
            <w:pPr>
              <w:jc w:val="center"/>
            </w:pPr>
          </w:p>
        </w:tc>
        <w:tc>
          <w:tcPr>
            <w:tcW w:w="850" w:type="dxa"/>
            <w:vAlign w:val="center"/>
          </w:tcPr>
          <w:p w14:paraId="68E40497">
            <w:pPr>
              <w:jc w:val="center"/>
            </w:pPr>
          </w:p>
        </w:tc>
        <w:tc>
          <w:tcPr>
            <w:tcW w:w="907" w:type="dxa"/>
            <w:vAlign w:val="center"/>
          </w:tcPr>
          <w:p w14:paraId="32C22E08">
            <w:pPr>
              <w:jc w:val="center"/>
            </w:pPr>
          </w:p>
        </w:tc>
        <w:tc>
          <w:tcPr>
            <w:tcW w:w="653" w:type="dxa"/>
            <w:gridSpan w:val="2"/>
            <w:vAlign w:val="center"/>
          </w:tcPr>
          <w:p w14:paraId="0F4E1119">
            <w:pPr>
              <w:jc w:val="center"/>
            </w:pPr>
          </w:p>
        </w:tc>
        <w:tc>
          <w:tcPr>
            <w:tcW w:w="781" w:type="dxa"/>
            <w:gridSpan w:val="2"/>
            <w:vAlign w:val="center"/>
          </w:tcPr>
          <w:p w14:paraId="11DB4896">
            <w:pPr>
              <w:jc w:val="center"/>
            </w:pPr>
          </w:p>
        </w:tc>
        <w:tc>
          <w:tcPr>
            <w:tcW w:w="778" w:type="dxa"/>
            <w:gridSpan w:val="2"/>
            <w:vAlign w:val="center"/>
          </w:tcPr>
          <w:p w14:paraId="08B5B614">
            <w:pPr>
              <w:jc w:val="center"/>
            </w:pPr>
          </w:p>
        </w:tc>
        <w:tc>
          <w:tcPr>
            <w:tcW w:w="709" w:type="dxa"/>
            <w:vAlign w:val="center"/>
          </w:tcPr>
          <w:p w14:paraId="175F6D5A">
            <w:pPr>
              <w:jc w:val="center"/>
            </w:pPr>
          </w:p>
        </w:tc>
        <w:tc>
          <w:tcPr>
            <w:tcW w:w="1134" w:type="dxa"/>
            <w:gridSpan w:val="3"/>
            <w:vAlign w:val="center"/>
          </w:tcPr>
          <w:p w14:paraId="2FA4073F">
            <w:pPr>
              <w:jc w:val="center"/>
            </w:pPr>
          </w:p>
        </w:tc>
        <w:tc>
          <w:tcPr>
            <w:tcW w:w="992" w:type="dxa"/>
            <w:gridSpan w:val="3"/>
            <w:vAlign w:val="center"/>
          </w:tcPr>
          <w:p w14:paraId="481E31B5">
            <w:pPr>
              <w:jc w:val="center"/>
            </w:pPr>
          </w:p>
        </w:tc>
        <w:tc>
          <w:tcPr>
            <w:tcW w:w="956" w:type="dxa"/>
            <w:vAlign w:val="center"/>
          </w:tcPr>
          <w:p w14:paraId="2860BA35">
            <w:pPr>
              <w:jc w:val="center"/>
            </w:pPr>
          </w:p>
        </w:tc>
      </w:tr>
      <w:tr w14:paraId="3DA0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15E103CA">
            <w:pPr>
              <w:jc w:val="center"/>
            </w:pPr>
          </w:p>
        </w:tc>
        <w:tc>
          <w:tcPr>
            <w:tcW w:w="851" w:type="dxa"/>
            <w:gridSpan w:val="2"/>
            <w:vAlign w:val="center"/>
          </w:tcPr>
          <w:p w14:paraId="4F82886E">
            <w:pPr>
              <w:jc w:val="center"/>
            </w:pPr>
          </w:p>
        </w:tc>
        <w:tc>
          <w:tcPr>
            <w:tcW w:w="850" w:type="dxa"/>
            <w:vAlign w:val="center"/>
          </w:tcPr>
          <w:p w14:paraId="45905369">
            <w:pPr>
              <w:jc w:val="center"/>
            </w:pPr>
          </w:p>
        </w:tc>
        <w:tc>
          <w:tcPr>
            <w:tcW w:w="907" w:type="dxa"/>
            <w:vAlign w:val="center"/>
          </w:tcPr>
          <w:p w14:paraId="63D293B1">
            <w:pPr>
              <w:jc w:val="center"/>
            </w:pPr>
          </w:p>
        </w:tc>
        <w:tc>
          <w:tcPr>
            <w:tcW w:w="653" w:type="dxa"/>
            <w:gridSpan w:val="2"/>
            <w:vAlign w:val="center"/>
          </w:tcPr>
          <w:p w14:paraId="23BD719D">
            <w:pPr>
              <w:jc w:val="center"/>
            </w:pPr>
          </w:p>
        </w:tc>
        <w:tc>
          <w:tcPr>
            <w:tcW w:w="781" w:type="dxa"/>
            <w:gridSpan w:val="2"/>
            <w:vAlign w:val="center"/>
          </w:tcPr>
          <w:p w14:paraId="41744D6A">
            <w:pPr>
              <w:jc w:val="center"/>
            </w:pPr>
          </w:p>
        </w:tc>
        <w:tc>
          <w:tcPr>
            <w:tcW w:w="778" w:type="dxa"/>
            <w:gridSpan w:val="2"/>
            <w:vAlign w:val="center"/>
          </w:tcPr>
          <w:p w14:paraId="71A85D93">
            <w:pPr>
              <w:jc w:val="center"/>
            </w:pPr>
          </w:p>
        </w:tc>
        <w:tc>
          <w:tcPr>
            <w:tcW w:w="709" w:type="dxa"/>
            <w:vAlign w:val="center"/>
          </w:tcPr>
          <w:p w14:paraId="515F51BD">
            <w:pPr>
              <w:jc w:val="center"/>
            </w:pPr>
          </w:p>
        </w:tc>
        <w:tc>
          <w:tcPr>
            <w:tcW w:w="1134" w:type="dxa"/>
            <w:gridSpan w:val="3"/>
            <w:vAlign w:val="center"/>
          </w:tcPr>
          <w:p w14:paraId="2364AC7C">
            <w:pPr>
              <w:jc w:val="center"/>
            </w:pPr>
          </w:p>
        </w:tc>
        <w:tc>
          <w:tcPr>
            <w:tcW w:w="992" w:type="dxa"/>
            <w:gridSpan w:val="3"/>
            <w:vAlign w:val="center"/>
          </w:tcPr>
          <w:p w14:paraId="57A9BC61">
            <w:pPr>
              <w:jc w:val="center"/>
            </w:pPr>
          </w:p>
        </w:tc>
        <w:tc>
          <w:tcPr>
            <w:tcW w:w="956" w:type="dxa"/>
            <w:vAlign w:val="center"/>
          </w:tcPr>
          <w:p w14:paraId="5497D283">
            <w:pPr>
              <w:jc w:val="center"/>
            </w:pPr>
          </w:p>
        </w:tc>
      </w:tr>
      <w:tr w14:paraId="1AAF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348EB7E1">
            <w:pPr>
              <w:jc w:val="center"/>
            </w:pPr>
          </w:p>
        </w:tc>
        <w:tc>
          <w:tcPr>
            <w:tcW w:w="851" w:type="dxa"/>
            <w:gridSpan w:val="2"/>
            <w:vAlign w:val="center"/>
          </w:tcPr>
          <w:p w14:paraId="06A1A510">
            <w:pPr>
              <w:jc w:val="center"/>
            </w:pPr>
          </w:p>
        </w:tc>
        <w:tc>
          <w:tcPr>
            <w:tcW w:w="850" w:type="dxa"/>
            <w:vAlign w:val="center"/>
          </w:tcPr>
          <w:p w14:paraId="73CF22C5">
            <w:pPr>
              <w:jc w:val="center"/>
            </w:pPr>
          </w:p>
        </w:tc>
        <w:tc>
          <w:tcPr>
            <w:tcW w:w="907" w:type="dxa"/>
            <w:vAlign w:val="center"/>
          </w:tcPr>
          <w:p w14:paraId="0B00111A">
            <w:pPr>
              <w:jc w:val="center"/>
            </w:pPr>
          </w:p>
        </w:tc>
        <w:tc>
          <w:tcPr>
            <w:tcW w:w="653" w:type="dxa"/>
            <w:gridSpan w:val="2"/>
            <w:vAlign w:val="center"/>
          </w:tcPr>
          <w:p w14:paraId="14E92380">
            <w:pPr>
              <w:jc w:val="center"/>
            </w:pPr>
          </w:p>
        </w:tc>
        <w:tc>
          <w:tcPr>
            <w:tcW w:w="781" w:type="dxa"/>
            <w:gridSpan w:val="2"/>
            <w:vAlign w:val="center"/>
          </w:tcPr>
          <w:p w14:paraId="76020F14">
            <w:pPr>
              <w:jc w:val="center"/>
            </w:pPr>
          </w:p>
        </w:tc>
        <w:tc>
          <w:tcPr>
            <w:tcW w:w="778" w:type="dxa"/>
            <w:gridSpan w:val="2"/>
            <w:vAlign w:val="center"/>
          </w:tcPr>
          <w:p w14:paraId="713AF0C9">
            <w:pPr>
              <w:jc w:val="center"/>
            </w:pPr>
          </w:p>
        </w:tc>
        <w:tc>
          <w:tcPr>
            <w:tcW w:w="709" w:type="dxa"/>
            <w:vAlign w:val="center"/>
          </w:tcPr>
          <w:p w14:paraId="2F194901">
            <w:pPr>
              <w:jc w:val="center"/>
            </w:pPr>
          </w:p>
        </w:tc>
        <w:tc>
          <w:tcPr>
            <w:tcW w:w="1134" w:type="dxa"/>
            <w:gridSpan w:val="3"/>
            <w:vAlign w:val="center"/>
          </w:tcPr>
          <w:p w14:paraId="6CCC8A42">
            <w:pPr>
              <w:jc w:val="center"/>
            </w:pPr>
          </w:p>
        </w:tc>
        <w:tc>
          <w:tcPr>
            <w:tcW w:w="992" w:type="dxa"/>
            <w:gridSpan w:val="3"/>
            <w:vAlign w:val="center"/>
          </w:tcPr>
          <w:p w14:paraId="4291B83A">
            <w:pPr>
              <w:jc w:val="center"/>
            </w:pPr>
          </w:p>
        </w:tc>
        <w:tc>
          <w:tcPr>
            <w:tcW w:w="956" w:type="dxa"/>
            <w:vAlign w:val="center"/>
          </w:tcPr>
          <w:p w14:paraId="16396E98">
            <w:pPr>
              <w:jc w:val="center"/>
            </w:pPr>
          </w:p>
        </w:tc>
      </w:tr>
      <w:tr w14:paraId="6010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0EFF5C52">
            <w:pPr>
              <w:jc w:val="center"/>
            </w:pPr>
          </w:p>
        </w:tc>
        <w:tc>
          <w:tcPr>
            <w:tcW w:w="851" w:type="dxa"/>
            <w:gridSpan w:val="2"/>
            <w:vAlign w:val="center"/>
          </w:tcPr>
          <w:p w14:paraId="49B3ADEF">
            <w:pPr>
              <w:jc w:val="center"/>
            </w:pPr>
          </w:p>
        </w:tc>
        <w:tc>
          <w:tcPr>
            <w:tcW w:w="850" w:type="dxa"/>
            <w:vAlign w:val="center"/>
          </w:tcPr>
          <w:p w14:paraId="6583E517">
            <w:pPr>
              <w:jc w:val="center"/>
            </w:pPr>
          </w:p>
        </w:tc>
        <w:tc>
          <w:tcPr>
            <w:tcW w:w="907" w:type="dxa"/>
            <w:vAlign w:val="center"/>
          </w:tcPr>
          <w:p w14:paraId="0485F857">
            <w:pPr>
              <w:jc w:val="center"/>
            </w:pPr>
          </w:p>
        </w:tc>
        <w:tc>
          <w:tcPr>
            <w:tcW w:w="653" w:type="dxa"/>
            <w:gridSpan w:val="2"/>
            <w:vAlign w:val="center"/>
          </w:tcPr>
          <w:p w14:paraId="5BB57244">
            <w:pPr>
              <w:jc w:val="center"/>
            </w:pPr>
          </w:p>
        </w:tc>
        <w:tc>
          <w:tcPr>
            <w:tcW w:w="781" w:type="dxa"/>
            <w:gridSpan w:val="2"/>
            <w:vAlign w:val="center"/>
          </w:tcPr>
          <w:p w14:paraId="27D4967C">
            <w:pPr>
              <w:jc w:val="center"/>
            </w:pPr>
          </w:p>
        </w:tc>
        <w:tc>
          <w:tcPr>
            <w:tcW w:w="778" w:type="dxa"/>
            <w:gridSpan w:val="2"/>
            <w:vAlign w:val="center"/>
          </w:tcPr>
          <w:p w14:paraId="0C96A6BB">
            <w:pPr>
              <w:jc w:val="center"/>
            </w:pPr>
          </w:p>
        </w:tc>
        <w:tc>
          <w:tcPr>
            <w:tcW w:w="709" w:type="dxa"/>
            <w:vAlign w:val="center"/>
          </w:tcPr>
          <w:p w14:paraId="0F8B3999">
            <w:pPr>
              <w:jc w:val="center"/>
            </w:pPr>
          </w:p>
        </w:tc>
        <w:tc>
          <w:tcPr>
            <w:tcW w:w="1134" w:type="dxa"/>
            <w:gridSpan w:val="3"/>
            <w:vAlign w:val="center"/>
          </w:tcPr>
          <w:p w14:paraId="59C197CE">
            <w:pPr>
              <w:jc w:val="center"/>
            </w:pPr>
          </w:p>
        </w:tc>
        <w:tc>
          <w:tcPr>
            <w:tcW w:w="992" w:type="dxa"/>
            <w:gridSpan w:val="3"/>
            <w:vAlign w:val="center"/>
          </w:tcPr>
          <w:p w14:paraId="2883C73F">
            <w:pPr>
              <w:jc w:val="center"/>
            </w:pPr>
          </w:p>
        </w:tc>
        <w:tc>
          <w:tcPr>
            <w:tcW w:w="956" w:type="dxa"/>
            <w:vAlign w:val="center"/>
          </w:tcPr>
          <w:p w14:paraId="110A62ED">
            <w:pPr>
              <w:jc w:val="center"/>
            </w:pPr>
          </w:p>
        </w:tc>
      </w:tr>
      <w:tr w14:paraId="4DA5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63256B82">
            <w:pPr>
              <w:jc w:val="center"/>
            </w:pPr>
          </w:p>
        </w:tc>
        <w:tc>
          <w:tcPr>
            <w:tcW w:w="851" w:type="dxa"/>
            <w:gridSpan w:val="2"/>
            <w:vAlign w:val="center"/>
          </w:tcPr>
          <w:p w14:paraId="41BF8278">
            <w:pPr>
              <w:jc w:val="center"/>
            </w:pPr>
          </w:p>
        </w:tc>
        <w:tc>
          <w:tcPr>
            <w:tcW w:w="850" w:type="dxa"/>
            <w:vAlign w:val="center"/>
          </w:tcPr>
          <w:p w14:paraId="369D0831">
            <w:pPr>
              <w:jc w:val="center"/>
            </w:pPr>
          </w:p>
        </w:tc>
        <w:tc>
          <w:tcPr>
            <w:tcW w:w="907" w:type="dxa"/>
            <w:vAlign w:val="center"/>
          </w:tcPr>
          <w:p w14:paraId="52235A73">
            <w:pPr>
              <w:jc w:val="center"/>
            </w:pPr>
          </w:p>
        </w:tc>
        <w:tc>
          <w:tcPr>
            <w:tcW w:w="653" w:type="dxa"/>
            <w:gridSpan w:val="2"/>
            <w:vAlign w:val="center"/>
          </w:tcPr>
          <w:p w14:paraId="526F24C2">
            <w:pPr>
              <w:jc w:val="center"/>
            </w:pPr>
          </w:p>
        </w:tc>
        <w:tc>
          <w:tcPr>
            <w:tcW w:w="781" w:type="dxa"/>
            <w:gridSpan w:val="2"/>
            <w:vAlign w:val="center"/>
          </w:tcPr>
          <w:p w14:paraId="753574E1">
            <w:pPr>
              <w:jc w:val="center"/>
            </w:pPr>
          </w:p>
        </w:tc>
        <w:tc>
          <w:tcPr>
            <w:tcW w:w="778" w:type="dxa"/>
            <w:gridSpan w:val="2"/>
            <w:vAlign w:val="center"/>
          </w:tcPr>
          <w:p w14:paraId="5FEB759E">
            <w:pPr>
              <w:jc w:val="center"/>
            </w:pPr>
          </w:p>
        </w:tc>
        <w:tc>
          <w:tcPr>
            <w:tcW w:w="709" w:type="dxa"/>
            <w:vAlign w:val="center"/>
          </w:tcPr>
          <w:p w14:paraId="1BE66350">
            <w:pPr>
              <w:jc w:val="center"/>
            </w:pPr>
          </w:p>
        </w:tc>
        <w:tc>
          <w:tcPr>
            <w:tcW w:w="1134" w:type="dxa"/>
            <w:gridSpan w:val="3"/>
            <w:vAlign w:val="center"/>
          </w:tcPr>
          <w:p w14:paraId="2F98D902">
            <w:pPr>
              <w:jc w:val="center"/>
            </w:pPr>
          </w:p>
        </w:tc>
        <w:tc>
          <w:tcPr>
            <w:tcW w:w="992" w:type="dxa"/>
            <w:gridSpan w:val="3"/>
            <w:vAlign w:val="center"/>
          </w:tcPr>
          <w:p w14:paraId="4DCDC36D">
            <w:pPr>
              <w:jc w:val="center"/>
            </w:pPr>
          </w:p>
        </w:tc>
        <w:tc>
          <w:tcPr>
            <w:tcW w:w="956" w:type="dxa"/>
            <w:vAlign w:val="center"/>
          </w:tcPr>
          <w:p w14:paraId="0B63F1B5">
            <w:pPr>
              <w:jc w:val="center"/>
            </w:pPr>
          </w:p>
        </w:tc>
      </w:tr>
      <w:tr w14:paraId="789B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19"/>
            <w:vAlign w:val="center"/>
          </w:tcPr>
          <w:p w14:paraId="69216761">
            <w:pPr>
              <w:jc w:val="left"/>
            </w:pPr>
            <w:r>
              <w:rPr>
                <w:rFonts w:hint="eastAsia"/>
              </w:rPr>
              <w:t>备注</w:t>
            </w:r>
          </w:p>
          <w:p w14:paraId="1A35953D">
            <w:pPr>
              <w:jc w:val="left"/>
            </w:pPr>
          </w:p>
          <w:p w14:paraId="43726074">
            <w:pPr>
              <w:jc w:val="left"/>
            </w:pPr>
          </w:p>
          <w:p w14:paraId="13374738">
            <w:pPr>
              <w:jc w:val="left"/>
            </w:pPr>
          </w:p>
        </w:tc>
      </w:tr>
      <w:tr w14:paraId="5C16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37" w:type="dxa"/>
            <w:gridSpan w:val="2"/>
            <w:vAlign w:val="center"/>
          </w:tcPr>
          <w:p w14:paraId="66B111F4">
            <w:pPr>
              <w:jc w:val="center"/>
            </w:pPr>
            <w:r>
              <w:rPr>
                <w:rFonts w:hint="eastAsia"/>
              </w:rPr>
              <w:t>技术负责人</w:t>
            </w:r>
          </w:p>
        </w:tc>
        <w:tc>
          <w:tcPr>
            <w:tcW w:w="1946" w:type="dxa"/>
            <w:gridSpan w:val="3"/>
            <w:vAlign w:val="center"/>
          </w:tcPr>
          <w:p w14:paraId="6AC14C53">
            <w:pPr>
              <w:jc w:val="center"/>
            </w:pPr>
          </w:p>
        </w:tc>
        <w:tc>
          <w:tcPr>
            <w:tcW w:w="1122" w:type="dxa"/>
            <w:gridSpan w:val="3"/>
            <w:vAlign w:val="center"/>
          </w:tcPr>
          <w:p w14:paraId="4E193865">
            <w:pPr>
              <w:jc w:val="center"/>
            </w:pPr>
            <w:r>
              <w:rPr>
                <w:rFonts w:hint="eastAsia"/>
              </w:rPr>
              <w:t>质检员</w:t>
            </w:r>
          </w:p>
        </w:tc>
        <w:tc>
          <w:tcPr>
            <w:tcW w:w="1955" w:type="dxa"/>
            <w:gridSpan w:val="5"/>
            <w:vAlign w:val="center"/>
          </w:tcPr>
          <w:p w14:paraId="2F62DAC1">
            <w:pPr>
              <w:jc w:val="center"/>
            </w:pPr>
          </w:p>
        </w:tc>
        <w:tc>
          <w:tcPr>
            <w:tcW w:w="1197" w:type="dxa"/>
            <w:gridSpan w:val="3"/>
            <w:vAlign w:val="center"/>
          </w:tcPr>
          <w:p w14:paraId="1D1DCF87">
            <w:pPr>
              <w:jc w:val="center"/>
            </w:pPr>
            <w:r>
              <w:rPr>
                <w:rFonts w:hint="eastAsia"/>
              </w:rPr>
              <w:t>测量人</w:t>
            </w:r>
          </w:p>
        </w:tc>
        <w:tc>
          <w:tcPr>
            <w:tcW w:w="1729" w:type="dxa"/>
            <w:gridSpan w:val="3"/>
            <w:vAlign w:val="center"/>
          </w:tcPr>
          <w:p w14:paraId="71F912F1">
            <w:pPr>
              <w:jc w:val="center"/>
            </w:pPr>
          </w:p>
        </w:tc>
      </w:tr>
    </w:tbl>
    <w:p w14:paraId="67753242">
      <w:pPr>
        <w:jc w:val="center"/>
      </w:pPr>
    </w:p>
    <w:p w14:paraId="4359C9E5">
      <w:r>
        <w:br w:type="page"/>
      </w:r>
      <w:r>
        <w:t>B</w:t>
      </w:r>
      <w:r>
        <w:rPr>
          <w:rFonts w:hint="eastAsia"/>
        </w:rPr>
        <w:t xml:space="preserve">.0.2 </w:t>
      </w:r>
      <w:r>
        <w:rPr>
          <w:rFonts w:hint="eastAsia" w:ascii="Cambria Math" w:hAnsi="Cambria Math" w:cs="Cambria Math"/>
          <w:kern w:val="0"/>
          <w:lang w:bidi="ar"/>
        </w:rPr>
        <w:t>顶管施工过程中应填写顶管注浆检查记录</w:t>
      </w:r>
      <w:r>
        <w:rPr>
          <w:rFonts w:hint="eastAsia"/>
        </w:rPr>
        <w:t>，见表</w:t>
      </w:r>
      <w:r>
        <w:t>B</w:t>
      </w:r>
      <w:r>
        <w:rPr>
          <w:rFonts w:hint="eastAsia"/>
        </w:rPr>
        <w:t>.0.2。</w:t>
      </w:r>
    </w:p>
    <w:p w14:paraId="636848D3">
      <w:pPr>
        <w:jc w:val="center"/>
      </w:pPr>
      <w:r>
        <w:rPr>
          <w:rFonts w:hint="eastAsia"/>
        </w:rPr>
        <w:t>表</w:t>
      </w:r>
      <w:r>
        <w:t>B</w:t>
      </w:r>
      <w:r>
        <w:rPr>
          <w:rFonts w:hint="eastAsia"/>
        </w:rPr>
        <w:t>.0.2 注浆检查记录</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971"/>
        <w:gridCol w:w="576"/>
        <w:gridCol w:w="1834"/>
        <w:gridCol w:w="1701"/>
        <w:gridCol w:w="142"/>
        <w:gridCol w:w="425"/>
        <w:gridCol w:w="709"/>
        <w:gridCol w:w="1381"/>
      </w:tblGrid>
      <w:tr w14:paraId="74EA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71" w:type="dxa"/>
            <w:gridSpan w:val="6"/>
            <w:vAlign w:val="center"/>
          </w:tcPr>
          <w:p w14:paraId="12A99D1F">
            <w:pPr>
              <w:jc w:val="center"/>
            </w:pPr>
            <w:r>
              <w:rPr>
                <w:rFonts w:hint="eastAsia"/>
                <w:sz w:val="32"/>
              </w:rPr>
              <w:t>注浆检查记录</w:t>
            </w:r>
          </w:p>
        </w:tc>
        <w:tc>
          <w:tcPr>
            <w:tcW w:w="1134" w:type="dxa"/>
            <w:gridSpan w:val="2"/>
            <w:vAlign w:val="center"/>
          </w:tcPr>
          <w:p w14:paraId="44F31EDE">
            <w:pPr>
              <w:jc w:val="center"/>
            </w:pPr>
            <w:r>
              <w:rPr>
                <w:rFonts w:hint="eastAsia"/>
              </w:rPr>
              <w:t>资料编号</w:t>
            </w:r>
          </w:p>
        </w:tc>
        <w:tc>
          <w:tcPr>
            <w:tcW w:w="1381" w:type="dxa"/>
            <w:vAlign w:val="center"/>
          </w:tcPr>
          <w:p w14:paraId="7C6AD55C">
            <w:pPr>
              <w:jc w:val="center"/>
            </w:pPr>
          </w:p>
        </w:tc>
      </w:tr>
      <w:tr w14:paraId="5BA1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734B3F0C">
            <w:pPr>
              <w:jc w:val="center"/>
              <w:rPr>
                <w:sz w:val="16"/>
              </w:rPr>
            </w:pPr>
            <w:r>
              <w:rPr>
                <w:rFonts w:hint="eastAsia"/>
                <w:sz w:val="16"/>
              </w:rPr>
              <w:t>工程名称</w:t>
            </w:r>
          </w:p>
        </w:tc>
        <w:tc>
          <w:tcPr>
            <w:tcW w:w="7739" w:type="dxa"/>
            <w:gridSpan w:val="8"/>
            <w:vAlign w:val="center"/>
          </w:tcPr>
          <w:p w14:paraId="144B5D05">
            <w:pPr>
              <w:jc w:val="center"/>
              <w:rPr>
                <w:sz w:val="16"/>
              </w:rPr>
            </w:pPr>
          </w:p>
        </w:tc>
      </w:tr>
      <w:tr w14:paraId="5005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7EDBB62F">
            <w:pPr>
              <w:jc w:val="center"/>
              <w:rPr>
                <w:sz w:val="16"/>
              </w:rPr>
            </w:pPr>
            <w:r>
              <w:rPr>
                <w:rFonts w:hint="eastAsia"/>
                <w:sz w:val="16"/>
              </w:rPr>
              <w:t>施工单位</w:t>
            </w:r>
          </w:p>
        </w:tc>
        <w:tc>
          <w:tcPr>
            <w:tcW w:w="7739" w:type="dxa"/>
            <w:gridSpan w:val="8"/>
            <w:vAlign w:val="center"/>
          </w:tcPr>
          <w:p w14:paraId="42E4D025">
            <w:pPr>
              <w:jc w:val="center"/>
              <w:rPr>
                <w:sz w:val="16"/>
              </w:rPr>
            </w:pPr>
          </w:p>
        </w:tc>
      </w:tr>
      <w:tr w14:paraId="3A0B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370C3084">
            <w:pPr>
              <w:jc w:val="center"/>
              <w:rPr>
                <w:sz w:val="16"/>
              </w:rPr>
            </w:pPr>
            <w:r>
              <w:rPr>
                <w:rFonts w:hint="eastAsia"/>
                <w:sz w:val="16"/>
              </w:rPr>
              <w:t>注浆材料</w:t>
            </w:r>
          </w:p>
        </w:tc>
        <w:tc>
          <w:tcPr>
            <w:tcW w:w="3381" w:type="dxa"/>
            <w:gridSpan w:val="3"/>
            <w:vAlign w:val="center"/>
          </w:tcPr>
          <w:p w14:paraId="68D629C2">
            <w:pPr>
              <w:jc w:val="center"/>
              <w:rPr>
                <w:sz w:val="16"/>
              </w:rPr>
            </w:pPr>
          </w:p>
        </w:tc>
        <w:tc>
          <w:tcPr>
            <w:tcW w:w="1701" w:type="dxa"/>
            <w:vAlign w:val="center"/>
          </w:tcPr>
          <w:p w14:paraId="425180F8">
            <w:pPr>
              <w:jc w:val="center"/>
              <w:rPr>
                <w:sz w:val="16"/>
              </w:rPr>
            </w:pPr>
            <w:r>
              <w:rPr>
                <w:rFonts w:hint="eastAsia"/>
                <w:sz w:val="16"/>
              </w:rPr>
              <w:t>注浆设备型号</w:t>
            </w:r>
          </w:p>
        </w:tc>
        <w:tc>
          <w:tcPr>
            <w:tcW w:w="2657" w:type="dxa"/>
            <w:gridSpan w:val="4"/>
            <w:vAlign w:val="center"/>
          </w:tcPr>
          <w:p w14:paraId="2FDB2CC7">
            <w:pPr>
              <w:jc w:val="center"/>
              <w:rPr>
                <w:sz w:val="16"/>
              </w:rPr>
            </w:pPr>
          </w:p>
        </w:tc>
      </w:tr>
      <w:tr w14:paraId="6DA6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53BE16A7">
            <w:pPr>
              <w:jc w:val="center"/>
              <w:rPr>
                <w:sz w:val="16"/>
              </w:rPr>
            </w:pPr>
            <w:r>
              <w:rPr>
                <w:rFonts w:hint="eastAsia"/>
                <w:sz w:val="16"/>
              </w:rPr>
              <w:t>注浆位置</w:t>
            </w:r>
          </w:p>
        </w:tc>
        <w:tc>
          <w:tcPr>
            <w:tcW w:w="1547" w:type="dxa"/>
            <w:gridSpan w:val="2"/>
            <w:vAlign w:val="center"/>
          </w:tcPr>
          <w:p w14:paraId="4D762ED0">
            <w:pPr>
              <w:jc w:val="center"/>
              <w:rPr>
                <w:sz w:val="16"/>
              </w:rPr>
            </w:pPr>
            <w:r>
              <w:rPr>
                <w:rFonts w:hint="eastAsia"/>
                <w:sz w:val="16"/>
              </w:rPr>
              <w:t>注浆日期</w:t>
            </w:r>
          </w:p>
        </w:tc>
        <w:tc>
          <w:tcPr>
            <w:tcW w:w="1834" w:type="dxa"/>
            <w:vAlign w:val="center"/>
          </w:tcPr>
          <w:p w14:paraId="6443F4EA">
            <w:pPr>
              <w:jc w:val="center"/>
              <w:rPr>
                <w:sz w:val="16"/>
              </w:rPr>
            </w:pPr>
            <w:r>
              <w:rPr>
                <w:rFonts w:hint="eastAsia"/>
                <w:sz w:val="16"/>
              </w:rPr>
              <w:t>注浆压力M</w:t>
            </w:r>
            <w:r>
              <w:rPr>
                <w:sz w:val="16"/>
              </w:rPr>
              <w:t>P</w:t>
            </w:r>
            <w:r>
              <w:rPr>
                <w:rFonts w:hint="eastAsia"/>
                <w:sz w:val="16"/>
              </w:rPr>
              <w:t>a</w:t>
            </w:r>
          </w:p>
        </w:tc>
        <w:tc>
          <w:tcPr>
            <w:tcW w:w="1843" w:type="dxa"/>
            <w:gridSpan w:val="2"/>
            <w:vAlign w:val="center"/>
          </w:tcPr>
          <w:p w14:paraId="63C2BCCE">
            <w:pPr>
              <w:jc w:val="center"/>
              <w:rPr>
                <w:sz w:val="16"/>
              </w:rPr>
            </w:pPr>
            <w:r>
              <w:rPr>
                <w:rFonts w:hint="eastAsia"/>
                <w:sz w:val="16"/>
              </w:rPr>
              <w:t>注浆量（</w:t>
            </w:r>
            <w:r>
              <w:rPr>
                <w:sz w:val="16"/>
              </w:rPr>
              <w:t>L</w:t>
            </w:r>
            <w:r>
              <w:rPr>
                <w:rFonts w:hint="eastAsia"/>
                <w:sz w:val="16"/>
              </w:rPr>
              <w:t>）</w:t>
            </w:r>
          </w:p>
        </w:tc>
        <w:tc>
          <w:tcPr>
            <w:tcW w:w="1134" w:type="dxa"/>
            <w:gridSpan w:val="2"/>
            <w:vAlign w:val="center"/>
          </w:tcPr>
          <w:p w14:paraId="74EF74E6">
            <w:pPr>
              <w:jc w:val="center"/>
              <w:rPr>
                <w:sz w:val="16"/>
              </w:rPr>
            </w:pPr>
            <w:r>
              <w:rPr>
                <w:rFonts w:hint="eastAsia"/>
                <w:sz w:val="16"/>
              </w:rPr>
              <w:t>饱满情况</w:t>
            </w:r>
          </w:p>
        </w:tc>
        <w:tc>
          <w:tcPr>
            <w:tcW w:w="1381" w:type="dxa"/>
            <w:vAlign w:val="center"/>
          </w:tcPr>
          <w:p w14:paraId="73BE5560">
            <w:pPr>
              <w:jc w:val="center"/>
              <w:rPr>
                <w:sz w:val="16"/>
              </w:rPr>
            </w:pPr>
            <w:r>
              <w:rPr>
                <w:rFonts w:hint="eastAsia"/>
                <w:sz w:val="16"/>
              </w:rPr>
              <w:t>备注</w:t>
            </w:r>
          </w:p>
        </w:tc>
      </w:tr>
      <w:tr w14:paraId="4384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074F4145">
            <w:pPr>
              <w:jc w:val="center"/>
            </w:pPr>
          </w:p>
        </w:tc>
        <w:tc>
          <w:tcPr>
            <w:tcW w:w="1547" w:type="dxa"/>
            <w:gridSpan w:val="2"/>
            <w:vAlign w:val="center"/>
          </w:tcPr>
          <w:p w14:paraId="3B492586">
            <w:pPr>
              <w:jc w:val="center"/>
            </w:pPr>
          </w:p>
        </w:tc>
        <w:tc>
          <w:tcPr>
            <w:tcW w:w="1834" w:type="dxa"/>
            <w:vAlign w:val="center"/>
          </w:tcPr>
          <w:p w14:paraId="6E5C83B4">
            <w:pPr>
              <w:jc w:val="center"/>
            </w:pPr>
          </w:p>
        </w:tc>
        <w:tc>
          <w:tcPr>
            <w:tcW w:w="1843" w:type="dxa"/>
            <w:gridSpan w:val="2"/>
            <w:vAlign w:val="center"/>
          </w:tcPr>
          <w:p w14:paraId="3D928EB1">
            <w:pPr>
              <w:jc w:val="center"/>
            </w:pPr>
          </w:p>
        </w:tc>
        <w:tc>
          <w:tcPr>
            <w:tcW w:w="1134" w:type="dxa"/>
            <w:gridSpan w:val="2"/>
            <w:vAlign w:val="center"/>
          </w:tcPr>
          <w:p w14:paraId="5F61F228">
            <w:pPr>
              <w:jc w:val="center"/>
            </w:pPr>
          </w:p>
        </w:tc>
        <w:tc>
          <w:tcPr>
            <w:tcW w:w="1381" w:type="dxa"/>
            <w:vAlign w:val="center"/>
          </w:tcPr>
          <w:p w14:paraId="4E034259">
            <w:pPr>
              <w:jc w:val="center"/>
            </w:pPr>
          </w:p>
        </w:tc>
      </w:tr>
      <w:tr w14:paraId="49DE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0374F027">
            <w:pPr>
              <w:jc w:val="center"/>
            </w:pPr>
          </w:p>
        </w:tc>
        <w:tc>
          <w:tcPr>
            <w:tcW w:w="1547" w:type="dxa"/>
            <w:gridSpan w:val="2"/>
            <w:vAlign w:val="center"/>
          </w:tcPr>
          <w:p w14:paraId="7B4204CD">
            <w:pPr>
              <w:jc w:val="center"/>
            </w:pPr>
          </w:p>
        </w:tc>
        <w:tc>
          <w:tcPr>
            <w:tcW w:w="1834" w:type="dxa"/>
            <w:vAlign w:val="center"/>
          </w:tcPr>
          <w:p w14:paraId="74C7A3B8">
            <w:pPr>
              <w:jc w:val="center"/>
            </w:pPr>
          </w:p>
        </w:tc>
        <w:tc>
          <w:tcPr>
            <w:tcW w:w="1843" w:type="dxa"/>
            <w:gridSpan w:val="2"/>
            <w:vAlign w:val="center"/>
          </w:tcPr>
          <w:p w14:paraId="06574A2C">
            <w:pPr>
              <w:jc w:val="center"/>
            </w:pPr>
          </w:p>
        </w:tc>
        <w:tc>
          <w:tcPr>
            <w:tcW w:w="1134" w:type="dxa"/>
            <w:gridSpan w:val="2"/>
            <w:vAlign w:val="center"/>
          </w:tcPr>
          <w:p w14:paraId="0FA0C040">
            <w:pPr>
              <w:jc w:val="center"/>
            </w:pPr>
          </w:p>
        </w:tc>
        <w:tc>
          <w:tcPr>
            <w:tcW w:w="1381" w:type="dxa"/>
            <w:vAlign w:val="center"/>
          </w:tcPr>
          <w:p w14:paraId="68A16F8B">
            <w:pPr>
              <w:jc w:val="center"/>
            </w:pPr>
          </w:p>
        </w:tc>
      </w:tr>
      <w:tr w14:paraId="549C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57B351FD">
            <w:pPr>
              <w:jc w:val="center"/>
            </w:pPr>
          </w:p>
        </w:tc>
        <w:tc>
          <w:tcPr>
            <w:tcW w:w="1547" w:type="dxa"/>
            <w:gridSpan w:val="2"/>
            <w:vAlign w:val="center"/>
          </w:tcPr>
          <w:p w14:paraId="704330F2">
            <w:pPr>
              <w:jc w:val="center"/>
            </w:pPr>
          </w:p>
        </w:tc>
        <w:tc>
          <w:tcPr>
            <w:tcW w:w="1834" w:type="dxa"/>
            <w:vAlign w:val="center"/>
          </w:tcPr>
          <w:p w14:paraId="6325D9DB">
            <w:pPr>
              <w:jc w:val="center"/>
            </w:pPr>
          </w:p>
        </w:tc>
        <w:tc>
          <w:tcPr>
            <w:tcW w:w="1843" w:type="dxa"/>
            <w:gridSpan w:val="2"/>
            <w:vAlign w:val="center"/>
          </w:tcPr>
          <w:p w14:paraId="5B8300FD">
            <w:pPr>
              <w:jc w:val="center"/>
            </w:pPr>
          </w:p>
        </w:tc>
        <w:tc>
          <w:tcPr>
            <w:tcW w:w="1134" w:type="dxa"/>
            <w:gridSpan w:val="2"/>
            <w:vAlign w:val="center"/>
          </w:tcPr>
          <w:p w14:paraId="51A6C44F">
            <w:pPr>
              <w:jc w:val="center"/>
            </w:pPr>
          </w:p>
        </w:tc>
        <w:tc>
          <w:tcPr>
            <w:tcW w:w="1381" w:type="dxa"/>
            <w:vAlign w:val="center"/>
          </w:tcPr>
          <w:p w14:paraId="3E69D149">
            <w:pPr>
              <w:jc w:val="center"/>
            </w:pPr>
          </w:p>
        </w:tc>
      </w:tr>
      <w:tr w14:paraId="2AD8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75847687">
            <w:pPr>
              <w:jc w:val="center"/>
            </w:pPr>
          </w:p>
        </w:tc>
        <w:tc>
          <w:tcPr>
            <w:tcW w:w="1547" w:type="dxa"/>
            <w:gridSpan w:val="2"/>
            <w:vAlign w:val="center"/>
          </w:tcPr>
          <w:p w14:paraId="69C613AC">
            <w:pPr>
              <w:jc w:val="center"/>
            </w:pPr>
          </w:p>
        </w:tc>
        <w:tc>
          <w:tcPr>
            <w:tcW w:w="1834" w:type="dxa"/>
            <w:vAlign w:val="center"/>
          </w:tcPr>
          <w:p w14:paraId="72E87B83">
            <w:pPr>
              <w:jc w:val="center"/>
            </w:pPr>
          </w:p>
        </w:tc>
        <w:tc>
          <w:tcPr>
            <w:tcW w:w="1843" w:type="dxa"/>
            <w:gridSpan w:val="2"/>
            <w:vAlign w:val="center"/>
          </w:tcPr>
          <w:p w14:paraId="5733CA1B">
            <w:pPr>
              <w:jc w:val="center"/>
            </w:pPr>
          </w:p>
        </w:tc>
        <w:tc>
          <w:tcPr>
            <w:tcW w:w="1134" w:type="dxa"/>
            <w:gridSpan w:val="2"/>
            <w:vAlign w:val="center"/>
          </w:tcPr>
          <w:p w14:paraId="08901D45">
            <w:pPr>
              <w:jc w:val="center"/>
            </w:pPr>
          </w:p>
        </w:tc>
        <w:tc>
          <w:tcPr>
            <w:tcW w:w="1381" w:type="dxa"/>
            <w:vAlign w:val="center"/>
          </w:tcPr>
          <w:p w14:paraId="0E234BA0">
            <w:pPr>
              <w:jc w:val="center"/>
            </w:pPr>
          </w:p>
        </w:tc>
      </w:tr>
      <w:tr w14:paraId="3BCF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6CA0623A">
            <w:pPr>
              <w:jc w:val="center"/>
            </w:pPr>
          </w:p>
        </w:tc>
        <w:tc>
          <w:tcPr>
            <w:tcW w:w="1547" w:type="dxa"/>
            <w:gridSpan w:val="2"/>
            <w:vAlign w:val="center"/>
          </w:tcPr>
          <w:p w14:paraId="0E86ECA7">
            <w:pPr>
              <w:jc w:val="center"/>
            </w:pPr>
          </w:p>
        </w:tc>
        <w:tc>
          <w:tcPr>
            <w:tcW w:w="1834" w:type="dxa"/>
            <w:vAlign w:val="center"/>
          </w:tcPr>
          <w:p w14:paraId="41EEB2F7">
            <w:pPr>
              <w:jc w:val="center"/>
            </w:pPr>
          </w:p>
        </w:tc>
        <w:tc>
          <w:tcPr>
            <w:tcW w:w="1843" w:type="dxa"/>
            <w:gridSpan w:val="2"/>
            <w:vAlign w:val="center"/>
          </w:tcPr>
          <w:p w14:paraId="4571DF29">
            <w:pPr>
              <w:jc w:val="center"/>
            </w:pPr>
          </w:p>
        </w:tc>
        <w:tc>
          <w:tcPr>
            <w:tcW w:w="1134" w:type="dxa"/>
            <w:gridSpan w:val="2"/>
            <w:vAlign w:val="center"/>
          </w:tcPr>
          <w:p w14:paraId="7CEF11B1">
            <w:pPr>
              <w:jc w:val="center"/>
            </w:pPr>
          </w:p>
        </w:tc>
        <w:tc>
          <w:tcPr>
            <w:tcW w:w="1381" w:type="dxa"/>
            <w:vAlign w:val="center"/>
          </w:tcPr>
          <w:p w14:paraId="71A8A141">
            <w:pPr>
              <w:jc w:val="center"/>
            </w:pPr>
          </w:p>
        </w:tc>
      </w:tr>
      <w:tr w14:paraId="471C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346578E2">
            <w:pPr>
              <w:jc w:val="center"/>
            </w:pPr>
          </w:p>
        </w:tc>
        <w:tc>
          <w:tcPr>
            <w:tcW w:w="1547" w:type="dxa"/>
            <w:gridSpan w:val="2"/>
            <w:vAlign w:val="center"/>
          </w:tcPr>
          <w:p w14:paraId="65F98653">
            <w:pPr>
              <w:jc w:val="center"/>
            </w:pPr>
          </w:p>
        </w:tc>
        <w:tc>
          <w:tcPr>
            <w:tcW w:w="1834" w:type="dxa"/>
            <w:vAlign w:val="center"/>
          </w:tcPr>
          <w:p w14:paraId="67FBD217">
            <w:pPr>
              <w:jc w:val="center"/>
            </w:pPr>
          </w:p>
        </w:tc>
        <w:tc>
          <w:tcPr>
            <w:tcW w:w="1843" w:type="dxa"/>
            <w:gridSpan w:val="2"/>
            <w:vAlign w:val="center"/>
          </w:tcPr>
          <w:p w14:paraId="4B823533">
            <w:pPr>
              <w:jc w:val="center"/>
            </w:pPr>
          </w:p>
        </w:tc>
        <w:tc>
          <w:tcPr>
            <w:tcW w:w="1134" w:type="dxa"/>
            <w:gridSpan w:val="2"/>
            <w:vAlign w:val="center"/>
          </w:tcPr>
          <w:p w14:paraId="21BBEC48">
            <w:pPr>
              <w:jc w:val="center"/>
            </w:pPr>
          </w:p>
        </w:tc>
        <w:tc>
          <w:tcPr>
            <w:tcW w:w="1381" w:type="dxa"/>
            <w:vAlign w:val="center"/>
          </w:tcPr>
          <w:p w14:paraId="5B81FC96">
            <w:pPr>
              <w:jc w:val="center"/>
            </w:pPr>
          </w:p>
        </w:tc>
      </w:tr>
      <w:tr w14:paraId="789A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0CF00464">
            <w:pPr>
              <w:jc w:val="center"/>
            </w:pPr>
          </w:p>
        </w:tc>
        <w:tc>
          <w:tcPr>
            <w:tcW w:w="1547" w:type="dxa"/>
            <w:gridSpan w:val="2"/>
            <w:vAlign w:val="center"/>
          </w:tcPr>
          <w:p w14:paraId="2748ED2B">
            <w:pPr>
              <w:jc w:val="center"/>
            </w:pPr>
          </w:p>
        </w:tc>
        <w:tc>
          <w:tcPr>
            <w:tcW w:w="1834" w:type="dxa"/>
            <w:vAlign w:val="center"/>
          </w:tcPr>
          <w:p w14:paraId="4EDE9152">
            <w:pPr>
              <w:jc w:val="center"/>
            </w:pPr>
          </w:p>
        </w:tc>
        <w:tc>
          <w:tcPr>
            <w:tcW w:w="1843" w:type="dxa"/>
            <w:gridSpan w:val="2"/>
            <w:vAlign w:val="center"/>
          </w:tcPr>
          <w:p w14:paraId="76A8DDD8">
            <w:pPr>
              <w:jc w:val="center"/>
            </w:pPr>
          </w:p>
        </w:tc>
        <w:tc>
          <w:tcPr>
            <w:tcW w:w="1134" w:type="dxa"/>
            <w:gridSpan w:val="2"/>
            <w:vAlign w:val="center"/>
          </w:tcPr>
          <w:p w14:paraId="38331E45">
            <w:pPr>
              <w:jc w:val="center"/>
            </w:pPr>
          </w:p>
        </w:tc>
        <w:tc>
          <w:tcPr>
            <w:tcW w:w="1381" w:type="dxa"/>
            <w:vAlign w:val="center"/>
          </w:tcPr>
          <w:p w14:paraId="05796796">
            <w:pPr>
              <w:jc w:val="center"/>
            </w:pPr>
          </w:p>
        </w:tc>
      </w:tr>
      <w:tr w14:paraId="6C37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5B4E914C">
            <w:pPr>
              <w:jc w:val="center"/>
            </w:pPr>
          </w:p>
        </w:tc>
        <w:tc>
          <w:tcPr>
            <w:tcW w:w="1547" w:type="dxa"/>
            <w:gridSpan w:val="2"/>
            <w:vAlign w:val="center"/>
          </w:tcPr>
          <w:p w14:paraId="1BCF2B78">
            <w:pPr>
              <w:jc w:val="center"/>
            </w:pPr>
          </w:p>
        </w:tc>
        <w:tc>
          <w:tcPr>
            <w:tcW w:w="1834" w:type="dxa"/>
            <w:vAlign w:val="center"/>
          </w:tcPr>
          <w:p w14:paraId="385F174B">
            <w:pPr>
              <w:jc w:val="center"/>
            </w:pPr>
          </w:p>
        </w:tc>
        <w:tc>
          <w:tcPr>
            <w:tcW w:w="1843" w:type="dxa"/>
            <w:gridSpan w:val="2"/>
            <w:vAlign w:val="center"/>
          </w:tcPr>
          <w:p w14:paraId="233D4C43">
            <w:pPr>
              <w:jc w:val="center"/>
            </w:pPr>
          </w:p>
        </w:tc>
        <w:tc>
          <w:tcPr>
            <w:tcW w:w="1134" w:type="dxa"/>
            <w:gridSpan w:val="2"/>
            <w:vAlign w:val="center"/>
          </w:tcPr>
          <w:p w14:paraId="3846D4F6">
            <w:pPr>
              <w:jc w:val="center"/>
            </w:pPr>
          </w:p>
        </w:tc>
        <w:tc>
          <w:tcPr>
            <w:tcW w:w="1381" w:type="dxa"/>
            <w:vAlign w:val="center"/>
          </w:tcPr>
          <w:p w14:paraId="132A3A33">
            <w:pPr>
              <w:jc w:val="center"/>
            </w:pPr>
          </w:p>
        </w:tc>
      </w:tr>
      <w:tr w14:paraId="7768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520C1D91">
            <w:pPr>
              <w:jc w:val="center"/>
            </w:pPr>
          </w:p>
        </w:tc>
        <w:tc>
          <w:tcPr>
            <w:tcW w:w="1547" w:type="dxa"/>
            <w:gridSpan w:val="2"/>
            <w:vAlign w:val="center"/>
          </w:tcPr>
          <w:p w14:paraId="4AB80C97">
            <w:pPr>
              <w:jc w:val="center"/>
            </w:pPr>
          </w:p>
        </w:tc>
        <w:tc>
          <w:tcPr>
            <w:tcW w:w="1834" w:type="dxa"/>
            <w:vAlign w:val="center"/>
          </w:tcPr>
          <w:p w14:paraId="22351813">
            <w:pPr>
              <w:jc w:val="center"/>
            </w:pPr>
          </w:p>
        </w:tc>
        <w:tc>
          <w:tcPr>
            <w:tcW w:w="1843" w:type="dxa"/>
            <w:gridSpan w:val="2"/>
            <w:vAlign w:val="center"/>
          </w:tcPr>
          <w:p w14:paraId="254A5F48">
            <w:pPr>
              <w:jc w:val="center"/>
            </w:pPr>
          </w:p>
        </w:tc>
        <w:tc>
          <w:tcPr>
            <w:tcW w:w="1134" w:type="dxa"/>
            <w:gridSpan w:val="2"/>
            <w:vAlign w:val="center"/>
          </w:tcPr>
          <w:p w14:paraId="46DBE217">
            <w:pPr>
              <w:jc w:val="center"/>
            </w:pPr>
          </w:p>
        </w:tc>
        <w:tc>
          <w:tcPr>
            <w:tcW w:w="1381" w:type="dxa"/>
            <w:vAlign w:val="center"/>
          </w:tcPr>
          <w:p w14:paraId="47F3D929">
            <w:pPr>
              <w:jc w:val="center"/>
            </w:pPr>
          </w:p>
        </w:tc>
      </w:tr>
      <w:tr w14:paraId="4C17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747CA0AE">
            <w:pPr>
              <w:jc w:val="center"/>
            </w:pPr>
          </w:p>
        </w:tc>
        <w:tc>
          <w:tcPr>
            <w:tcW w:w="1547" w:type="dxa"/>
            <w:gridSpan w:val="2"/>
            <w:vAlign w:val="center"/>
          </w:tcPr>
          <w:p w14:paraId="37B6F01D">
            <w:pPr>
              <w:jc w:val="center"/>
            </w:pPr>
          </w:p>
        </w:tc>
        <w:tc>
          <w:tcPr>
            <w:tcW w:w="1834" w:type="dxa"/>
            <w:vAlign w:val="center"/>
          </w:tcPr>
          <w:p w14:paraId="6B2E6EEE">
            <w:pPr>
              <w:jc w:val="center"/>
            </w:pPr>
          </w:p>
        </w:tc>
        <w:tc>
          <w:tcPr>
            <w:tcW w:w="1843" w:type="dxa"/>
            <w:gridSpan w:val="2"/>
            <w:vAlign w:val="center"/>
          </w:tcPr>
          <w:p w14:paraId="452D8240">
            <w:pPr>
              <w:jc w:val="center"/>
            </w:pPr>
          </w:p>
        </w:tc>
        <w:tc>
          <w:tcPr>
            <w:tcW w:w="1134" w:type="dxa"/>
            <w:gridSpan w:val="2"/>
            <w:vAlign w:val="center"/>
          </w:tcPr>
          <w:p w14:paraId="3E48A6E6">
            <w:pPr>
              <w:jc w:val="center"/>
            </w:pPr>
          </w:p>
        </w:tc>
        <w:tc>
          <w:tcPr>
            <w:tcW w:w="1381" w:type="dxa"/>
            <w:vAlign w:val="center"/>
          </w:tcPr>
          <w:p w14:paraId="0E1BA604">
            <w:pPr>
              <w:jc w:val="center"/>
            </w:pPr>
          </w:p>
        </w:tc>
      </w:tr>
      <w:tr w14:paraId="36A2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0628928B">
            <w:pPr>
              <w:jc w:val="center"/>
            </w:pPr>
          </w:p>
        </w:tc>
        <w:tc>
          <w:tcPr>
            <w:tcW w:w="1547" w:type="dxa"/>
            <w:gridSpan w:val="2"/>
            <w:vAlign w:val="center"/>
          </w:tcPr>
          <w:p w14:paraId="1BBEE348">
            <w:pPr>
              <w:jc w:val="center"/>
            </w:pPr>
          </w:p>
        </w:tc>
        <w:tc>
          <w:tcPr>
            <w:tcW w:w="1834" w:type="dxa"/>
            <w:vAlign w:val="center"/>
          </w:tcPr>
          <w:p w14:paraId="6EB4DBB0">
            <w:pPr>
              <w:jc w:val="center"/>
            </w:pPr>
          </w:p>
        </w:tc>
        <w:tc>
          <w:tcPr>
            <w:tcW w:w="1843" w:type="dxa"/>
            <w:gridSpan w:val="2"/>
            <w:vAlign w:val="center"/>
          </w:tcPr>
          <w:p w14:paraId="7305D10D">
            <w:pPr>
              <w:jc w:val="center"/>
            </w:pPr>
          </w:p>
        </w:tc>
        <w:tc>
          <w:tcPr>
            <w:tcW w:w="1134" w:type="dxa"/>
            <w:gridSpan w:val="2"/>
            <w:vAlign w:val="center"/>
          </w:tcPr>
          <w:p w14:paraId="0067520D">
            <w:pPr>
              <w:jc w:val="center"/>
            </w:pPr>
          </w:p>
        </w:tc>
        <w:tc>
          <w:tcPr>
            <w:tcW w:w="1381" w:type="dxa"/>
            <w:vAlign w:val="center"/>
          </w:tcPr>
          <w:p w14:paraId="42D56153">
            <w:pPr>
              <w:jc w:val="center"/>
            </w:pPr>
          </w:p>
        </w:tc>
      </w:tr>
      <w:tr w14:paraId="1FE7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7" w:type="dxa"/>
            <w:vAlign w:val="center"/>
          </w:tcPr>
          <w:p w14:paraId="39F0D777">
            <w:pPr>
              <w:jc w:val="center"/>
            </w:pPr>
          </w:p>
        </w:tc>
        <w:tc>
          <w:tcPr>
            <w:tcW w:w="1547" w:type="dxa"/>
            <w:gridSpan w:val="2"/>
            <w:vAlign w:val="center"/>
          </w:tcPr>
          <w:p w14:paraId="4318AEB4">
            <w:pPr>
              <w:jc w:val="center"/>
            </w:pPr>
          </w:p>
        </w:tc>
        <w:tc>
          <w:tcPr>
            <w:tcW w:w="1834" w:type="dxa"/>
            <w:vAlign w:val="center"/>
          </w:tcPr>
          <w:p w14:paraId="5601B107">
            <w:pPr>
              <w:jc w:val="center"/>
            </w:pPr>
          </w:p>
        </w:tc>
        <w:tc>
          <w:tcPr>
            <w:tcW w:w="1843" w:type="dxa"/>
            <w:gridSpan w:val="2"/>
            <w:vAlign w:val="center"/>
          </w:tcPr>
          <w:p w14:paraId="1A55B784">
            <w:pPr>
              <w:jc w:val="center"/>
            </w:pPr>
          </w:p>
        </w:tc>
        <w:tc>
          <w:tcPr>
            <w:tcW w:w="1134" w:type="dxa"/>
            <w:gridSpan w:val="2"/>
            <w:vAlign w:val="center"/>
          </w:tcPr>
          <w:p w14:paraId="03AD70BE">
            <w:pPr>
              <w:jc w:val="center"/>
            </w:pPr>
          </w:p>
        </w:tc>
        <w:tc>
          <w:tcPr>
            <w:tcW w:w="1381" w:type="dxa"/>
            <w:vAlign w:val="center"/>
          </w:tcPr>
          <w:p w14:paraId="3970CF7A">
            <w:pPr>
              <w:jc w:val="center"/>
            </w:pPr>
          </w:p>
        </w:tc>
      </w:tr>
      <w:tr w14:paraId="01BD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9"/>
            <w:vAlign w:val="center"/>
          </w:tcPr>
          <w:p w14:paraId="07818B39">
            <w:pPr>
              <w:jc w:val="left"/>
            </w:pPr>
            <w:r>
              <w:rPr>
                <w:rFonts w:hint="eastAsia"/>
              </w:rPr>
              <w:t>其他说明</w:t>
            </w:r>
          </w:p>
          <w:p w14:paraId="7E1C037C">
            <w:pPr>
              <w:jc w:val="left"/>
            </w:pPr>
          </w:p>
          <w:p w14:paraId="275946B9">
            <w:pPr>
              <w:jc w:val="left"/>
            </w:pPr>
          </w:p>
          <w:p w14:paraId="262945EC">
            <w:pPr>
              <w:jc w:val="left"/>
            </w:pPr>
          </w:p>
        </w:tc>
      </w:tr>
      <w:tr w14:paraId="1916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518" w:type="dxa"/>
            <w:gridSpan w:val="2"/>
            <w:vMerge w:val="restart"/>
            <w:vAlign w:val="center"/>
          </w:tcPr>
          <w:p w14:paraId="15459118">
            <w:pPr>
              <w:jc w:val="center"/>
            </w:pPr>
            <w:r>
              <w:rPr>
                <w:rFonts w:hint="eastAsia"/>
              </w:rPr>
              <w:t>监理（建设）单位</w:t>
            </w:r>
          </w:p>
        </w:tc>
        <w:tc>
          <w:tcPr>
            <w:tcW w:w="6768" w:type="dxa"/>
            <w:gridSpan w:val="7"/>
            <w:vAlign w:val="center"/>
          </w:tcPr>
          <w:p w14:paraId="53EA3A03">
            <w:pPr>
              <w:jc w:val="center"/>
            </w:pPr>
            <w:r>
              <w:rPr>
                <w:rFonts w:hint="eastAsia"/>
              </w:rPr>
              <w:t>施工单位</w:t>
            </w:r>
          </w:p>
        </w:tc>
      </w:tr>
      <w:tr w14:paraId="299E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518" w:type="dxa"/>
            <w:gridSpan w:val="2"/>
            <w:vMerge w:val="continue"/>
            <w:vAlign w:val="center"/>
          </w:tcPr>
          <w:p w14:paraId="7FCC8F4A">
            <w:pPr>
              <w:jc w:val="center"/>
            </w:pPr>
          </w:p>
        </w:tc>
        <w:tc>
          <w:tcPr>
            <w:tcW w:w="2410" w:type="dxa"/>
            <w:gridSpan w:val="2"/>
            <w:vAlign w:val="center"/>
          </w:tcPr>
          <w:p w14:paraId="5256BE94">
            <w:pPr>
              <w:jc w:val="center"/>
            </w:pPr>
            <w:r>
              <w:rPr>
                <w:rFonts w:hint="eastAsia"/>
              </w:rPr>
              <w:t>技术负责人</w:t>
            </w:r>
          </w:p>
        </w:tc>
        <w:tc>
          <w:tcPr>
            <w:tcW w:w="2268" w:type="dxa"/>
            <w:gridSpan w:val="3"/>
            <w:vAlign w:val="center"/>
          </w:tcPr>
          <w:p w14:paraId="24A382E1">
            <w:pPr>
              <w:jc w:val="center"/>
            </w:pPr>
            <w:r>
              <w:rPr>
                <w:rFonts w:hint="eastAsia"/>
              </w:rPr>
              <w:t>质检员</w:t>
            </w:r>
          </w:p>
        </w:tc>
        <w:tc>
          <w:tcPr>
            <w:tcW w:w="2090" w:type="dxa"/>
            <w:gridSpan w:val="2"/>
            <w:vAlign w:val="center"/>
          </w:tcPr>
          <w:p w14:paraId="3360B849">
            <w:pPr>
              <w:jc w:val="center"/>
            </w:pPr>
            <w:r>
              <w:rPr>
                <w:rFonts w:hint="eastAsia"/>
              </w:rPr>
              <w:t>记录人</w:t>
            </w:r>
          </w:p>
        </w:tc>
      </w:tr>
      <w:tr w14:paraId="245B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518" w:type="dxa"/>
            <w:gridSpan w:val="2"/>
            <w:vAlign w:val="center"/>
          </w:tcPr>
          <w:p w14:paraId="4C5EB687">
            <w:pPr>
              <w:jc w:val="center"/>
            </w:pPr>
          </w:p>
        </w:tc>
        <w:tc>
          <w:tcPr>
            <w:tcW w:w="2410" w:type="dxa"/>
            <w:gridSpan w:val="2"/>
            <w:vAlign w:val="center"/>
          </w:tcPr>
          <w:p w14:paraId="5D6FE43E">
            <w:pPr>
              <w:jc w:val="center"/>
            </w:pPr>
          </w:p>
        </w:tc>
        <w:tc>
          <w:tcPr>
            <w:tcW w:w="2268" w:type="dxa"/>
            <w:gridSpan w:val="3"/>
            <w:vAlign w:val="center"/>
          </w:tcPr>
          <w:p w14:paraId="775D5DF2">
            <w:pPr>
              <w:jc w:val="center"/>
            </w:pPr>
          </w:p>
        </w:tc>
        <w:tc>
          <w:tcPr>
            <w:tcW w:w="2090" w:type="dxa"/>
            <w:gridSpan w:val="2"/>
            <w:vAlign w:val="center"/>
          </w:tcPr>
          <w:p w14:paraId="1263A796">
            <w:pPr>
              <w:jc w:val="center"/>
            </w:pPr>
          </w:p>
        </w:tc>
      </w:tr>
    </w:tbl>
    <w:p w14:paraId="5CDDC16E">
      <w:pPr>
        <w:jc w:val="center"/>
      </w:pPr>
    </w:p>
    <w:p w14:paraId="29DF7726">
      <w:pPr>
        <w:jc w:val="center"/>
      </w:pPr>
    </w:p>
    <w:p w14:paraId="42E28BC7"/>
    <w:p w14:paraId="0DB46AFC">
      <w:pPr>
        <w:spacing w:before="468" w:beforeLines="150" w:after="468" w:afterLines="150"/>
        <w:jc w:val="center"/>
        <w:rPr>
          <w:rFonts w:ascii="仿宋体" w:hAnsi="仿宋体" w:eastAsia="仿宋体" w:cs="仿宋体"/>
          <w:kern w:val="44"/>
          <w:sz w:val="26"/>
          <w:szCs w:val="26"/>
        </w:rPr>
        <w:sectPr>
          <w:pgSz w:w="11906" w:h="16838"/>
          <w:pgMar w:top="1440" w:right="1418" w:bottom="1440" w:left="1418" w:header="851" w:footer="850" w:gutter="0"/>
          <w:pgNumType w:start="1"/>
          <w:cols w:space="720" w:num="1"/>
          <w:titlePg/>
          <w:docGrid w:type="linesAndChars" w:linePitch="312" w:charSpace="0"/>
        </w:sectPr>
      </w:pPr>
    </w:p>
    <w:p w14:paraId="4746DC88">
      <w:pPr>
        <w:jc w:val="center"/>
      </w:pPr>
    </w:p>
    <w:p w14:paraId="68268DEF">
      <w:pPr>
        <w:spacing w:line="360" w:lineRule="auto"/>
        <w:jc w:val="center"/>
      </w:pPr>
    </w:p>
    <w:p w14:paraId="1C8D5C81">
      <w:pPr>
        <w:pStyle w:val="2"/>
        <w:keepNext w:val="0"/>
        <w:keepLines w:val="0"/>
        <w:autoSpaceDE w:val="0"/>
        <w:autoSpaceDN w:val="0"/>
        <w:snapToGrid w:val="0"/>
        <w:spacing w:before="0" w:after="0" w:line="288" w:lineRule="auto"/>
        <w:jc w:val="center"/>
        <w:rPr>
          <w:rFonts w:ascii="黑体" w:hAnsi="黑体" w:eastAsia="黑体"/>
          <w:b w:val="0"/>
          <w:sz w:val="26"/>
          <w:szCs w:val="26"/>
        </w:rPr>
      </w:pPr>
      <w:bookmarkStart w:id="386" w:name="_Toc188612095"/>
      <w:bookmarkStart w:id="387" w:name="_Toc185236615"/>
      <w:bookmarkStart w:id="388" w:name="_Toc164082936"/>
      <w:bookmarkStart w:id="389" w:name="_Toc185235664"/>
      <w:bookmarkStart w:id="390" w:name="_Toc188798566"/>
      <w:bookmarkStart w:id="391" w:name="_Toc164082939"/>
      <w:r>
        <w:rPr>
          <w:rFonts w:hint="eastAsia" w:ascii="黑体" w:hAnsi="黑体" w:eastAsia="黑体"/>
          <w:b w:val="0"/>
          <w:sz w:val="26"/>
          <w:szCs w:val="26"/>
        </w:rPr>
        <w:t>本标准用词说明</w:t>
      </w:r>
      <w:bookmarkEnd w:id="386"/>
      <w:bookmarkEnd w:id="387"/>
      <w:bookmarkEnd w:id="388"/>
      <w:bookmarkEnd w:id="389"/>
      <w:bookmarkEnd w:id="390"/>
    </w:p>
    <w:p w14:paraId="3053E7E6">
      <w:pPr>
        <w:snapToGrid w:val="0"/>
        <w:spacing w:line="288" w:lineRule="auto"/>
        <w:ind w:left="2" w:hanging="2"/>
        <w:jc w:val="center"/>
        <w:outlineLvl w:val="0"/>
        <w:rPr>
          <w:rFonts w:eastAsia="黑体"/>
          <w:b/>
          <w:bCs/>
          <w:kern w:val="44"/>
          <w:sz w:val="26"/>
          <w:szCs w:val="26"/>
        </w:rPr>
      </w:pPr>
    </w:p>
    <w:p w14:paraId="52636DED">
      <w:pPr>
        <w:adjustRightInd w:val="0"/>
        <w:snapToGrid w:val="0"/>
        <w:spacing w:line="360" w:lineRule="auto"/>
        <w:ind w:firstLine="420"/>
      </w:pPr>
      <w:r>
        <w:rPr>
          <w:rFonts w:hAnsi="Cambria Math"/>
          <w:b/>
          <w:bCs/>
        </w:rPr>
        <w:t>1</w:t>
      </w:r>
      <w:r>
        <w:rPr>
          <w:rFonts w:hint="eastAsia"/>
        </w:rPr>
        <w:t xml:space="preserve">  为便于在执行本标准条文时区别对待，对要求严格程度不同的用词说明如下：</w:t>
      </w:r>
    </w:p>
    <w:p w14:paraId="7C158D75">
      <w:pPr>
        <w:adjustRightInd w:val="0"/>
        <w:snapToGrid w:val="0"/>
        <w:spacing w:line="360" w:lineRule="auto"/>
        <w:ind w:firstLine="422" w:firstLineChars="200"/>
      </w:pPr>
      <w:r>
        <w:rPr>
          <w:rFonts w:hAnsi="Cambria Math"/>
          <w:b/>
          <w:bCs/>
        </w:rPr>
        <w:t>1</w:t>
      </w:r>
      <w:r>
        <w:rPr>
          <w:rFonts w:hint="eastAsia" w:hAnsi="Cambria Math"/>
          <w:b/>
          <w:bCs/>
        </w:rPr>
        <w:t>）</w:t>
      </w:r>
      <w:r>
        <w:rPr>
          <w:rFonts w:hint="eastAsia"/>
        </w:rPr>
        <w:t>表示很严格，非这样做不可的：</w:t>
      </w:r>
    </w:p>
    <w:p w14:paraId="0A912A66">
      <w:pPr>
        <w:adjustRightInd w:val="0"/>
        <w:snapToGrid w:val="0"/>
        <w:spacing w:line="360" w:lineRule="auto"/>
        <w:ind w:firstLine="735" w:firstLineChars="350"/>
      </w:pPr>
      <w:r>
        <w:rPr>
          <w:rFonts w:hint="eastAsia"/>
        </w:rPr>
        <w:t>正面词采用“必须”；反面词采用“严禁”；</w:t>
      </w:r>
    </w:p>
    <w:p w14:paraId="114E3C16">
      <w:pPr>
        <w:adjustRightInd w:val="0"/>
        <w:snapToGrid w:val="0"/>
        <w:spacing w:line="360" w:lineRule="auto"/>
        <w:ind w:firstLine="422" w:firstLineChars="200"/>
      </w:pPr>
      <w:r>
        <w:rPr>
          <w:rFonts w:hAnsi="Cambria Math"/>
          <w:b/>
          <w:bCs/>
        </w:rPr>
        <w:t>2</w:t>
      </w:r>
      <w:r>
        <w:rPr>
          <w:rFonts w:hint="eastAsia" w:hAnsi="Cambria Math"/>
          <w:b/>
          <w:bCs/>
        </w:rPr>
        <w:t>）</w:t>
      </w:r>
      <w:r>
        <w:rPr>
          <w:rFonts w:hint="eastAsia"/>
        </w:rPr>
        <w:t>表示严格，在正常情况下均应这样做的：</w:t>
      </w:r>
    </w:p>
    <w:p w14:paraId="1A83BB5F">
      <w:pPr>
        <w:adjustRightInd w:val="0"/>
        <w:snapToGrid w:val="0"/>
        <w:spacing w:line="360" w:lineRule="auto"/>
        <w:ind w:firstLine="735" w:firstLineChars="350"/>
      </w:pPr>
      <w:r>
        <w:rPr>
          <w:rFonts w:hint="eastAsia"/>
        </w:rPr>
        <w:t>正面词采用“应”；反面词采用 “不应”或“不得”；</w:t>
      </w:r>
    </w:p>
    <w:p w14:paraId="381171F7">
      <w:pPr>
        <w:adjustRightInd w:val="0"/>
        <w:snapToGrid w:val="0"/>
        <w:spacing w:line="360" w:lineRule="auto"/>
        <w:ind w:left="315" w:leftChars="150" w:firstLine="105" w:firstLineChars="50"/>
      </w:pPr>
      <w:r>
        <w:rPr>
          <w:rFonts w:hAnsi="Cambria Math"/>
          <w:b/>
          <w:bCs/>
        </w:rPr>
        <w:t>3</w:t>
      </w:r>
      <w:r>
        <w:rPr>
          <w:rFonts w:hint="eastAsia" w:hAnsi="Cambria Math"/>
          <w:b/>
          <w:bCs/>
        </w:rPr>
        <w:t>）</w:t>
      </w:r>
      <w:r>
        <w:rPr>
          <w:rFonts w:hint="eastAsia"/>
        </w:rPr>
        <w:t>表示允许稍有选择，在条件许可时首先应这样做的：</w:t>
      </w:r>
    </w:p>
    <w:p w14:paraId="4729BE47">
      <w:pPr>
        <w:adjustRightInd w:val="0"/>
        <w:snapToGrid w:val="0"/>
        <w:spacing w:line="360" w:lineRule="auto"/>
        <w:ind w:firstLine="630" w:firstLineChars="300"/>
      </w:pPr>
      <w:r>
        <w:rPr>
          <w:rFonts w:hint="eastAsia"/>
        </w:rPr>
        <w:t>正面词采用“宜”；反面词采用“不宜”；</w:t>
      </w:r>
    </w:p>
    <w:p w14:paraId="0812E44C">
      <w:pPr>
        <w:adjustRightInd w:val="0"/>
        <w:snapToGrid w:val="0"/>
        <w:spacing w:line="360" w:lineRule="auto"/>
        <w:ind w:firstLine="422" w:firstLineChars="200"/>
      </w:pPr>
      <w:r>
        <w:rPr>
          <w:rFonts w:hint="eastAsia" w:hAnsi="Cambria Math"/>
          <w:b/>
          <w:bCs/>
        </w:rPr>
        <w:t>4）</w:t>
      </w:r>
      <w:r>
        <w:rPr>
          <w:rFonts w:hint="eastAsia"/>
        </w:rPr>
        <w:t>表示有选择，在一定条件下可以这样做的，采用“可”。</w:t>
      </w:r>
    </w:p>
    <w:p w14:paraId="1CB02BEE">
      <w:pPr>
        <w:adjustRightInd w:val="0"/>
        <w:snapToGrid w:val="0"/>
        <w:spacing w:line="360" w:lineRule="auto"/>
        <w:ind w:firstLine="420" w:firstLineChars="200"/>
      </w:pPr>
      <w:r>
        <w:t>2</w:t>
      </w:r>
      <w:r>
        <w:rPr>
          <w:rFonts w:hint="eastAsia"/>
        </w:rPr>
        <w:t xml:space="preserve">  </w:t>
      </w:r>
      <w:r>
        <w:t>条文中指明应按其他有关标准执行的写法为：</w:t>
      </w:r>
      <w:r>
        <w:rPr>
          <w:rFonts w:hint="eastAsia"/>
        </w:rPr>
        <w:t>“</w:t>
      </w:r>
      <w:r>
        <w:t>应</w:t>
      </w:r>
      <w:r>
        <w:rPr>
          <w:rFonts w:hint="eastAsia"/>
        </w:rPr>
        <w:t>符合</w:t>
      </w:r>
      <w:r>
        <w:t>……</w:t>
      </w:r>
      <w:r>
        <w:rPr>
          <w:rFonts w:hint="eastAsia"/>
        </w:rPr>
        <w:t>的</w:t>
      </w:r>
      <w:r>
        <w:t>规定</w:t>
      </w:r>
      <w:r>
        <w:rPr>
          <w:rFonts w:hint="eastAsia"/>
        </w:rPr>
        <w:t>”或“</w:t>
      </w:r>
      <w:r>
        <w:t>应</w:t>
      </w:r>
      <w:r>
        <w:rPr>
          <w:rFonts w:hint="eastAsia"/>
        </w:rPr>
        <w:t>按</w:t>
      </w:r>
      <w:r>
        <w:t>……</w:t>
      </w:r>
      <w:r>
        <w:rPr>
          <w:rFonts w:hint="eastAsia"/>
        </w:rPr>
        <w:t>执行”。</w:t>
      </w:r>
    </w:p>
    <w:p w14:paraId="73DFFA42">
      <w:pPr>
        <w:adjustRightInd w:val="0"/>
        <w:snapToGrid w:val="0"/>
        <w:spacing w:line="360" w:lineRule="auto"/>
        <w:ind w:firstLine="420" w:firstLineChars="200"/>
      </w:pPr>
    </w:p>
    <w:p w14:paraId="00D2469E">
      <w:pPr>
        <w:adjustRightInd w:val="0"/>
        <w:snapToGrid w:val="0"/>
        <w:spacing w:line="360" w:lineRule="auto"/>
        <w:ind w:firstLine="420" w:firstLineChars="200"/>
      </w:pPr>
    </w:p>
    <w:p w14:paraId="09F6A8B8">
      <w:pPr>
        <w:adjustRightInd w:val="0"/>
        <w:snapToGrid w:val="0"/>
        <w:spacing w:line="360" w:lineRule="auto"/>
        <w:ind w:firstLine="420" w:firstLineChars="200"/>
      </w:pPr>
    </w:p>
    <w:p w14:paraId="3B2CD10D">
      <w:pPr>
        <w:adjustRightInd w:val="0"/>
        <w:snapToGrid w:val="0"/>
        <w:spacing w:line="360" w:lineRule="auto"/>
        <w:ind w:firstLine="420" w:firstLineChars="200"/>
      </w:pPr>
    </w:p>
    <w:bookmarkEnd w:id="391"/>
    <w:p w14:paraId="464833FC">
      <w:pPr>
        <w:spacing w:line="331" w:lineRule="auto"/>
        <w:rPr>
          <w:b/>
          <w:bCs/>
        </w:rPr>
      </w:pPr>
    </w:p>
    <w:p w14:paraId="6A6456CB">
      <w:pPr>
        <w:spacing w:line="331" w:lineRule="auto"/>
      </w:pPr>
    </w:p>
    <w:p w14:paraId="4748DEA7">
      <w:pPr>
        <w:pStyle w:val="2"/>
        <w:keepNext w:val="0"/>
        <w:keepLines w:val="0"/>
        <w:autoSpaceDE w:val="0"/>
        <w:autoSpaceDN w:val="0"/>
        <w:snapToGrid w:val="0"/>
        <w:spacing w:before="0" w:after="0" w:line="288" w:lineRule="auto"/>
        <w:ind w:firstLine="402" w:firstLineChars="200"/>
        <w:rPr>
          <w:sz w:val="20"/>
          <w:szCs w:val="20"/>
        </w:rPr>
      </w:pPr>
      <w:r>
        <w:rPr>
          <w:sz w:val="20"/>
          <w:szCs w:val="20"/>
        </w:rPr>
        <w:br w:type="page"/>
      </w:r>
      <w:bookmarkStart w:id="392" w:name="_Toc14872"/>
      <w:bookmarkStart w:id="393" w:name="_Toc5587"/>
      <w:bookmarkStart w:id="394" w:name="_Toc13071912"/>
      <w:bookmarkStart w:id="395" w:name="_Toc534036624"/>
      <w:bookmarkStart w:id="396" w:name="_Toc1672"/>
      <w:bookmarkStart w:id="397" w:name="_Toc532502832"/>
      <w:bookmarkStart w:id="398" w:name="_Toc534043463"/>
      <w:bookmarkStart w:id="399" w:name="_Toc28875506"/>
    </w:p>
    <w:p w14:paraId="2D195D66">
      <w:pPr>
        <w:pStyle w:val="2"/>
        <w:keepNext w:val="0"/>
        <w:keepLines w:val="0"/>
        <w:autoSpaceDE w:val="0"/>
        <w:autoSpaceDN w:val="0"/>
        <w:snapToGrid w:val="0"/>
        <w:spacing w:before="0" w:after="0" w:line="288" w:lineRule="auto"/>
        <w:jc w:val="center"/>
        <w:rPr>
          <w:rFonts w:ascii="黑体" w:hAnsi="黑体" w:eastAsia="黑体"/>
          <w:b w:val="0"/>
          <w:sz w:val="26"/>
          <w:szCs w:val="26"/>
        </w:rPr>
      </w:pPr>
      <w:bookmarkStart w:id="400" w:name="_Toc185235665"/>
      <w:bookmarkStart w:id="401" w:name="_Toc764794142"/>
      <w:bookmarkStart w:id="402" w:name="_Toc831796856"/>
      <w:bookmarkStart w:id="403" w:name="_Toc188612096"/>
      <w:bookmarkStart w:id="404" w:name="_Toc364821826"/>
      <w:bookmarkStart w:id="405" w:name="_Toc185236616"/>
      <w:bookmarkStart w:id="406" w:name="_Toc1713397146"/>
      <w:bookmarkStart w:id="407" w:name="_Toc188798567"/>
      <w:bookmarkStart w:id="408" w:name="_Toc1704633607"/>
      <w:r>
        <w:rPr>
          <w:rFonts w:ascii="黑体" w:hAnsi="黑体" w:eastAsia="黑体"/>
          <w:b w:val="0"/>
          <w:sz w:val="26"/>
          <w:szCs w:val="26"/>
        </w:rPr>
        <w:t>引用标准名录</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33270266">
      <w:pPr>
        <w:autoSpaceDE w:val="0"/>
        <w:autoSpaceDN w:val="0"/>
        <w:snapToGrid w:val="0"/>
        <w:spacing w:line="288" w:lineRule="auto"/>
        <w:ind w:firstLine="400" w:firstLineChars="200"/>
        <w:rPr>
          <w:sz w:val="20"/>
          <w:szCs w:val="20"/>
        </w:rPr>
      </w:pPr>
    </w:p>
    <w:p w14:paraId="4F574F8D">
      <w:pPr>
        <w:pStyle w:val="295"/>
        <w:adjustRightInd w:val="0"/>
        <w:snapToGrid w:val="0"/>
        <w:spacing w:line="288" w:lineRule="auto"/>
        <w:ind w:left="0" w:leftChars="0" w:right="0" w:rightChars="0"/>
        <w:rPr>
          <w:rFonts w:ascii="Times New Roman" w:hAnsi="Times New Roman" w:cs="Times New Roman"/>
          <w:sz w:val="20"/>
          <w:szCs w:val="20"/>
        </w:rPr>
      </w:pPr>
      <w:r>
        <w:rPr>
          <w:rFonts w:hint="eastAsia" w:ascii="Times New Roman" w:hAnsi="Times New Roman" w:cs="Times New Roman"/>
          <w:b/>
          <w:bCs/>
          <w:sz w:val="20"/>
          <w:szCs w:val="20"/>
        </w:rPr>
        <w:t xml:space="preserve">1 </w:t>
      </w:r>
      <w:r>
        <w:rPr>
          <w:rFonts w:hint="eastAsia" w:ascii="Times New Roman" w:hAnsi="Times New Roman" w:cs="Times New Roman"/>
          <w:bCs/>
          <w:sz w:val="20"/>
          <w:szCs w:val="20"/>
        </w:rPr>
        <w:t>《</w:t>
      </w:r>
      <w:r>
        <w:rPr>
          <w:rFonts w:hint="eastAsia" w:ascii="Times New Roman" w:hAnsi="Times New Roman" w:cs="Times New Roman"/>
          <w:sz w:val="20"/>
          <w:szCs w:val="20"/>
        </w:rPr>
        <w:t>混凝土结构工程施工质量验收规范》</w:t>
      </w:r>
      <w:r>
        <w:rPr>
          <w:rFonts w:hint="eastAsia" w:ascii="Times New Roman" w:hAnsi="Times New Roman" w:cs="Times New Roman"/>
          <w:bCs/>
          <w:sz w:val="20"/>
          <w:szCs w:val="20"/>
        </w:rPr>
        <w:t xml:space="preserve">                                                     </w:t>
      </w:r>
      <w:r>
        <w:rPr>
          <w:rFonts w:hint="eastAsia" w:ascii="Times New Roman" w:hAnsi="Times New Roman" w:cs="Times New Roman"/>
          <w:sz w:val="20"/>
          <w:szCs w:val="20"/>
        </w:rPr>
        <w:t xml:space="preserve"> GB 50204</w:t>
      </w:r>
    </w:p>
    <w:p w14:paraId="1EA564A3">
      <w:pPr>
        <w:pStyle w:val="295"/>
        <w:adjustRightInd w:val="0"/>
        <w:snapToGrid w:val="0"/>
        <w:spacing w:line="288" w:lineRule="auto"/>
        <w:ind w:left="0" w:leftChars="0" w:right="0" w:rightChars="0"/>
        <w:rPr>
          <w:rFonts w:ascii="Times New Roman" w:hAnsi="Times New Roman" w:cs="Times New Roman"/>
          <w:sz w:val="20"/>
          <w:szCs w:val="20"/>
        </w:rPr>
      </w:pPr>
      <w:r>
        <w:rPr>
          <w:rFonts w:hint="eastAsia" w:ascii="Times New Roman" w:hAnsi="Times New Roman" w:cs="Times New Roman"/>
          <w:b/>
          <w:bCs/>
          <w:sz w:val="20"/>
          <w:szCs w:val="20"/>
        </w:rPr>
        <w:t xml:space="preserve">2 </w:t>
      </w:r>
      <w:r>
        <w:rPr>
          <w:rFonts w:hint="eastAsia" w:ascii="Times New Roman" w:hAnsi="Times New Roman" w:cs="Times New Roman"/>
          <w:sz w:val="20"/>
          <w:szCs w:val="20"/>
        </w:rPr>
        <w:t>《城市轨道交通工程测量规范》</w:t>
      </w:r>
      <w:r>
        <w:rPr>
          <w:rFonts w:hint="eastAsia" w:ascii="Times New Roman" w:hAnsi="Times New Roman" w:cs="Times New Roman"/>
          <w:bCs/>
          <w:sz w:val="20"/>
          <w:szCs w:val="20"/>
        </w:rPr>
        <w:t xml:space="preserve">                                                         </w:t>
      </w:r>
      <w:r>
        <w:rPr>
          <w:rFonts w:hint="eastAsia" w:ascii="Times New Roman" w:hAnsi="Times New Roman" w:cs="Times New Roman"/>
          <w:sz w:val="20"/>
          <w:szCs w:val="20"/>
        </w:rPr>
        <w:t xml:space="preserve"> GB/T 50308</w:t>
      </w:r>
    </w:p>
    <w:p w14:paraId="40391500">
      <w:pPr>
        <w:pStyle w:val="295"/>
        <w:adjustRightInd w:val="0"/>
        <w:snapToGrid w:val="0"/>
        <w:spacing w:line="288" w:lineRule="auto"/>
        <w:ind w:left="0" w:leftChars="0" w:right="0" w:rightChars="0"/>
        <w:rPr>
          <w:rFonts w:ascii="Times New Roman" w:hAnsi="Times New Roman" w:cs="Times New Roman"/>
          <w:sz w:val="20"/>
          <w:szCs w:val="20"/>
        </w:rPr>
      </w:pPr>
      <w:r>
        <w:rPr>
          <w:rFonts w:hint="eastAsia" w:ascii="Times New Roman" w:hAnsi="Times New Roman" w:cs="Times New Roman"/>
          <w:b/>
          <w:bCs/>
          <w:sz w:val="20"/>
          <w:szCs w:val="20"/>
        </w:rPr>
        <w:t xml:space="preserve">3 </w:t>
      </w:r>
      <w:r>
        <w:rPr>
          <w:rFonts w:hint="eastAsia" w:ascii="Times New Roman" w:hAnsi="Times New Roman" w:cs="Times New Roman"/>
          <w:sz w:val="20"/>
          <w:szCs w:val="20"/>
        </w:rPr>
        <w:t>《城市轨道交通工程监测技术规范》</w:t>
      </w:r>
      <w:r>
        <w:rPr>
          <w:rFonts w:hint="eastAsia" w:ascii="Times New Roman" w:hAnsi="Times New Roman" w:cs="Times New Roman"/>
          <w:bCs/>
          <w:sz w:val="20"/>
          <w:szCs w:val="20"/>
        </w:rPr>
        <w:t xml:space="preserve">                                                        </w:t>
      </w:r>
      <w:r>
        <w:rPr>
          <w:rFonts w:hint="eastAsia" w:ascii="Times New Roman" w:hAnsi="Times New Roman" w:cs="Times New Roman"/>
          <w:sz w:val="20"/>
          <w:szCs w:val="20"/>
        </w:rPr>
        <w:t xml:space="preserve"> GB 50911</w:t>
      </w:r>
    </w:p>
    <w:p w14:paraId="049200DA">
      <w:pPr>
        <w:pStyle w:val="295"/>
        <w:adjustRightInd w:val="0"/>
        <w:snapToGrid w:val="0"/>
        <w:spacing w:line="288" w:lineRule="auto"/>
        <w:ind w:left="0" w:leftChars="0" w:right="0" w:rightChars="0"/>
        <w:rPr>
          <w:rFonts w:ascii="Times New Roman" w:hAnsi="Times New Roman" w:cs="Times New Roman"/>
          <w:sz w:val="20"/>
          <w:szCs w:val="20"/>
        </w:rPr>
      </w:pPr>
      <w:r>
        <w:rPr>
          <w:rFonts w:hint="eastAsia" w:ascii="Times New Roman" w:hAnsi="Times New Roman" w:cs="Times New Roman"/>
          <w:b/>
          <w:bCs/>
          <w:sz w:val="20"/>
          <w:szCs w:val="20"/>
        </w:rPr>
        <w:t>4</w:t>
      </w:r>
      <w:r>
        <w:rPr>
          <w:rFonts w:ascii="Times New Roman" w:hAnsi="Times New Roman" w:cs="Times New Roman"/>
          <w:b/>
          <w:bCs/>
          <w:sz w:val="20"/>
          <w:szCs w:val="20"/>
        </w:rPr>
        <w:t xml:space="preserve"> </w:t>
      </w:r>
      <w:r>
        <w:rPr>
          <w:rFonts w:ascii="Times New Roman" w:hAnsi="Times New Roman" w:cs="Times New Roman"/>
          <w:sz w:val="20"/>
          <w:szCs w:val="20"/>
        </w:rPr>
        <w:t>《</w:t>
      </w:r>
      <w:r>
        <w:rPr>
          <w:rFonts w:hint="eastAsia"/>
          <w:sz w:val="20"/>
          <w:szCs w:val="20"/>
        </w:rPr>
        <w:t>建筑与市政工程施工现场临时用电安全技术标准</w:t>
      </w:r>
      <w:r>
        <w:rPr>
          <w:rFonts w:ascii="Times New Roman" w:hAnsi="Times New Roman" w:cs="Times New Roman"/>
          <w:sz w:val="20"/>
          <w:szCs w:val="20"/>
        </w:rPr>
        <w:t>》</w:t>
      </w:r>
      <w:r>
        <w:rPr>
          <w:rFonts w:hint="eastAsia" w:ascii="Times New Roman" w:hAnsi="Times New Roman" w:cs="Times New Roman"/>
          <w:sz w:val="20"/>
          <w:szCs w:val="20"/>
        </w:rPr>
        <w:t xml:space="preserve">                                           </w:t>
      </w:r>
      <w:r>
        <w:rPr>
          <w:rFonts w:ascii="Times New Roman" w:hAnsi="Times New Roman" w:cs="Times New Roman"/>
          <w:sz w:val="20"/>
          <w:szCs w:val="20"/>
        </w:rPr>
        <w:t>JGJ</w:t>
      </w:r>
      <w:r>
        <w:rPr>
          <w:rFonts w:hint="eastAsia" w:ascii="Times New Roman" w:hAnsi="Times New Roman" w:cs="Times New Roman"/>
          <w:sz w:val="20"/>
          <w:szCs w:val="20"/>
        </w:rPr>
        <w:t xml:space="preserve">/T </w:t>
      </w:r>
      <w:r>
        <w:rPr>
          <w:rFonts w:ascii="Times New Roman" w:hAnsi="Times New Roman" w:cs="Times New Roman"/>
          <w:sz w:val="20"/>
          <w:szCs w:val="20"/>
        </w:rPr>
        <w:t>46</w:t>
      </w:r>
    </w:p>
    <w:p w14:paraId="7141A98F">
      <w:pPr>
        <w:pStyle w:val="295"/>
        <w:adjustRightInd w:val="0"/>
        <w:snapToGrid w:val="0"/>
        <w:spacing w:line="288" w:lineRule="auto"/>
        <w:ind w:left="0" w:leftChars="0" w:right="0" w:rightChars="0"/>
        <w:rPr>
          <w:rFonts w:ascii="Times New Roman" w:hAnsi="Times New Roman" w:cs="Times New Roman"/>
          <w:b/>
          <w:bCs/>
          <w:sz w:val="20"/>
          <w:szCs w:val="20"/>
        </w:rPr>
      </w:pPr>
      <w:r>
        <w:rPr>
          <w:rFonts w:hint="eastAsia" w:ascii="Times New Roman" w:hAnsi="Times New Roman" w:cs="Times New Roman"/>
          <w:b/>
          <w:bCs/>
          <w:sz w:val="20"/>
          <w:szCs w:val="20"/>
        </w:rPr>
        <w:t xml:space="preserve">5 </w:t>
      </w:r>
      <w:r>
        <w:rPr>
          <w:rFonts w:hint="eastAsia" w:ascii="Times New Roman" w:hAnsi="Times New Roman" w:cs="Times New Roman"/>
          <w:bCs/>
          <w:sz w:val="20"/>
          <w:szCs w:val="20"/>
        </w:rPr>
        <w:t>《城市轨道交通工程质量验收标准 第1部分：土建工程》                                 D</w:t>
      </w:r>
      <w:r>
        <w:rPr>
          <w:rFonts w:ascii="Times New Roman" w:hAnsi="Times New Roman" w:cs="Times New Roman"/>
          <w:bCs/>
          <w:sz w:val="20"/>
          <w:szCs w:val="20"/>
        </w:rPr>
        <w:t>B</w:t>
      </w:r>
      <w:r>
        <w:rPr>
          <w:rFonts w:hint="eastAsia" w:ascii="Times New Roman" w:hAnsi="Times New Roman" w:cs="Times New Roman"/>
          <w:bCs/>
          <w:sz w:val="20"/>
          <w:szCs w:val="20"/>
        </w:rPr>
        <w:t xml:space="preserve"> </w:t>
      </w:r>
      <w:r>
        <w:rPr>
          <w:rFonts w:ascii="Times New Roman" w:hAnsi="Times New Roman" w:cs="Times New Roman"/>
          <w:bCs/>
          <w:sz w:val="20"/>
          <w:szCs w:val="20"/>
        </w:rPr>
        <w:t>11/T 311.1</w:t>
      </w:r>
    </w:p>
    <w:p w14:paraId="10C5C6E2">
      <w:pPr>
        <w:pStyle w:val="295"/>
        <w:adjustRightInd w:val="0"/>
        <w:snapToGrid w:val="0"/>
        <w:spacing w:line="288" w:lineRule="auto"/>
        <w:ind w:left="0" w:leftChars="0" w:right="0" w:rightChars="0"/>
        <w:rPr>
          <w:rFonts w:ascii="Times New Roman" w:hAnsi="Times New Roman" w:cs="Times New Roman"/>
          <w:b/>
          <w:bCs/>
          <w:sz w:val="20"/>
          <w:szCs w:val="20"/>
        </w:rPr>
      </w:pPr>
      <w:r>
        <w:rPr>
          <w:rFonts w:hint="eastAsia" w:ascii="Times New Roman" w:hAnsi="Times New Roman" w:cs="Times New Roman"/>
          <w:b/>
          <w:bCs/>
          <w:sz w:val="20"/>
          <w:szCs w:val="20"/>
        </w:rPr>
        <w:t>6</w:t>
      </w:r>
      <w:r>
        <w:rPr>
          <w:rFonts w:ascii="Times New Roman" w:hAnsi="Times New Roman" w:cs="Times New Roman"/>
          <w:b/>
          <w:bCs/>
          <w:sz w:val="20"/>
          <w:szCs w:val="20"/>
        </w:rPr>
        <w:t xml:space="preserve"> </w:t>
      </w:r>
      <w:r>
        <w:rPr>
          <w:rFonts w:ascii="Times New Roman" w:hAnsi="Times New Roman" w:cs="Times New Roman"/>
          <w:bCs/>
          <w:sz w:val="20"/>
          <w:szCs w:val="20"/>
        </w:rPr>
        <w:t>《地铁工程监控量测技术规程》</w:t>
      </w:r>
      <w:r>
        <w:rPr>
          <w:rFonts w:hint="eastAsia" w:ascii="Times New Roman" w:hAnsi="Times New Roman" w:cs="Times New Roman"/>
          <w:bCs/>
          <w:sz w:val="20"/>
          <w:szCs w:val="20"/>
        </w:rPr>
        <w:t xml:space="preserve">                                                         </w:t>
      </w:r>
      <w:r>
        <w:rPr>
          <w:rFonts w:ascii="Times New Roman" w:hAnsi="Times New Roman" w:cs="Times New Roman"/>
          <w:bCs/>
          <w:sz w:val="20"/>
          <w:szCs w:val="20"/>
        </w:rPr>
        <w:t>DB</w:t>
      </w:r>
      <w:r>
        <w:rPr>
          <w:rFonts w:hint="eastAsia" w:ascii="Times New Roman" w:hAnsi="Times New Roman" w:cs="Times New Roman"/>
          <w:bCs/>
          <w:sz w:val="20"/>
          <w:szCs w:val="20"/>
        </w:rPr>
        <w:t xml:space="preserve"> </w:t>
      </w:r>
      <w:r>
        <w:rPr>
          <w:rFonts w:ascii="Times New Roman" w:hAnsi="Times New Roman" w:cs="Times New Roman"/>
          <w:bCs/>
          <w:sz w:val="20"/>
          <w:szCs w:val="20"/>
        </w:rPr>
        <w:t>11/</w:t>
      </w:r>
      <w:r>
        <w:rPr>
          <w:rFonts w:hint="eastAsia" w:ascii="Times New Roman" w:hAnsi="Times New Roman" w:cs="Times New Roman"/>
          <w:bCs/>
          <w:sz w:val="20"/>
          <w:szCs w:val="20"/>
        </w:rPr>
        <w:t>T</w:t>
      </w:r>
      <w:r>
        <w:rPr>
          <w:rFonts w:ascii="Times New Roman" w:hAnsi="Times New Roman" w:cs="Times New Roman"/>
          <w:bCs/>
          <w:sz w:val="20"/>
          <w:szCs w:val="20"/>
        </w:rPr>
        <w:t xml:space="preserve"> 490</w:t>
      </w:r>
    </w:p>
    <w:p w14:paraId="64A4FA21">
      <w:pPr>
        <w:pStyle w:val="295"/>
        <w:adjustRightInd w:val="0"/>
        <w:snapToGrid w:val="0"/>
        <w:spacing w:line="288" w:lineRule="auto"/>
        <w:ind w:left="0" w:leftChars="0" w:right="0" w:rightChars="0"/>
        <w:rPr>
          <w:rFonts w:ascii="Times New Roman" w:hAnsi="Times New Roman" w:cs="Times New Roman"/>
          <w:bCs/>
          <w:sz w:val="20"/>
          <w:szCs w:val="20"/>
        </w:rPr>
      </w:pPr>
      <w:r>
        <w:rPr>
          <w:rFonts w:hint="eastAsia" w:ascii="Times New Roman" w:hAnsi="Times New Roman" w:cs="Times New Roman"/>
          <w:b/>
          <w:bCs/>
          <w:sz w:val="20"/>
          <w:szCs w:val="20"/>
        </w:rPr>
        <w:t>7</w:t>
      </w:r>
      <w:r>
        <w:rPr>
          <w:rFonts w:ascii="Times New Roman" w:hAnsi="Times New Roman" w:cs="Times New Roman"/>
          <w:b/>
          <w:bCs/>
          <w:sz w:val="20"/>
          <w:szCs w:val="20"/>
        </w:rPr>
        <w:t xml:space="preserve"> </w:t>
      </w:r>
      <w:r>
        <w:rPr>
          <w:rFonts w:ascii="Times New Roman" w:hAnsi="Times New Roman" w:cs="Times New Roman"/>
          <w:bCs/>
          <w:sz w:val="20"/>
          <w:szCs w:val="20"/>
        </w:rPr>
        <w:t>《轨道交通工程防水技术规程》</w:t>
      </w:r>
      <w:r>
        <w:rPr>
          <w:rFonts w:hint="eastAsia" w:ascii="Times New Roman" w:hAnsi="Times New Roman" w:cs="Times New Roman"/>
          <w:bCs/>
          <w:sz w:val="20"/>
          <w:szCs w:val="20"/>
        </w:rPr>
        <w:t xml:space="preserve">                                                         </w:t>
      </w:r>
      <w:r>
        <w:rPr>
          <w:rFonts w:ascii="Times New Roman" w:hAnsi="Times New Roman" w:cs="Times New Roman"/>
          <w:bCs/>
          <w:sz w:val="20"/>
          <w:szCs w:val="20"/>
        </w:rPr>
        <w:t>DB</w:t>
      </w:r>
      <w:r>
        <w:rPr>
          <w:rFonts w:hint="eastAsia" w:ascii="Times New Roman" w:hAnsi="Times New Roman" w:cs="Times New Roman"/>
          <w:bCs/>
          <w:sz w:val="20"/>
          <w:szCs w:val="20"/>
        </w:rPr>
        <w:t xml:space="preserve"> </w:t>
      </w:r>
      <w:r>
        <w:rPr>
          <w:rFonts w:ascii="Times New Roman" w:hAnsi="Times New Roman" w:cs="Times New Roman"/>
          <w:bCs/>
          <w:sz w:val="20"/>
          <w:szCs w:val="20"/>
        </w:rPr>
        <w:t>11/</w:t>
      </w:r>
      <w:r>
        <w:rPr>
          <w:rFonts w:hint="eastAsia" w:ascii="Times New Roman" w:hAnsi="Times New Roman" w:cs="Times New Roman"/>
          <w:bCs/>
          <w:sz w:val="20"/>
          <w:szCs w:val="20"/>
        </w:rPr>
        <w:t xml:space="preserve">T </w:t>
      </w:r>
      <w:r>
        <w:rPr>
          <w:rFonts w:ascii="Times New Roman" w:hAnsi="Times New Roman" w:cs="Times New Roman"/>
          <w:bCs/>
          <w:sz w:val="20"/>
          <w:szCs w:val="20"/>
        </w:rPr>
        <w:t>581</w:t>
      </w:r>
    </w:p>
    <w:p w14:paraId="6E7EC276">
      <w:pPr>
        <w:pStyle w:val="295"/>
        <w:adjustRightInd w:val="0"/>
        <w:snapToGrid w:val="0"/>
        <w:spacing w:line="288" w:lineRule="auto"/>
        <w:ind w:left="0" w:leftChars="0" w:right="0" w:rightChars="0"/>
        <w:rPr>
          <w:rFonts w:ascii="Times New Roman" w:hAnsi="Times New Roman" w:cs="Times New Roman"/>
          <w:bCs/>
          <w:sz w:val="20"/>
          <w:szCs w:val="20"/>
        </w:rPr>
      </w:pPr>
      <w:r>
        <w:rPr>
          <w:rFonts w:hint="eastAsia" w:ascii="Times New Roman" w:hAnsi="Times New Roman" w:cs="Times New Roman"/>
          <w:b/>
          <w:bCs/>
          <w:sz w:val="20"/>
          <w:szCs w:val="20"/>
        </w:rPr>
        <w:t>8</w:t>
      </w:r>
      <w:r>
        <w:rPr>
          <w:rFonts w:hint="eastAsia" w:hAnsi="Cambria Math"/>
          <w:bCs/>
          <w:sz w:val="20"/>
          <w:szCs w:val="20"/>
        </w:rPr>
        <w:t xml:space="preserve"> 《穿越既有道路设施工程技术要求》                                                     </w:t>
      </w:r>
      <w:r>
        <w:rPr>
          <w:rFonts w:hint="eastAsia" w:ascii="Times New Roman" w:hAnsi="Times New Roman" w:cs="Times New Roman"/>
          <w:bCs/>
          <w:sz w:val="20"/>
          <w:szCs w:val="20"/>
        </w:rPr>
        <w:t>DB 11/T 716</w:t>
      </w:r>
    </w:p>
    <w:p w14:paraId="68E9A495">
      <w:pPr>
        <w:pStyle w:val="295"/>
        <w:adjustRightInd w:val="0"/>
        <w:snapToGrid w:val="0"/>
        <w:spacing w:line="288" w:lineRule="auto"/>
        <w:ind w:left="0" w:leftChars="0" w:right="0" w:rightChars="0"/>
        <w:rPr>
          <w:rFonts w:ascii="Times New Roman" w:hAnsi="Times New Roman" w:cs="Times New Roman"/>
          <w:bCs/>
          <w:sz w:val="20"/>
          <w:szCs w:val="20"/>
        </w:rPr>
      </w:pPr>
      <w:r>
        <w:rPr>
          <w:rFonts w:hint="eastAsia" w:ascii="Times New Roman" w:hAnsi="Times New Roman" w:cs="Times New Roman"/>
          <w:b/>
          <w:bCs/>
          <w:sz w:val="20"/>
          <w:szCs w:val="20"/>
        </w:rPr>
        <w:t xml:space="preserve">9 </w:t>
      </w:r>
      <w:r>
        <w:rPr>
          <w:rFonts w:ascii="Times New Roman" w:hAnsi="Times New Roman" w:cs="Times New Roman"/>
          <w:bCs/>
          <w:sz w:val="20"/>
          <w:szCs w:val="20"/>
        </w:rPr>
        <w:t>《</w:t>
      </w:r>
      <w:r>
        <w:rPr>
          <w:rFonts w:ascii="Times New Roman" w:hAnsi="Times New Roman" w:cs="Times New Roman"/>
          <w:sz w:val="20"/>
          <w:szCs w:val="20"/>
        </w:rPr>
        <w:t>有限空间作业安全技术规</w:t>
      </w:r>
      <w:r>
        <w:rPr>
          <w:rFonts w:ascii="Times New Roman" w:hAnsi="Times New Roman" w:cs="Times New Roman"/>
          <w:bCs/>
          <w:sz w:val="20"/>
          <w:szCs w:val="20"/>
        </w:rPr>
        <w:t>范》</w:t>
      </w:r>
      <w:r>
        <w:rPr>
          <w:rFonts w:hint="eastAsia" w:ascii="Times New Roman" w:hAnsi="Times New Roman" w:cs="Times New Roman"/>
          <w:bCs/>
          <w:sz w:val="20"/>
          <w:szCs w:val="20"/>
        </w:rPr>
        <w:t xml:space="preserve">                                                         </w:t>
      </w:r>
      <w:r>
        <w:rPr>
          <w:rFonts w:ascii="Times New Roman" w:hAnsi="Times New Roman" w:cs="Times New Roman"/>
          <w:bCs/>
          <w:sz w:val="20"/>
          <w:szCs w:val="20"/>
        </w:rPr>
        <w:t>DB</w:t>
      </w:r>
      <w:r>
        <w:rPr>
          <w:rFonts w:hint="eastAsia" w:ascii="Times New Roman" w:hAnsi="Times New Roman" w:cs="Times New Roman"/>
          <w:bCs/>
          <w:sz w:val="20"/>
          <w:szCs w:val="20"/>
        </w:rPr>
        <w:t xml:space="preserve"> </w:t>
      </w:r>
      <w:r>
        <w:rPr>
          <w:rFonts w:ascii="Times New Roman" w:hAnsi="Times New Roman" w:cs="Times New Roman"/>
          <w:bCs/>
          <w:sz w:val="20"/>
          <w:szCs w:val="20"/>
        </w:rPr>
        <w:t>11/T 852</w:t>
      </w:r>
    </w:p>
    <w:p w14:paraId="25CA358F">
      <w:pPr>
        <w:pStyle w:val="295"/>
        <w:adjustRightInd w:val="0"/>
        <w:snapToGrid w:val="0"/>
        <w:spacing w:line="288" w:lineRule="auto"/>
        <w:ind w:left="0" w:leftChars="0" w:right="0" w:rightChars="0"/>
        <w:rPr>
          <w:rFonts w:ascii="Times New Roman" w:hAnsi="Times New Roman" w:cs="Times New Roman"/>
          <w:sz w:val="20"/>
          <w:szCs w:val="20"/>
        </w:rPr>
      </w:pPr>
      <w:r>
        <w:rPr>
          <w:rFonts w:hint="eastAsia" w:ascii="Times New Roman" w:hAnsi="Times New Roman" w:cs="Times New Roman"/>
          <w:b/>
          <w:bCs/>
          <w:sz w:val="20"/>
          <w:szCs w:val="20"/>
        </w:rPr>
        <w:t>10</w:t>
      </w:r>
      <w:r>
        <w:rPr>
          <w:rFonts w:hint="eastAsia" w:hAnsi="Cambria Math"/>
          <w:bCs/>
          <w:sz w:val="20"/>
          <w:szCs w:val="20"/>
        </w:rPr>
        <w:t xml:space="preserve"> </w:t>
      </w:r>
      <w:r>
        <w:rPr>
          <w:rFonts w:hint="eastAsia" w:ascii="Times New Roman" w:hAnsi="Times New Roman" w:cs="Times New Roman"/>
          <w:sz w:val="20"/>
          <w:szCs w:val="20"/>
        </w:rPr>
        <w:t>《穿越城市轨道交通设施检测评估及监测技术规范》                                      DB 11/T 915</w:t>
      </w:r>
    </w:p>
    <w:p w14:paraId="1E2C1951">
      <w:pPr>
        <w:pStyle w:val="295"/>
        <w:adjustRightInd w:val="0"/>
        <w:snapToGrid w:val="0"/>
        <w:spacing w:line="288" w:lineRule="auto"/>
        <w:ind w:left="0" w:leftChars="0" w:right="0" w:rightChars="0"/>
        <w:rPr>
          <w:rFonts w:ascii="Times New Roman" w:hAnsi="Times New Roman" w:cs="Times New Roman"/>
          <w:sz w:val="20"/>
          <w:szCs w:val="20"/>
        </w:rPr>
      </w:pPr>
      <w:r>
        <w:rPr>
          <w:rFonts w:hint="eastAsia" w:ascii="Times New Roman" w:hAnsi="Times New Roman" w:cs="Times New Roman"/>
          <w:b/>
          <w:bCs/>
          <w:sz w:val="20"/>
          <w:szCs w:val="20"/>
        </w:rPr>
        <w:t xml:space="preserve">11 </w:t>
      </w:r>
      <w:r>
        <w:rPr>
          <w:rFonts w:hint="eastAsia" w:ascii="Times New Roman" w:hAnsi="Times New Roman" w:cs="Times New Roman"/>
          <w:sz w:val="20"/>
          <w:szCs w:val="20"/>
        </w:rPr>
        <w:t xml:space="preserve">《城市轨道交通工程资料管理规程》                                                    </w:t>
      </w:r>
      <w:r>
        <w:rPr>
          <w:rFonts w:ascii="Times New Roman" w:hAnsi="Times New Roman" w:cs="Times New Roman"/>
          <w:sz w:val="20"/>
          <w:szCs w:val="20"/>
        </w:rPr>
        <w:t>DB</w:t>
      </w:r>
      <w:r>
        <w:rPr>
          <w:rFonts w:hint="eastAsia" w:ascii="Times New Roman" w:hAnsi="Times New Roman" w:cs="Times New Roman"/>
          <w:sz w:val="20"/>
          <w:szCs w:val="20"/>
        </w:rPr>
        <w:t xml:space="preserve"> </w:t>
      </w:r>
      <w:r>
        <w:rPr>
          <w:rFonts w:ascii="Times New Roman" w:hAnsi="Times New Roman" w:cs="Times New Roman"/>
          <w:sz w:val="20"/>
          <w:szCs w:val="20"/>
        </w:rPr>
        <w:t>11</w:t>
      </w:r>
      <w:r>
        <w:rPr>
          <w:rFonts w:hint="eastAsia" w:ascii="Times New Roman" w:hAnsi="Times New Roman" w:cs="Times New Roman"/>
          <w:sz w:val="20"/>
          <w:szCs w:val="20"/>
        </w:rPr>
        <w:t>/</w:t>
      </w:r>
      <w:r>
        <w:rPr>
          <w:rFonts w:ascii="Times New Roman" w:hAnsi="Times New Roman" w:cs="Times New Roman"/>
          <w:sz w:val="20"/>
          <w:szCs w:val="20"/>
        </w:rPr>
        <w:t>T 144</w:t>
      </w:r>
    </w:p>
    <w:p w14:paraId="024DB5CF">
      <w:pPr>
        <w:pStyle w:val="295"/>
        <w:adjustRightInd w:val="0"/>
        <w:snapToGrid w:val="0"/>
        <w:spacing w:line="288" w:lineRule="auto"/>
        <w:ind w:left="0" w:leftChars="0" w:right="0" w:rightChars="0"/>
        <w:rPr>
          <w:rFonts w:ascii="Times New Roman" w:hAnsi="Times New Roman" w:cs="Times New Roman"/>
          <w:sz w:val="20"/>
          <w:szCs w:val="20"/>
        </w:rPr>
      </w:pPr>
      <w:r>
        <w:rPr>
          <w:rFonts w:hint="eastAsia" w:ascii="Times New Roman" w:hAnsi="Times New Roman" w:cs="Times New Roman"/>
          <w:b/>
          <w:bCs/>
          <w:sz w:val="20"/>
          <w:szCs w:val="20"/>
        </w:rPr>
        <w:t>12</w:t>
      </w:r>
      <w:r>
        <w:rPr>
          <w:rFonts w:hint="eastAsia" w:ascii="Times New Roman" w:hAnsi="Times New Roman" w:cs="Times New Roman"/>
          <w:sz w:val="20"/>
          <w:szCs w:val="20"/>
        </w:rPr>
        <w:t xml:space="preserve"> </w:t>
      </w:r>
      <w:r>
        <w:rPr>
          <w:rFonts w:ascii="Times New Roman" w:hAnsi="Times New Roman" w:cs="Times New Roman"/>
          <w:sz w:val="20"/>
          <w:szCs w:val="20"/>
        </w:rPr>
        <w:t>《城市轨道交通工程明挖法施工技术规程》</w:t>
      </w:r>
      <w:r>
        <w:rPr>
          <w:rFonts w:hint="eastAsia" w:ascii="Times New Roman" w:hAnsi="Times New Roman" w:cs="Times New Roman"/>
          <w:sz w:val="20"/>
          <w:szCs w:val="20"/>
        </w:rPr>
        <w:t xml:space="preserve">                                              </w:t>
      </w:r>
      <w:r>
        <w:rPr>
          <w:rFonts w:ascii="Times New Roman" w:hAnsi="Times New Roman" w:cs="Times New Roman"/>
          <w:sz w:val="20"/>
          <w:szCs w:val="20"/>
        </w:rPr>
        <w:t>DB11/T 2097</w:t>
      </w:r>
    </w:p>
    <w:p w14:paraId="7B89C6F8">
      <w:pPr>
        <w:autoSpaceDE w:val="0"/>
        <w:autoSpaceDN w:val="0"/>
        <w:rPr>
          <w:rFonts w:ascii="宋体" w:hAnsi="宋体"/>
          <w:bCs/>
          <w:sz w:val="20"/>
          <w:szCs w:val="20"/>
        </w:rPr>
      </w:pPr>
      <w:r>
        <w:rPr>
          <w:rFonts w:ascii="宋体" w:hAnsi="宋体"/>
          <w:bCs/>
          <w:sz w:val="20"/>
          <w:szCs w:val="20"/>
        </w:rPr>
        <w:br w:type="page"/>
      </w:r>
      <w:r>
        <mc:AlternateContent>
          <mc:Choice Requires="wps">
            <w:drawing>
              <wp:anchor distT="0" distB="0" distL="114300" distR="114300" simplePos="0" relativeHeight="251663360" behindDoc="0" locked="0" layoutInCell="1" allowOverlap="1">
                <wp:simplePos x="0" y="0"/>
                <wp:positionH relativeFrom="column">
                  <wp:posOffset>-337185</wp:posOffset>
                </wp:positionH>
                <wp:positionV relativeFrom="paragraph">
                  <wp:posOffset>3938270</wp:posOffset>
                </wp:positionV>
                <wp:extent cx="2226310" cy="490220"/>
                <wp:effectExtent l="0" t="0" r="2540" b="5080"/>
                <wp:wrapNone/>
                <wp:docPr id="17" name="矩形 480"/>
                <wp:cNvGraphicFramePr/>
                <a:graphic xmlns:a="http://schemas.openxmlformats.org/drawingml/2006/main">
                  <a:graphicData uri="http://schemas.microsoft.com/office/word/2010/wordprocessingShape">
                    <wps:wsp>
                      <wps:cNvSpPr>
                        <a:spLocks noChangeArrowheads="1"/>
                      </wps:cNvSpPr>
                      <wps:spPr bwMode="auto">
                        <a:xfrm>
                          <a:off x="0" y="0"/>
                          <a:ext cx="2226310" cy="4902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80" o:spid="_x0000_s1026" o:spt="1" style="position:absolute;left:0pt;margin-left:-26.55pt;margin-top:310.1pt;height:38.6pt;width:175.3pt;z-index:251663360;mso-width-relative:page;mso-height-relative:page;" fillcolor="#FFFFFF" filled="t" stroked="f" coordsize="21600,21600" o:gfxdata="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e7PztkA&#10;AAALAQAADwAAAAAAAAABACAAAAAiAAAAZHJzL2Rvd25yZXYueG1sUEsBAhQAFAAAAAgAh07iQLEJ&#10;S/0eAgAAKQQAAA4AAAAAAAAAAQAgAAAAKAEAAGRycy9lMm9Eb2MueG1sUEsFBgAAAAAGAAYAWQEA&#10;ALgFAAAAAA==&#10;">
                <v:fill on="t" focussize="0,0"/>
                <v:stroke on="f"/>
                <v:imagedata o:title=""/>
                <o:lock v:ext="edit" aspectratio="f"/>
              </v:rect>
            </w:pict>
          </mc:Fallback>
        </mc:AlternateContent>
      </w:r>
      <w:bookmarkEnd w:id="0"/>
    </w:p>
    <w:p w14:paraId="35A8D886">
      <w:pPr>
        <w:autoSpaceDE w:val="0"/>
        <w:autoSpaceDN w:val="0"/>
        <w:snapToGrid w:val="0"/>
        <w:spacing w:line="288" w:lineRule="auto"/>
        <w:jc w:val="center"/>
        <w:rPr>
          <w:rFonts w:ascii="宋体" w:hAnsi="宋体"/>
          <w:bCs/>
          <w:sz w:val="20"/>
          <w:szCs w:val="20"/>
        </w:rPr>
      </w:pPr>
    </w:p>
    <w:p w14:paraId="33DC0321">
      <w:pPr>
        <w:autoSpaceDE w:val="0"/>
        <w:autoSpaceDN w:val="0"/>
        <w:snapToGrid w:val="0"/>
        <w:spacing w:line="288" w:lineRule="auto"/>
        <w:jc w:val="center"/>
        <w:rPr>
          <w:rFonts w:ascii="宋体" w:hAnsi="宋体"/>
          <w:bCs/>
          <w:sz w:val="20"/>
          <w:szCs w:val="20"/>
        </w:rPr>
      </w:pPr>
    </w:p>
    <w:p w14:paraId="1AC1CABB">
      <w:pPr>
        <w:autoSpaceDE w:val="0"/>
        <w:autoSpaceDN w:val="0"/>
        <w:snapToGrid w:val="0"/>
        <w:spacing w:line="288" w:lineRule="auto"/>
        <w:jc w:val="center"/>
        <w:rPr>
          <w:rFonts w:ascii="宋体" w:hAnsi="宋体"/>
          <w:bCs/>
          <w:sz w:val="20"/>
          <w:szCs w:val="20"/>
        </w:rPr>
      </w:pPr>
    </w:p>
    <w:p w14:paraId="3D1C54A8">
      <w:pPr>
        <w:autoSpaceDE w:val="0"/>
        <w:autoSpaceDN w:val="0"/>
        <w:snapToGrid w:val="0"/>
        <w:spacing w:line="288" w:lineRule="auto"/>
        <w:jc w:val="center"/>
        <w:rPr>
          <w:rFonts w:ascii="宋体" w:hAnsi="宋体"/>
          <w:bCs/>
          <w:sz w:val="20"/>
          <w:szCs w:val="20"/>
        </w:rPr>
      </w:pPr>
    </w:p>
    <w:p w14:paraId="34A6D0E7">
      <w:pPr>
        <w:autoSpaceDE w:val="0"/>
        <w:autoSpaceDN w:val="0"/>
        <w:snapToGrid w:val="0"/>
        <w:spacing w:line="288" w:lineRule="auto"/>
        <w:jc w:val="center"/>
        <w:rPr>
          <w:rFonts w:ascii="宋体" w:hAnsi="宋体"/>
          <w:bCs/>
          <w:sz w:val="20"/>
          <w:szCs w:val="20"/>
        </w:rPr>
      </w:pPr>
    </w:p>
    <w:p w14:paraId="7E1E5E1C">
      <w:pPr>
        <w:autoSpaceDE w:val="0"/>
        <w:autoSpaceDN w:val="0"/>
        <w:snapToGrid w:val="0"/>
        <w:spacing w:line="288" w:lineRule="auto"/>
        <w:jc w:val="center"/>
        <w:rPr>
          <w:rFonts w:ascii="宋体" w:hAnsi="宋体"/>
          <w:bCs/>
          <w:sz w:val="20"/>
          <w:szCs w:val="20"/>
        </w:rPr>
      </w:pPr>
    </w:p>
    <w:p w14:paraId="46EC4DF8">
      <w:pPr>
        <w:autoSpaceDE w:val="0"/>
        <w:autoSpaceDN w:val="0"/>
        <w:snapToGrid w:val="0"/>
        <w:spacing w:line="288" w:lineRule="auto"/>
        <w:jc w:val="center"/>
        <w:rPr>
          <w:rFonts w:ascii="宋体" w:hAnsi="宋体"/>
          <w:bCs/>
          <w:sz w:val="20"/>
          <w:szCs w:val="20"/>
        </w:rPr>
      </w:pPr>
    </w:p>
    <w:p w14:paraId="133AA87D">
      <w:pPr>
        <w:autoSpaceDE w:val="0"/>
        <w:autoSpaceDN w:val="0"/>
        <w:snapToGrid w:val="0"/>
        <w:spacing w:line="288" w:lineRule="auto"/>
        <w:jc w:val="center"/>
        <w:rPr>
          <w:rFonts w:ascii="宋体" w:hAnsi="宋体"/>
          <w:bCs/>
          <w:sz w:val="20"/>
          <w:szCs w:val="20"/>
        </w:rPr>
      </w:pPr>
    </w:p>
    <w:p w14:paraId="7B387405">
      <w:pPr>
        <w:autoSpaceDE w:val="0"/>
        <w:autoSpaceDN w:val="0"/>
        <w:snapToGrid w:val="0"/>
        <w:spacing w:line="288" w:lineRule="auto"/>
        <w:jc w:val="center"/>
        <w:rPr>
          <w:rFonts w:ascii="宋体" w:hAnsi="宋体"/>
          <w:bCs/>
          <w:sz w:val="20"/>
          <w:szCs w:val="20"/>
        </w:rPr>
      </w:pPr>
    </w:p>
    <w:p w14:paraId="5ABA1234">
      <w:pPr>
        <w:autoSpaceDE w:val="0"/>
        <w:autoSpaceDN w:val="0"/>
        <w:snapToGrid w:val="0"/>
        <w:spacing w:line="288" w:lineRule="auto"/>
        <w:jc w:val="center"/>
        <w:rPr>
          <w:rFonts w:ascii="黑体" w:hAnsi="黑体" w:eastAsia="黑体"/>
          <w:bCs/>
          <w:sz w:val="26"/>
          <w:szCs w:val="26"/>
        </w:rPr>
      </w:pPr>
      <w:r>
        <w:rPr>
          <w:rFonts w:hint="eastAsia" w:ascii="黑体" w:hAnsi="黑体" w:eastAsia="黑体" w:cs="宋体"/>
          <w:bCs/>
          <w:sz w:val="26"/>
          <w:szCs w:val="26"/>
        </w:rPr>
        <w:t>北京市地方标准</w:t>
      </w:r>
    </w:p>
    <w:p w14:paraId="35D0852D">
      <w:pPr>
        <w:autoSpaceDE w:val="0"/>
        <w:autoSpaceDN w:val="0"/>
        <w:snapToGrid w:val="0"/>
        <w:spacing w:line="288" w:lineRule="auto"/>
        <w:jc w:val="center"/>
        <w:rPr>
          <w:rFonts w:ascii="宋体" w:hAnsi="宋体"/>
          <w:bCs/>
          <w:sz w:val="20"/>
          <w:szCs w:val="20"/>
        </w:rPr>
      </w:pPr>
    </w:p>
    <w:p w14:paraId="1EA9070E">
      <w:pPr>
        <w:autoSpaceDE w:val="0"/>
        <w:autoSpaceDN w:val="0"/>
        <w:snapToGrid w:val="0"/>
        <w:spacing w:line="288" w:lineRule="auto"/>
        <w:jc w:val="center"/>
        <w:rPr>
          <w:rFonts w:ascii="宋体" w:hAnsi="宋体"/>
          <w:bCs/>
          <w:sz w:val="20"/>
          <w:szCs w:val="20"/>
        </w:rPr>
      </w:pPr>
    </w:p>
    <w:p w14:paraId="2AEC2579">
      <w:pPr>
        <w:spacing w:before="72" w:beforeLines="30"/>
        <w:jc w:val="center"/>
        <w:rPr>
          <w:rFonts w:ascii="黑体" w:hAnsi="黑体" w:eastAsia="黑体"/>
          <w:sz w:val="22"/>
          <w:szCs w:val="32"/>
        </w:rPr>
      </w:pPr>
      <w:r>
        <w:rPr>
          <w:rFonts w:hint="eastAsia" w:ascii="黑体" w:hAnsi="宋体" w:eastAsia="黑体"/>
          <w:sz w:val="32"/>
          <w:szCs w:val="44"/>
        </w:rPr>
        <w:t>城市轨道交通工程矩形顶管施工与质量验收规范</w:t>
      </w:r>
    </w:p>
    <w:p w14:paraId="416A67FC">
      <w:pPr>
        <w:autoSpaceDE w:val="0"/>
        <w:autoSpaceDN w:val="0"/>
        <w:snapToGrid w:val="0"/>
        <w:spacing w:line="288" w:lineRule="auto"/>
        <w:jc w:val="center"/>
        <w:rPr>
          <w:b/>
          <w:spacing w:val="-4"/>
          <w:sz w:val="28"/>
          <w:szCs w:val="36"/>
        </w:rPr>
      </w:pPr>
      <w:r>
        <w:rPr>
          <w:b/>
          <w:spacing w:val="-4"/>
          <w:sz w:val="28"/>
          <w:szCs w:val="36"/>
        </w:rPr>
        <w:t>Standard</w:t>
      </w:r>
      <w:r>
        <w:rPr>
          <w:rFonts w:hint="eastAsia"/>
          <w:b/>
          <w:spacing w:val="-4"/>
          <w:sz w:val="28"/>
          <w:szCs w:val="36"/>
        </w:rPr>
        <w:t xml:space="preserve"> for construction and quality acceptance </w:t>
      </w:r>
      <w:r>
        <w:rPr>
          <w:b/>
          <w:spacing w:val="-4"/>
          <w:sz w:val="28"/>
          <w:szCs w:val="36"/>
        </w:rPr>
        <w:t xml:space="preserve">for </w:t>
      </w:r>
      <w:r>
        <w:rPr>
          <w:rFonts w:hint="eastAsia"/>
          <w:b/>
          <w:spacing w:val="-4"/>
          <w:sz w:val="28"/>
          <w:szCs w:val="36"/>
        </w:rPr>
        <w:t>rectangular</w:t>
      </w:r>
    </w:p>
    <w:p w14:paraId="03B2CF47">
      <w:pPr>
        <w:autoSpaceDE w:val="0"/>
        <w:autoSpaceDN w:val="0"/>
        <w:snapToGrid w:val="0"/>
        <w:spacing w:line="288" w:lineRule="auto"/>
        <w:jc w:val="center"/>
        <w:rPr>
          <w:b/>
          <w:spacing w:val="-4"/>
          <w:sz w:val="22"/>
          <w:szCs w:val="28"/>
        </w:rPr>
      </w:pPr>
      <w:r>
        <w:rPr>
          <w:rFonts w:hint="eastAsia"/>
          <w:b/>
          <w:spacing w:val="-4"/>
          <w:sz w:val="28"/>
          <w:szCs w:val="36"/>
        </w:rPr>
        <w:t>pipe jacking</w:t>
      </w:r>
      <w:r>
        <w:rPr>
          <w:b/>
          <w:spacing w:val="-4"/>
          <w:sz w:val="28"/>
          <w:szCs w:val="36"/>
        </w:rPr>
        <w:t xml:space="preserve"> of urban rail transit engineering</w:t>
      </w:r>
    </w:p>
    <w:p w14:paraId="160D40C6">
      <w:pPr>
        <w:pStyle w:val="42"/>
        <w:autoSpaceDE w:val="0"/>
        <w:autoSpaceDN w:val="0"/>
        <w:snapToGrid w:val="0"/>
        <w:spacing w:before="0" w:after="0" w:line="288" w:lineRule="auto"/>
        <w:rPr>
          <w:rFonts w:ascii="宋体" w:hAnsi="宋体" w:cs="宋体"/>
          <w:b w:val="0"/>
          <w:kern w:val="0"/>
          <w:sz w:val="26"/>
          <w:szCs w:val="26"/>
        </w:rPr>
      </w:pPr>
      <w:bookmarkStart w:id="409" w:name="_Toc451845369"/>
      <w:bookmarkStart w:id="410" w:name="_Toc446913621"/>
    </w:p>
    <w:p w14:paraId="4BB819BF"/>
    <w:p w14:paraId="0593E620">
      <w:pPr>
        <w:pStyle w:val="42"/>
        <w:autoSpaceDE w:val="0"/>
        <w:autoSpaceDN w:val="0"/>
        <w:snapToGrid w:val="0"/>
        <w:spacing w:before="0" w:after="0" w:line="288" w:lineRule="auto"/>
        <w:rPr>
          <w:rFonts w:ascii="宋体" w:hAnsi="宋体" w:cs="宋体"/>
          <w:b w:val="0"/>
          <w:kern w:val="0"/>
          <w:sz w:val="26"/>
          <w:szCs w:val="26"/>
        </w:rPr>
      </w:pPr>
      <w:bookmarkStart w:id="411" w:name="_Toc489967666"/>
      <w:bookmarkStart w:id="412" w:name="_Toc9589679"/>
      <w:bookmarkStart w:id="413" w:name="_Toc1018755585"/>
      <w:bookmarkStart w:id="414" w:name="_Toc1151105394"/>
      <w:bookmarkStart w:id="415" w:name="_Toc185236617"/>
      <w:bookmarkStart w:id="416" w:name="_Toc1309688117"/>
      <w:bookmarkStart w:id="417" w:name="_Toc184818180"/>
      <w:bookmarkStart w:id="418" w:name="_Toc185235666"/>
      <w:bookmarkStart w:id="419" w:name="_Toc188798568"/>
      <w:bookmarkStart w:id="420" w:name="_Toc552097511"/>
      <w:bookmarkStart w:id="421" w:name="_Toc18444621"/>
      <w:bookmarkStart w:id="422" w:name="_Toc188612097"/>
      <w:r>
        <w:rPr>
          <w:rFonts w:ascii="Times New Roman" w:hAnsi="Times New Roman" w:cs="Times New Roman"/>
          <w:b w:val="0"/>
          <w:kern w:val="0"/>
          <w:sz w:val="26"/>
          <w:szCs w:val="26"/>
        </w:rPr>
        <w:t>DB</w:t>
      </w:r>
      <w:r>
        <w:rPr>
          <w:rFonts w:hint="eastAsia" w:ascii="Times New Roman" w:hAnsi="Times New Roman" w:cs="Times New Roman"/>
          <w:b w:val="0"/>
          <w:kern w:val="0"/>
          <w:sz w:val="26"/>
          <w:szCs w:val="26"/>
        </w:rPr>
        <w:t>11</w:t>
      </w:r>
      <w:r>
        <w:rPr>
          <w:rFonts w:ascii="Times New Roman" w:hAnsi="Times New Roman" w:cs="Times New Roman"/>
          <w:b w:val="0"/>
          <w:kern w:val="0"/>
          <w:sz w:val="26"/>
          <w:szCs w:val="26"/>
        </w:rPr>
        <w:t xml:space="preserve">/T </w:t>
      </w:r>
      <w:r>
        <w:rPr>
          <w:rFonts w:hint="eastAsia" w:ascii="宋体" w:hAnsi="宋体" w:cs="宋体"/>
          <w:b w:val="0"/>
          <w:kern w:val="0"/>
          <w:sz w:val="26"/>
          <w:szCs w:val="26"/>
        </w:rPr>
        <w:t>****-</w:t>
      </w:r>
      <w:r>
        <w:rPr>
          <w:rFonts w:ascii="Times New Roman" w:hAnsi="Times New Roman" w:cs="Times New Roman"/>
          <w:b w:val="0"/>
          <w:kern w:val="0"/>
          <w:sz w:val="26"/>
          <w:szCs w:val="26"/>
        </w:rPr>
        <w:t>20</w:t>
      </w:r>
      <w:bookmarkEnd w:id="411"/>
      <w:bookmarkEnd w:id="412"/>
      <w:r>
        <w:rPr>
          <w:rFonts w:hint="eastAsia" w:ascii="Times New Roman" w:hAnsi="Times New Roman" w:cs="Times New Roman"/>
          <w:b w:val="0"/>
          <w:kern w:val="0"/>
          <w:sz w:val="26"/>
          <w:szCs w:val="26"/>
        </w:rPr>
        <w:t>**</w:t>
      </w:r>
      <w:bookmarkEnd w:id="413"/>
      <w:bookmarkEnd w:id="414"/>
      <w:bookmarkEnd w:id="415"/>
      <w:bookmarkEnd w:id="416"/>
      <w:bookmarkEnd w:id="417"/>
      <w:bookmarkEnd w:id="418"/>
      <w:bookmarkEnd w:id="419"/>
      <w:bookmarkEnd w:id="420"/>
      <w:bookmarkEnd w:id="421"/>
      <w:bookmarkEnd w:id="422"/>
      <w:r>
        <w:rPr>
          <w:rFonts w:ascii="Times New Roman" w:hAnsi="Times New Roman" w:cs="Times New Roman"/>
          <w:b w:val="0"/>
          <w:kern w:val="0"/>
          <w:sz w:val="26"/>
          <w:szCs w:val="26"/>
        </w:rPr>
        <w:t xml:space="preserve"> </w:t>
      </w:r>
    </w:p>
    <w:p w14:paraId="17A571FB">
      <w:pPr>
        <w:pStyle w:val="42"/>
        <w:autoSpaceDE w:val="0"/>
        <w:autoSpaceDN w:val="0"/>
        <w:snapToGrid w:val="0"/>
        <w:spacing w:before="0" w:after="0" w:line="288" w:lineRule="auto"/>
        <w:rPr>
          <w:rFonts w:ascii="宋体" w:hAnsi="宋体" w:cs="宋体"/>
          <w:b w:val="0"/>
          <w:kern w:val="0"/>
          <w:sz w:val="26"/>
          <w:szCs w:val="26"/>
        </w:rPr>
      </w:pPr>
    </w:p>
    <w:p w14:paraId="32AFF3DC">
      <w:pPr>
        <w:pStyle w:val="42"/>
        <w:autoSpaceDE w:val="0"/>
        <w:autoSpaceDN w:val="0"/>
        <w:snapToGrid w:val="0"/>
        <w:spacing w:before="0" w:after="0" w:line="288" w:lineRule="auto"/>
        <w:rPr>
          <w:rFonts w:ascii="宋体" w:hAnsi="宋体" w:cs="宋体"/>
          <w:b w:val="0"/>
          <w:kern w:val="0"/>
          <w:sz w:val="26"/>
          <w:szCs w:val="26"/>
        </w:rPr>
      </w:pPr>
      <w:bookmarkStart w:id="423" w:name="_Toc489967667"/>
      <w:bookmarkStart w:id="424" w:name="_Toc517008153"/>
      <w:bookmarkStart w:id="425" w:name="_Toc935005449"/>
      <w:bookmarkStart w:id="426" w:name="_Toc1129702469"/>
      <w:bookmarkStart w:id="427" w:name="_Toc185236618"/>
      <w:bookmarkStart w:id="428" w:name="_Toc185235667"/>
      <w:bookmarkStart w:id="429" w:name="_Toc944637521"/>
      <w:bookmarkStart w:id="430" w:name="_Toc188798569"/>
      <w:bookmarkStart w:id="431" w:name="_Toc9589680"/>
      <w:bookmarkStart w:id="432" w:name="_Toc188612098"/>
      <w:bookmarkStart w:id="433" w:name="_Toc1605378445"/>
      <w:r>
        <w:rPr>
          <w:rFonts w:hint="eastAsia" w:ascii="宋体" w:hAnsi="宋体" w:cs="宋体"/>
          <w:b w:val="0"/>
          <w:kern w:val="0"/>
          <w:sz w:val="26"/>
          <w:szCs w:val="26"/>
        </w:rPr>
        <w:t>条文说明</w:t>
      </w:r>
      <w:bookmarkEnd w:id="409"/>
      <w:bookmarkEnd w:id="410"/>
      <w:bookmarkEnd w:id="423"/>
      <w:bookmarkEnd w:id="424"/>
      <w:bookmarkEnd w:id="425"/>
      <w:bookmarkEnd w:id="426"/>
      <w:bookmarkEnd w:id="427"/>
      <w:bookmarkEnd w:id="428"/>
      <w:bookmarkEnd w:id="429"/>
      <w:bookmarkEnd w:id="430"/>
      <w:bookmarkEnd w:id="431"/>
      <w:bookmarkEnd w:id="432"/>
      <w:bookmarkEnd w:id="433"/>
    </w:p>
    <w:p w14:paraId="6EE32DA6">
      <w:pPr>
        <w:autoSpaceDE w:val="0"/>
        <w:autoSpaceDN w:val="0"/>
        <w:snapToGrid w:val="0"/>
        <w:spacing w:line="288" w:lineRule="auto"/>
        <w:jc w:val="center"/>
        <w:rPr>
          <w:rFonts w:ascii="宋体" w:hAnsi="宋体"/>
          <w:bCs/>
          <w:sz w:val="20"/>
          <w:szCs w:val="20"/>
        </w:rPr>
      </w:pPr>
    </w:p>
    <w:p w14:paraId="3FB5DC52">
      <w:pPr>
        <w:autoSpaceDE w:val="0"/>
        <w:autoSpaceDN w:val="0"/>
        <w:snapToGrid w:val="0"/>
        <w:spacing w:line="288" w:lineRule="auto"/>
        <w:jc w:val="center"/>
        <w:rPr>
          <w:rFonts w:ascii="宋体" w:hAnsi="宋体"/>
          <w:bCs/>
          <w:sz w:val="20"/>
          <w:szCs w:val="20"/>
        </w:rPr>
      </w:pPr>
    </w:p>
    <w:p w14:paraId="75763035">
      <w:pPr>
        <w:autoSpaceDE w:val="0"/>
        <w:autoSpaceDN w:val="0"/>
        <w:snapToGrid w:val="0"/>
        <w:spacing w:line="288" w:lineRule="auto"/>
        <w:rPr>
          <w:rFonts w:ascii="宋体" w:hAnsi="宋体"/>
          <w:bCs/>
          <w:sz w:val="20"/>
          <w:szCs w:val="20"/>
        </w:rPr>
      </w:pPr>
    </w:p>
    <w:p w14:paraId="287B16D1">
      <w:pPr>
        <w:jc w:val="center"/>
        <w:rPr>
          <w:b/>
          <w:sz w:val="36"/>
          <w:szCs w:val="36"/>
        </w:rPr>
      </w:pPr>
    </w:p>
    <w:p w14:paraId="621A86FD">
      <w:pPr>
        <w:autoSpaceDE w:val="0"/>
        <w:autoSpaceDN w:val="0"/>
        <w:snapToGrid w:val="0"/>
        <w:spacing w:line="288" w:lineRule="auto"/>
        <w:rPr>
          <w:rFonts w:ascii="宋体" w:hAnsi="宋体"/>
          <w:bCs/>
          <w:sz w:val="20"/>
          <w:szCs w:val="20"/>
        </w:rPr>
      </w:pPr>
    </w:p>
    <w:p w14:paraId="73B2331B">
      <w:pPr>
        <w:autoSpaceDE w:val="0"/>
        <w:autoSpaceDN w:val="0"/>
        <w:snapToGrid w:val="0"/>
        <w:spacing w:line="288" w:lineRule="auto"/>
        <w:rPr>
          <w:rFonts w:ascii="宋体" w:hAnsi="宋体"/>
          <w:bCs/>
          <w:sz w:val="20"/>
          <w:szCs w:val="20"/>
        </w:rPr>
      </w:pPr>
    </w:p>
    <w:p w14:paraId="7EE65A33">
      <w:pPr>
        <w:autoSpaceDE w:val="0"/>
        <w:autoSpaceDN w:val="0"/>
        <w:snapToGrid w:val="0"/>
        <w:spacing w:line="288" w:lineRule="auto"/>
        <w:rPr>
          <w:rFonts w:ascii="宋体" w:hAnsi="宋体"/>
          <w:bCs/>
          <w:sz w:val="20"/>
          <w:szCs w:val="20"/>
        </w:rPr>
      </w:pPr>
    </w:p>
    <w:p w14:paraId="2A296C76">
      <w:pPr>
        <w:autoSpaceDE w:val="0"/>
        <w:autoSpaceDN w:val="0"/>
        <w:snapToGrid w:val="0"/>
        <w:spacing w:line="288" w:lineRule="auto"/>
        <w:rPr>
          <w:rFonts w:ascii="宋体" w:hAnsi="宋体"/>
          <w:bCs/>
          <w:sz w:val="20"/>
          <w:szCs w:val="20"/>
        </w:rPr>
      </w:pPr>
    </w:p>
    <w:p w14:paraId="03014434">
      <w:pPr>
        <w:autoSpaceDE w:val="0"/>
        <w:autoSpaceDN w:val="0"/>
        <w:snapToGrid w:val="0"/>
        <w:spacing w:line="288" w:lineRule="auto"/>
        <w:rPr>
          <w:rFonts w:ascii="宋体" w:hAnsi="宋体"/>
          <w:bCs/>
          <w:sz w:val="20"/>
          <w:szCs w:val="20"/>
        </w:rPr>
      </w:pPr>
    </w:p>
    <w:p w14:paraId="68957322">
      <w:pPr>
        <w:autoSpaceDE w:val="0"/>
        <w:autoSpaceDN w:val="0"/>
        <w:snapToGrid w:val="0"/>
        <w:spacing w:line="288" w:lineRule="auto"/>
        <w:rPr>
          <w:rFonts w:ascii="宋体" w:hAnsi="宋体"/>
          <w:bCs/>
          <w:sz w:val="20"/>
          <w:szCs w:val="20"/>
        </w:rPr>
      </w:pPr>
    </w:p>
    <w:p w14:paraId="5DBD2659">
      <w:pPr>
        <w:autoSpaceDE w:val="0"/>
        <w:autoSpaceDN w:val="0"/>
        <w:snapToGrid w:val="0"/>
        <w:spacing w:line="288" w:lineRule="auto"/>
        <w:rPr>
          <w:rFonts w:ascii="宋体" w:hAnsi="宋体"/>
          <w:bCs/>
          <w:sz w:val="20"/>
          <w:szCs w:val="20"/>
        </w:rPr>
      </w:pPr>
    </w:p>
    <w:p w14:paraId="7254DDE5">
      <w:pPr>
        <w:autoSpaceDE w:val="0"/>
        <w:autoSpaceDN w:val="0"/>
        <w:snapToGrid w:val="0"/>
        <w:spacing w:line="288" w:lineRule="auto"/>
        <w:rPr>
          <w:rFonts w:ascii="宋体" w:hAnsi="宋体"/>
          <w:bCs/>
          <w:sz w:val="20"/>
          <w:szCs w:val="20"/>
        </w:rPr>
      </w:pPr>
    </w:p>
    <w:p w14:paraId="41DDF5AE">
      <w:pPr>
        <w:autoSpaceDE w:val="0"/>
        <w:autoSpaceDN w:val="0"/>
        <w:snapToGrid w:val="0"/>
        <w:spacing w:line="288" w:lineRule="auto"/>
        <w:rPr>
          <w:rFonts w:ascii="宋体" w:hAnsi="宋体"/>
          <w:bCs/>
          <w:sz w:val="20"/>
          <w:szCs w:val="20"/>
        </w:rPr>
      </w:pPr>
    </w:p>
    <w:p w14:paraId="4B2D6ECA">
      <w:pPr>
        <w:autoSpaceDE w:val="0"/>
        <w:autoSpaceDN w:val="0"/>
        <w:snapToGrid w:val="0"/>
        <w:spacing w:line="288" w:lineRule="auto"/>
        <w:jc w:val="center"/>
        <w:rPr>
          <w:rFonts w:ascii="宋体" w:hAnsi="宋体"/>
          <w:bCs/>
          <w:sz w:val="20"/>
          <w:szCs w:val="20"/>
        </w:rPr>
      </w:pPr>
    </w:p>
    <w:p w14:paraId="3C9CB9A6">
      <w:pPr>
        <w:autoSpaceDE w:val="0"/>
        <w:autoSpaceDN w:val="0"/>
        <w:snapToGrid w:val="0"/>
        <w:spacing w:line="288" w:lineRule="auto"/>
        <w:jc w:val="center"/>
        <w:rPr>
          <w:rFonts w:ascii="宋体" w:hAnsi="宋体"/>
          <w:sz w:val="20"/>
          <w:szCs w:val="20"/>
        </w:rPr>
      </w:pPr>
      <w:r>
        <w:rPr>
          <w:b/>
          <w:bCs/>
          <w:sz w:val="20"/>
          <w:szCs w:val="20"/>
        </w:rPr>
        <w:t>20</w:t>
      </w:r>
      <w:r>
        <w:rPr>
          <w:rFonts w:hint="eastAsia"/>
          <w:b/>
          <w:bCs/>
          <w:sz w:val="20"/>
          <w:szCs w:val="20"/>
        </w:rPr>
        <w:t>**</w:t>
      </w:r>
      <w:r>
        <w:rPr>
          <w:rFonts w:hint="eastAsia" w:ascii="黑体" w:hAnsi="黑体" w:eastAsia="黑体"/>
          <w:bCs/>
          <w:sz w:val="20"/>
          <w:szCs w:val="20"/>
        </w:rPr>
        <w:t xml:space="preserve">  北 京</w:t>
      </w:r>
    </w:p>
    <w:p w14:paraId="16FC03C7">
      <w:pPr>
        <w:autoSpaceDE w:val="0"/>
        <w:autoSpaceDN w:val="0"/>
        <w:snapToGrid w:val="0"/>
        <w:spacing w:line="288" w:lineRule="auto"/>
        <w:ind w:firstLine="400" w:firstLineChars="200"/>
        <w:rPr>
          <w:rFonts w:ascii="宋体" w:hAnsi="宋体"/>
          <w:sz w:val="20"/>
          <w:szCs w:val="20"/>
        </w:rPr>
      </w:pPr>
    </w:p>
    <w:p w14:paraId="36A4C351">
      <w:pPr>
        <w:autoSpaceDE w:val="0"/>
        <w:autoSpaceDN w:val="0"/>
        <w:jc w:val="left"/>
        <w:rPr>
          <w:rFonts w:ascii="宋体" w:hAnsi="宋体"/>
          <w:sz w:val="20"/>
          <w:szCs w:val="20"/>
        </w:rPr>
      </w:pPr>
    </w:p>
    <w:p w14:paraId="4A728BEE">
      <w:pPr>
        <w:autoSpaceDE w:val="0"/>
        <w:autoSpaceDN w:val="0"/>
        <w:jc w:val="left"/>
        <w:rPr>
          <w:rFonts w:ascii="宋体" w:hAnsi="宋体"/>
          <w:sz w:val="20"/>
          <w:szCs w:val="20"/>
        </w:rPr>
      </w:pPr>
    </w:p>
    <w:p w14:paraId="3826102C">
      <w:pPr>
        <w:autoSpaceDE w:val="0"/>
        <w:autoSpaceDN w:val="0"/>
        <w:jc w:val="left"/>
        <w:rPr>
          <w:rFonts w:ascii="宋体" w:hAnsi="宋体"/>
          <w:sz w:val="20"/>
          <w:szCs w:val="20"/>
        </w:rPr>
      </w:pPr>
    </w:p>
    <w:p w14:paraId="5C29DEB6">
      <w:pPr>
        <w:autoSpaceDE w:val="0"/>
        <w:autoSpaceDN w:val="0"/>
        <w:jc w:val="left"/>
        <w:rPr>
          <w:rFonts w:ascii="宋体" w:hAnsi="宋体"/>
          <w:sz w:val="20"/>
          <w:szCs w:val="20"/>
        </w:rPr>
      </w:pPr>
    </w:p>
    <w:p w14:paraId="1689020F">
      <w:pPr>
        <w:autoSpaceDE w:val="0"/>
        <w:autoSpaceDN w:val="0"/>
        <w:jc w:val="left"/>
        <w:rPr>
          <w:rFonts w:ascii="宋体" w:hAnsi="宋体"/>
          <w:sz w:val="20"/>
          <w:szCs w:val="20"/>
        </w:rPr>
      </w:pPr>
    </w:p>
    <w:p w14:paraId="1EE0DE9F">
      <w:pPr>
        <w:autoSpaceDE w:val="0"/>
        <w:autoSpaceDN w:val="0"/>
        <w:jc w:val="left"/>
        <w:rPr>
          <w:rFonts w:ascii="宋体" w:hAnsi="宋体"/>
          <w:sz w:val="20"/>
          <w:szCs w:val="20"/>
        </w:rPr>
      </w:pPr>
    </w:p>
    <w:p w14:paraId="47E9B942">
      <w:pPr>
        <w:autoSpaceDE w:val="0"/>
        <w:autoSpaceDN w:val="0"/>
        <w:jc w:val="left"/>
        <w:rPr>
          <w:rFonts w:ascii="宋体" w:hAnsi="宋体"/>
          <w:sz w:val="20"/>
          <w:szCs w:val="20"/>
        </w:rPr>
      </w:pPr>
    </w:p>
    <w:p w14:paraId="5CCE942D">
      <w:pPr>
        <w:autoSpaceDE w:val="0"/>
        <w:autoSpaceDN w:val="0"/>
        <w:jc w:val="left"/>
        <w:rPr>
          <w:rFonts w:ascii="宋体" w:hAnsi="宋体"/>
          <w:sz w:val="20"/>
          <w:szCs w:val="20"/>
        </w:rPr>
      </w:pPr>
    </w:p>
    <w:p w14:paraId="43E610FE">
      <w:pPr>
        <w:pStyle w:val="27"/>
        <w:autoSpaceDE w:val="0"/>
        <w:autoSpaceDN w:val="0"/>
        <w:adjustRightInd w:val="0"/>
        <w:snapToGrid w:val="0"/>
        <w:spacing w:after="0" w:line="288" w:lineRule="auto"/>
        <w:ind w:left="0" w:leftChars="0"/>
        <w:jc w:val="center"/>
        <w:rPr>
          <w:rFonts w:ascii="仿宋_GB2312" w:hAnsi="宋体" w:eastAsia="仿宋_GB2312"/>
          <w:sz w:val="26"/>
          <w:szCs w:val="26"/>
        </w:rPr>
      </w:pPr>
      <w:r>
        <w:rPr>
          <w:rFonts w:hint="eastAsia" w:ascii="仿宋_GB2312" w:hAnsi="宋体" w:eastAsia="仿宋_GB2312"/>
          <w:sz w:val="32"/>
          <w:szCs w:val="32"/>
        </w:rPr>
        <w:t>目  次</w:t>
      </w:r>
    </w:p>
    <w:p w14:paraId="2A672CF1">
      <w:pPr>
        <w:pStyle w:val="31"/>
        <w:tabs>
          <w:tab w:val="right" w:leader="dot" w:pos="9798"/>
        </w:tabs>
        <w:snapToGrid w:val="0"/>
        <w:spacing w:before="0" w:after="0" w:line="288" w:lineRule="auto"/>
        <w:rPr>
          <w:rFonts w:ascii="Times New Roman" w:hAnsi="Times New Roman" w:cs="Times New Roman" w:eastAsiaTheme="minorEastAsia"/>
          <w:b w:val="0"/>
          <w:bCs w:val="0"/>
          <w:caps w:val="0"/>
          <w:sz w:val="21"/>
          <w:szCs w:val="22"/>
        </w:rPr>
      </w:pP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TOC \o "1-2" \h \z \u </w:instrText>
      </w:r>
      <w:r>
        <w:rPr>
          <w:rFonts w:ascii="Times New Roman" w:hAnsi="Times New Roman" w:cs="Times New Roman" w:eastAsiaTheme="minorEastAsia"/>
        </w:rPr>
        <w:fldChar w:fldCharType="separate"/>
      </w:r>
      <w:r>
        <w:fldChar w:fldCharType="begin"/>
      </w:r>
      <w:r>
        <w:instrText xml:space="preserve"> HYPERLINK \l "_Toc188798570" </w:instrText>
      </w:r>
      <w:r>
        <w:fldChar w:fldCharType="separate"/>
      </w:r>
      <w:r>
        <w:rPr>
          <w:rStyle w:val="54"/>
          <w:rFonts w:ascii="Times New Roman" w:hAnsi="Times New Roman" w:cs="Times New Roman" w:eastAsiaTheme="minorEastAsia"/>
          <w:kern w:val="44"/>
        </w:rPr>
        <w:t>2  术  语</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_Toc188798570 \h </w:instrText>
      </w:r>
      <w:r>
        <w:rPr>
          <w:rFonts w:ascii="Times New Roman" w:hAnsi="Times New Roman" w:cs="Times New Roman" w:eastAsiaTheme="minorEastAsia"/>
        </w:rPr>
        <w:fldChar w:fldCharType="separate"/>
      </w:r>
      <w:r>
        <w:rPr>
          <w:rFonts w:ascii="Times New Roman" w:hAnsi="Times New Roman" w:cs="Times New Roman" w:eastAsiaTheme="minorEastAsia"/>
        </w:rPr>
        <w:t>32</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7C6C796A">
      <w:pPr>
        <w:pStyle w:val="31"/>
        <w:tabs>
          <w:tab w:val="right" w:leader="dot" w:pos="9798"/>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"_Toc188798571" </w:instrText>
      </w:r>
      <w:r>
        <w:fldChar w:fldCharType="separate"/>
      </w:r>
      <w:r>
        <w:rPr>
          <w:rStyle w:val="54"/>
          <w:rFonts w:ascii="Times New Roman" w:hAnsi="Times New Roman" w:cs="Times New Roman" w:eastAsiaTheme="minorEastAsia"/>
          <w:kern w:val="44"/>
        </w:rPr>
        <w:t>3  基本规定</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_Toc188798571 \h </w:instrText>
      </w:r>
      <w:r>
        <w:rPr>
          <w:rFonts w:ascii="Times New Roman" w:hAnsi="Times New Roman" w:cs="Times New Roman" w:eastAsiaTheme="minorEastAsia"/>
        </w:rPr>
        <w:fldChar w:fldCharType="separate"/>
      </w:r>
      <w:r>
        <w:rPr>
          <w:rFonts w:ascii="Times New Roman" w:hAnsi="Times New Roman" w:cs="Times New Roman" w:eastAsiaTheme="minorEastAsia"/>
        </w:rPr>
        <w:t>33</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3DC6B385">
      <w:pPr>
        <w:pStyle w:val="31"/>
        <w:tabs>
          <w:tab w:val="right" w:leader="dot" w:pos="9798"/>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"_Toc188798572" </w:instrText>
      </w:r>
      <w:r>
        <w:fldChar w:fldCharType="separate"/>
      </w:r>
      <w:r>
        <w:rPr>
          <w:rStyle w:val="54"/>
          <w:rFonts w:ascii="Times New Roman" w:hAnsi="Times New Roman" w:cs="Times New Roman" w:eastAsiaTheme="minorEastAsia"/>
          <w:kern w:val="44"/>
        </w:rPr>
        <w:t>4  施工准备</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_Toc188798572 \h </w:instrText>
      </w:r>
      <w:r>
        <w:rPr>
          <w:rFonts w:ascii="Times New Roman" w:hAnsi="Times New Roman" w:cs="Times New Roman" w:eastAsiaTheme="minorEastAsia"/>
        </w:rPr>
        <w:fldChar w:fldCharType="separate"/>
      </w:r>
      <w:r>
        <w:rPr>
          <w:rFonts w:ascii="Times New Roman" w:hAnsi="Times New Roman" w:cs="Times New Roman" w:eastAsiaTheme="minorEastAsia"/>
        </w:rPr>
        <w:t>34</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5C2D8E5E">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"_Toc188798573" </w:instrText>
      </w:r>
      <w:r>
        <w:fldChar w:fldCharType="separate"/>
      </w:r>
      <w:r>
        <w:rPr>
          <w:rStyle w:val="54"/>
          <w:rFonts w:ascii="Times New Roman" w:hAnsi="Times New Roman" w:cs="Times New Roman" w:eastAsiaTheme="minorEastAsia"/>
        </w:rPr>
        <w:t>4.1  一般规定</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_Toc188798573 \h </w:instrText>
      </w:r>
      <w:r>
        <w:rPr>
          <w:rFonts w:ascii="Times New Roman" w:hAnsi="Times New Roman" w:cs="Times New Roman" w:eastAsiaTheme="minorEastAsia"/>
        </w:rPr>
        <w:fldChar w:fldCharType="separate"/>
      </w:r>
      <w:r>
        <w:rPr>
          <w:rFonts w:ascii="Times New Roman" w:hAnsi="Times New Roman" w:cs="Times New Roman" w:eastAsiaTheme="minorEastAsia"/>
        </w:rPr>
        <w:t>34</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03F9AB55">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"_Toc188798574" </w:instrText>
      </w:r>
      <w:r>
        <w:fldChar w:fldCharType="separate"/>
      </w:r>
      <w:r>
        <w:rPr>
          <w:rStyle w:val="54"/>
          <w:rFonts w:ascii="Times New Roman" w:hAnsi="Times New Roman" w:cs="Times New Roman" w:eastAsiaTheme="minorEastAsia"/>
        </w:rPr>
        <w:t>4.2  前期调查</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_Toc188798574 \h </w:instrText>
      </w:r>
      <w:r>
        <w:rPr>
          <w:rFonts w:ascii="Times New Roman" w:hAnsi="Times New Roman" w:cs="Times New Roman" w:eastAsiaTheme="minorEastAsia"/>
        </w:rPr>
        <w:fldChar w:fldCharType="separate"/>
      </w:r>
      <w:r>
        <w:rPr>
          <w:rFonts w:ascii="Times New Roman" w:hAnsi="Times New Roman" w:cs="Times New Roman" w:eastAsiaTheme="minorEastAsia"/>
        </w:rPr>
        <w:t>34</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39E6B211">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"_Toc188798575" </w:instrText>
      </w:r>
      <w:r>
        <w:fldChar w:fldCharType="separate"/>
      </w:r>
      <w:r>
        <w:rPr>
          <w:rStyle w:val="54"/>
          <w:rFonts w:ascii="Times New Roman" w:hAnsi="Times New Roman" w:cs="Times New Roman" w:eastAsiaTheme="minorEastAsia"/>
        </w:rPr>
        <w:t>4.4 顶管机选型与配置</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_Toc188798575 \h </w:instrText>
      </w:r>
      <w:r>
        <w:rPr>
          <w:rFonts w:ascii="Times New Roman" w:hAnsi="Times New Roman" w:cs="Times New Roman" w:eastAsiaTheme="minorEastAsia"/>
        </w:rPr>
        <w:fldChar w:fldCharType="separate"/>
      </w:r>
      <w:r>
        <w:rPr>
          <w:rFonts w:ascii="Times New Roman" w:hAnsi="Times New Roman" w:cs="Times New Roman" w:eastAsiaTheme="minorEastAsia"/>
        </w:rPr>
        <w:t>34</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0729CBCB">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"_Toc188798576" </w:instrText>
      </w:r>
      <w:r>
        <w:fldChar w:fldCharType="separate"/>
      </w:r>
      <w:r>
        <w:rPr>
          <w:rStyle w:val="54"/>
          <w:rFonts w:ascii="Times New Roman" w:hAnsi="Times New Roman" w:cs="Times New Roman" w:eastAsiaTheme="minorEastAsia"/>
        </w:rPr>
        <w:t>4.5  工作井</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_Toc188798576 \h </w:instrText>
      </w:r>
      <w:r>
        <w:rPr>
          <w:rFonts w:ascii="Times New Roman" w:hAnsi="Times New Roman" w:cs="Times New Roman" w:eastAsiaTheme="minorEastAsia"/>
        </w:rPr>
        <w:fldChar w:fldCharType="separate"/>
      </w:r>
      <w:r>
        <w:rPr>
          <w:rFonts w:ascii="Times New Roman" w:hAnsi="Times New Roman" w:cs="Times New Roman" w:eastAsiaTheme="minorEastAsia"/>
        </w:rPr>
        <w:t>35</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5C6591B4">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"_Toc188798577" </w:instrText>
      </w:r>
      <w:r>
        <w:fldChar w:fldCharType="separate"/>
      </w:r>
      <w:r>
        <w:rPr>
          <w:rStyle w:val="54"/>
          <w:rFonts w:ascii="Times New Roman" w:hAnsi="Times New Roman" w:cs="Times New Roman" w:eastAsiaTheme="minorEastAsia"/>
        </w:rPr>
        <w:t>4.6  顶力、后背计算</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_Toc188798577 \h </w:instrText>
      </w:r>
      <w:r>
        <w:rPr>
          <w:rFonts w:ascii="Times New Roman" w:hAnsi="Times New Roman" w:cs="Times New Roman" w:eastAsiaTheme="minorEastAsia"/>
        </w:rPr>
        <w:fldChar w:fldCharType="separate"/>
      </w:r>
      <w:r>
        <w:rPr>
          <w:rFonts w:ascii="Times New Roman" w:hAnsi="Times New Roman" w:cs="Times New Roman" w:eastAsiaTheme="minorEastAsia"/>
        </w:rPr>
        <w:t>35</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6AC2D4FA">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"_Toc188798578" </w:instrText>
      </w:r>
      <w:r>
        <w:fldChar w:fldCharType="separate"/>
      </w:r>
      <w:r>
        <w:rPr>
          <w:rStyle w:val="54"/>
          <w:rFonts w:ascii="Times New Roman" w:hAnsi="Times New Roman" w:cs="Times New Roman" w:eastAsiaTheme="minorEastAsia"/>
        </w:rPr>
        <w:t>4.7  顶管机组装与调试</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_Toc188798578 \h </w:instrText>
      </w:r>
      <w:r>
        <w:rPr>
          <w:rFonts w:ascii="Times New Roman" w:hAnsi="Times New Roman" w:cs="Times New Roman" w:eastAsiaTheme="minorEastAsia"/>
        </w:rPr>
        <w:fldChar w:fldCharType="separate"/>
      </w:r>
      <w:r>
        <w:rPr>
          <w:rFonts w:ascii="Times New Roman" w:hAnsi="Times New Roman" w:cs="Times New Roman" w:eastAsiaTheme="minorEastAsia"/>
        </w:rPr>
        <w:t>35</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19ADF9DD">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"_Toc188798579" </w:instrText>
      </w:r>
      <w:r>
        <w:fldChar w:fldCharType="separate"/>
      </w:r>
      <w:r>
        <w:rPr>
          <w:rStyle w:val="54"/>
          <w:rFonts w:ascii="Times New Roman" w:hAnsi="Times New Roman" w:cs="Times New Roman" w:eastAsiaTheme="minorEastAsia"/>
        </w:rPr>
        <w:t>4.8  辅助设备设施</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_Toc188798579 \h </w:instrText>
      </w:r>
      <w:r>
        <w:rPr>
          <w:rFonts w:ascii="Times New Roman" w:hAnsi="Times New Roman" w:cs="Times New Roman" w:eastAsiaTheme="minorEastAsia"/>
        </w:rPr>
        <w:fldChar w:fldCharType="separate"/>
      </w:r>
      <w:r>
        <w:rPr>
          <w:rFonts w:ascii="Times New Roman" w:hAnsi="Times New Roman" w:cs="Times New Roman" w:eastAsiaTheme="minorEastAsia"/>
        </w:rPr>
        <w:t>36</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215D0951">
      <w:pPr>
        <w:pStyle w:val="31"/>
        <w:tabs>
          <w:tab w:val="right" w:leader="dot" w:pos="9798"/>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"_Toc188798580" </w:instrText>
      </w:r>
      <w:r>
        <w:fldChar w:fldCharType="separate"/>
      </w:r>
      <w:r>
        <w:rPr>
          <w:rStyle w:val="54"/>
          <w:rFonts w:ascii="Times New Roman" w:hAnsi="Times New Roman" w:cs="Times New Roman" w:eastAsiaTheme="minorEastAsia"/>
          <w:kern w:val="44"/>
        </w:rPr>
        <w:t>5  顶进施工</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_Toc188798580 \h </w:instrText>
      </w:r>
      <w:r>
        <w:rPr>
          <w:rFonts w:ascii="Times New Roman" w:hAnsi="Times New Roman" w:cs="Times New Roman" w:eastAsiaTheme="minorEastAsia"/>
        </w:rPr>
        <w:fldChar w:fldCharType="separate"/>
      </w:r>
      <w:r>
        <w:rPr>
          <w:rFonts w:ascii="Times New Roman" w:hAnsi="Times New Roman" w:cs="Times New Roman" w:eastAsiaTheme="minorEastAsia"/>
        </w:rPr>
        <w:t>37</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2BA0916D">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"_Toc188798581" </w:instrText>
      </w:r>
      <w:r>
        <w:fldChar w:fldCharType="separate"/>
      </w:r>
      <w:r>
        <w:rPr>
          <w:rStyle w:val="54"/>
          <w:rFonts w:ascii="Times New Roman" w:hAnsi="Times New Roman" w:cs="Times New Roman" w:eastAsiaTheme="minorEastAsia"/>
        </w:rPr>
        <w:t>5.1  一般规定</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_Toc188798581 \h </w:instrText>
      </w:r>
      <w:r>
        <w:rPr>
          <w:rFonts w:ascii="Times New Roman" w:hAnsi="Times New Roman" w:cs="Times New Roman" w:eastAsiaTheme="minorEastAsia"/>
        </w:rPr>
        <w:fldChar w:fldCharType="separate"/>
      </w:r>
      <w:r>
        <w:rPr>
          <w:rFonts w:ascii="Times New Roman" w:hAnsi="Times New Roman" w:cs="Times New Roman" w:eastAsiaTheme="minorEastAsia"/>
        </w:rPr>
        <w:t>37</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6890C062">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"_Toc188798582" </w:instrText>
      </w:r>
      <w:r>
        <w:fldChar w:fldCharType="separate"/>
      </w:r>
      <w:r>
        <w:rPr>
          <w:rStyle w:val="54"/>
          <w:rFonts w:ascii="Times New Roman" w:hAnsi="Times New Roman" w:cs="Times New Roman" w:eastAsiaTheme="minorEastAsia"/>
        </w:rPr>
        <w:t>5.2  始发与接收</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_Toc188798582 \h </w:instrText>
      </w:r>
      <w:r>
        <w:rPr>
          <w:rFonts w:ascii="Times New Roman" w:hAnsi="Times New Roman" w:cs="Times New Roman" w:eastAsiaTheme="minorEastAsia"/>
        </w:rPr>
        <w:fldChar w:fldCharType="separate"/>
      </w:r>
      <w:r>
        <w:rPr>
          <w:rFonts w:ascii="Times New Roman" w:hAnsi="Times New Roman" w:cs="Times New Roman" w:eastAsiaTheme="minorEastAsia"/>
        </w:rPr>
        <w:t>37</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10213E0E">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"_Toc188798583" </w:instrText>
      </w:r>
      <w:r>
        <w:fldChar w:fldCharType="separate"/>
      </w:r>
      <w:r>
        <w:rPr>
          <w:rStyle w:val="54"/>
          <w:rFonts w:ascii="Times New Roman" w:hAnsi="Times New Roman" w:cs="Times New Roman" w:eastAsiaTheme="minorEastAsia"/>
        </w:rPr>
        <w:t>5.3  顶  进</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_Toc188798583 \h </w:instrText>
      </w:r>
      <w:r>
        <w:rPr>
          <w:rFonts w:ascii="Times New Roman" w:hAnsi="Times New Roman" w:cs="Times New Roman" w:eastAsiaTheme="minorEastAsia"/>
        </w:rPr>
        <w:fldChar w:fldCharType="separate"/>
      </w:r>
      <w:r>
        <w:rPr>
          <w:rFonts w:ascii="Times New Roman" w:hAnsi="Times New Roman" w:cs="Times New Roman" w:eastAsiaTheme="minorEastAsia"/>
        </w:rPr>
        <w:t>37</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4D09DE5E">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"_Toc188798584" </w:instrText>
      </w:r>
      <w:r>
        <w:fldChar w:fldCharType="separate"/>
      </w:r>
      <w:r>
        <w:rPr>
          <w:rStyle w:val="54"/>
          <w:rFonts w:ascii="Times New Roman" w:hAnsi="Times New Roman" w:cs="Times New Roman" w:eastAsiaTheme="minorEastAsia"/>
        </w:rPr>
        <w:t>5.5  注浆减阻</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_Toc188798584 \h </w:instrText>
      </w:r>
      <w:r>
        <w:rPr>
          <w:rFonts w:ascii="Times New Roman" w:hAnsi="Times New Roman" w:cs="Times New Roman" w:eastAsiaTheme="minorEastAsia"/>
        </w:rPr>
        <w:fldChar w:fldCharType="separate"/>
      </w:r>
      <w:r>
        <w:rPr>
          <w:rFonts w:ascii="Times New Roman" w:hAnsi="Times New Roman" w:cs="Times New Roman" w:eastAsiaTheme="minorEastAsia"/>
        </w:rPr>
        <w:t>38</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0094EE9B">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"_Toc188798585" </w:instrText>
      </w:r>
      <w:r>
        <w:fldChar w:fldCharType="separate"/>
      </w:r>
      <w:r>
        <w:rPr>
          <w:rStyle w:val="54"/>
          <w:rFonts w:ascii="Times New Roman" w:hAnsi="Times New Roman" w:cs="Times New Roman" w:eastAsiaTheme="minorEastAsia"/>
        </w:rPr>
        <w:t>5.6  浓泥注入</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_Toc188798585 \h </w:instrText>
      </w:r>
      <w:r>
        <w:rPr>
          <w:rFonts w:ascii="Times New Roman" w:hAnsi="Times New Roman" w:cs="Times New Roman" w:eastAsiaTheme="minorEastAsia"/>
        </w:rPr>
        <w:fldChar w:fldCharType="separate"/>
      </w:r>
      <w:r>
        <w:rPr>
          <w:rFonts w:ascii="Times New Roman" w:hAnsi="Times New Roman" w:cs="Times New Roman" w:eastAsiaTheme="minorEastAsia"/>
        </w:rPr>
        <w:t>38</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399E8A99">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"_Toc188798586" </w:instrText>
      </w:r>
      <w:r>
        <w:fldChar w:fldCharType="separate"/>
      </w:r>
      <w:r>
        <w:rPr>
          <w:rStyle w:val="54"/>
          <w:rFonts w:ascii="Times New Roman" w:hAnsi="Times New Roman" w:cs="Times New Roman" w:eastAsiaTheme="minorEastAsia"/>
        </w:rPr>
        <w:t>5.7  纠  偏</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_Toc188798586 \h </w:instrText>
      </w:r>
      <w:r>
        <w:rPr>
          <w:rFonts w:ascii="Times New Roman" w:hAnsi="Times New Roman" w:cs="Times New Roman" w:eastAsiaTheme="minorEastAsia"/>
        </w:rPr>
        <w:fldChar w:fldCharType="separate"/>
      </w:r>
      <w:r>
        <w:rPr>
          <w:rFonts w:ascii="Times New Roman" w:hAnsi="Times New Roman" w:cs="Times New Roman" w:eastAsiaTheme="minorEastAsia"/>
        </w:rPr>
        <w:t>38</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42A383FA">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"_Toc188798587" </w:instrText>
      </w:r>
      <w:r>
        <w:fldChar w:fldCharType="separate"/>
      </w:r>
      <w:r>
        <w:rPr>
          <w:rStyle w:val="54"/>
          <w:rFonts w:ascii="Times New Roman" w:hAnsi="Times New Roman" w:cs="Times New Roman" w:eastAsiaTheme="minorEastAsia"/>
        </w:rPr>
        <w:t>5.8  渣土改良</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_Toc188798587 \h </w:instrText>
      </w:r>
      <w:r>
        <w:rPr>
          <w:rFonts w:ascii="Times New Roman" w:hAnsi="Times New Roman" w:cs="Times New Roman" w:eastAsiaTheme="minorEastAsia"/>
        </w:rPr>
        <w:fldChar w:fldCharType="separate"/>
      </w:r>
      <w:r>
        <w:rPr>
          <w:rFonts w:ascii="Times New Roman" w:hAnsi="Times New Roman" w:cs="Times New Roman" w:eastAsiaTheme="minorEastAsia"/>
        </w:rPr>
        <w:t>39</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5568E778">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"_Toc188798588" </w:instrText>
      </w:r>
      <w:r>
        <w:fldChar w:fldCharType="separate"/>
      </w:r>
      <w:r>
        <w:rPr>
          <w:rStyle w:val="54"/>
          <w:rFonts w:ascii="Times New Roman" w:hAnsi="Times New Roman" w:cs="Times New Roman" w:eastAsiaTheme="minorEastAsia"/>
        </w:rPr>
        <w:t>5.9  泥浆置换</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_Toc188798588 \h </w:instrText>
      </w:r>
      <w:r>
        <w:rPr>
          <w:rFonts w:ascii="Times New Roman" w:hAnsi="Times New Roman" w:cs="Times New Roman" w:eastAsiaTheme="minorEastAsia"/>
        </w:rPr>
        <w:fldChar w:fldCharType="separate"/>
      </w:r>
      <w:r>
        <w:rPr>
          <w:rFonts w:ascii="Times New Roman" w:hAnsi="Times New Roman" w:cs="Times New Roman" w:eastAsiaTheme="minorEastAsia"/>
        </w:rPr>
        <w:t>39</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1514F575">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"_Toc188798589" </w:instrText>
      </w:r>
      <w:r>
        <w:fldChar w:fldCharType="separate"/>
      </w:r>
      <w:r>
        <w:rPr>
          <w:rStyle w:val="54"/>
          <w:rFonts w:ascii="Times New Roman" w:hAnsi="Times New Roman" w:cs="Times New Roman" w:eastAsiaTheme="minorEastAsia"/>
        </w:rPr>
        <w:t>5.10  中继间设置</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_Toc188798589 \h </w:instrText>
      </w:r>
      <w:r>
        <w:rPr>
          <w:rFonts w:ascii="Times New Roman" w:hAnsi="Times New Roman" w:cs="Times New Roman" w:eastAsiaTheme="minorEastAsia"/>
        </w:rPr>
        <w:fldChar w:fldCharType="separate"/>
      </w:r>
      <w:r>
        <w:rPr>
          <w:rFonts w:ascii="Times New Roman" w:hAnsi="Times New Roman" w:cs="Times New Roman" w:eastAsiaTheme="minorEastAsia"/>
        </w:rPr>
        <w:t>39</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2615C251">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"_Toc188798590" </w:instrText>
      </w:r>
      <w:r>
        <w:fldChar w:fldCharType="separate"/>
      </w:r>
      <w:r>
        <w:rPr>
          <w:rStyle w:val="54"/>
          <w:rFonts w:ascii="Times New Roman" w:hAnsi="Times New Roman" w:cs="Times New Roman" w:eastAsiaTheme="minorEastAsia"/>
        </w:rPr>
        <w:t>5.11  结构防水</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_Toc188798590 \h </w:instrText>
      </w:r>
      <w:r>
        <w:rPr>
          <w:rFonts w:ascii="Times New Roman" w:hAnsi="Times New Roman" w:cs="Times New Roman" w:eastAsiaTheme="minorEastAsia"/>
        </w:rPr>
        <w:fldChar w:fldCharType="separate"/>
      </w:r>
      <w:r>
        <w:rPr>
          <w:rFonts w:ascii="Times New Roman" w:hAnsi="Times New Roman" w:cs="Times New Roman" w:eastAsiaTheme="minorEastAsia"/>
        </w:rPr>
        <w:t>39</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1EB83986">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"_Toc188798591" </w:instrText>
      </w:r>
      <w:r>
        <w:fldChar w:fldCharType="separate"/>
      </w:r>
      <w:r>
        <w:rPr>
          <w:rStyle w:val="54"/>
          <w:rFonts w:ascii="Times New Roman" w:hAnsi="Times New Roman" w:cs="Times New Roman" w:eastAsiaTheme="minorEastAsia"/>
        </w:rPr>
        <w:t>5.13  顶管机拆解与吊出</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_Toc188798591 \h </w:instrText>
      </w:r>
      <w:r>
        <w:rPr>
          <w:rFonts w:ascii="Times New Roman" w:hAnsi="Times New Roman" w:cs="Times New Roman" w:eastAsiaTheme="minorEastAsia"/>
        </w:rPr>
        <w:fldChar w:fldCharType="separate"/>
      </w:r>
      <w:r>
        <w:rPr>
          <w:rFonts w:ascii="Times New Roman" w:hAnsi="Times New Roman" w:cs="Times New Roman" w:eastAsiaTheme="minorEastAsia"/>
        </w:rPr>
        <w:t>40</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5067B640">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"_Toc188798592" </w:instrText>
      </w:r>
      <w:r>
        <w:fldChar w:fldCharType="separate"/>
      </w:r>
      <w:r>
        <w:rPr>
          <w:rStyle w:val="54"/>
          <w:rFonts w:ascii="Times New Roman" w:hAnsi="Times New Roman" w:cs="Times New Roman" w:eastAsiaTheme="minorEastAsia"/>
        </w:rPr>
        <w:t>5.14  施工测量</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_Toc188798592 \h </w:instrText>
      </w:r>
      <w:r>
        <w:rPr>
          <w:rFonts w:ascii="Times New Roman" w:hAnsi="Times New Roman" w:cs="Times New Roman" w:eastAsiaTheme="minorEastAsia"/>
        </w:rPr>
        <w:fldChar w:fldCharType="separate"/>
      </w:r>
      <w:r>
        <w:rPr>
          <w:rFonts w:ascii="Times New Roman" w:hAnsi="Times New Roman" w:cs="Times New Roman" w:eastAsiaTheme="minorEastAsia"/>
        </w:rPr>
        <w:t>40</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72F73DE9">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"_Toc188798593" </w:instrText>
      </w:r>
      <w:r>
        <w:fldChar w:fldCharType="separate"/>
      </w:r>
      <w:r>
        <w:rPr>
          <w:rStyle w:val="54"/>
          <w:rFonts w:ascii="Times New Roman" w:hAnsi="Times New Roman" w:cs="Times New Roman" w:eastAsiaTheme="minorEastAsia"/>
        </w:rPr>
        <w:t>5.15  监控量测</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_Toc188798593 \h </w:instrText>
      </w:r>
      <w:r>
        <w:rPr>
          <w:rFonts w:ascii="Times New Roman" w:hAnsi="Times New Roman" w:cs="Times New Roman" w:eastAsiaTheme="minorEastAsia"/>
        </w:rPr>
        <w:fldChar w:fldCharType="separate"/>
      </w:r>
      <w:r>
        <w:rPr>
          <w:rFonts w:ascii="Times New Roman" w:hAnsi="Times New Roman" w:cs="Times New Roman" w:eastAsiaTheme="minorEastAsia"/>
        </w:rPr>
        <w:t>40</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48972E5A">
      <w:pPr>
        <w:pStyle w:val="31"/>
        <w:tabs>
          <w:tab w:val="right" w:leader="dot" w:pos="9798"/>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"_Toc188798594" </w:instrText>
      </w:r>
      <w:r>
        <w:fldChar w:fldCharType="separate"/>
      </w:r>
      <w:r>
        <w:rPr>
          <w:rStyle w:val="54"/>
          <w:rFonts w:ascii="Times New Roman" w:hAnsi="Times New Roman" w:cs="Times New Roman" w:eastAsiaTheme="minorEastAsia"/>
          <w:kern w:val="44"/>
        </w:rPr>
        <w:t>6 特殊工况施工</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_Toc188798594 \h </w:instrText>
      </w:r>
      <w:r>
        <w:rPr>
          <w:rFonts w:ascii="Times New Roman" w:hAnsi="Times New Roman" w:cs="Times New Roman" w:eastAsiaTheme="minorEastAsia"/>
        </w:rPr>
        <w:fldChar w:fldCharType="separate"/>
      </w:r>
      <w:r>
        <w:rPr>
          <w:rFonts w:ascii="Times New Roman" w:hAnsi="Times New Roman" w:cs="Times New Roman" w:eastAsiaTheme="minorEastAsia"/>
        </w:rPr>
        <w:t>41</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5621236D">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"_Toc188798595" </w:instrText>
      </w:r>
      <w:r>
        <w:fldChar w:fldCharType="separate"/>
      </w:r>
      <w:r>
        <w:rPr>
          <w:rStyle w:val="54"/>
          <w:rFonts w:ascii="Times New Roman" w:hAnsi="Times New Roman" w:cs="Times New Roman" w:eastAsiaTheme="minorEastAsia"/>
        </w:rPr>
        <w:t>6.1  一般规定</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_Toc188798595 \h </w:instrText>
      </w:r>
      <w:r>
        <w:rPr>
          <w:rFonts w:ascii="Times New Roman" w:hAnsi="Times New Roman" w:cs="Times New Roman" w:eastAsiaTheme="minorEastAsia"/>
        </w:rPr>
        <w:fldChar w:fldCharType="separate"/>
      </w:r>
      <w:r>
        <w:rPr>
          <w:rFonts w:ascii="Times New Roman" w:hAnsi="Times New Roman" w:cs="Times New Roman" w:eastAsiaTheme="minorEastAsia"/>
        </w:rPr>
        <w:t>41</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2E40D045">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"_Toc188798596" </w:instrText>
      </w:r>
      <w:r>
        <w:fldChar w:fldCharType="separate"/>
      </w:r>
      <w:r>
        <w:rPr>
          <w:rStyle w:val="54"/>
          <w:rFonts w:ascii="Times New Roman" w:hAnsi="Times New Roman" w:cs="Times New Roman" w:eastAsiaTheme="minorEastAsia"/>
        </w:rPr>
        <w:t>6.2  利用车站结构始发、接收</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_Toc188798596 \h </w:instrText>
      </w:r>
      <w:r>
        <w:rPr>
          <w:rFonts w:ascii="Times New Roman" w:hAnsi="Times New Roman" w:cs="Times New Roman" w:eastAsiaTheme="minorEastAsia"/>
        </w:rPr>
        <w:fldChar w:fldCharType="separate"/>
      </w:r>
      <w:r>
        <w:rPr>
          <w:rFonts w:ascii="Times New Roman" w:hAnsi="Times New Roman" w:cs="Times New Roman" w:eastAsiaTheme="minorEastAsia"/>
        </w:rPr>
        <w:t>41</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415EAF11">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"_Toc188798597" </w:instrText>
      </w:r>
      <w:r>
        <w:fldChar w:fldCharType="separate"/>
      </w:r>
      <w:r>
        <w:rPr>
          <w:rStyle w:val="54"/>
          <w:rFonts w:ascii="Times New Roman" w:hAnsi="Times New Roman" w:cs="Times New Roman" w:eastAsiaTheme="minorEastAsia"/>
        </w:rPr>
        <w:t>6.3  工作井长度不足</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_Toc188798597 \h </w:instrText>
      </w:r>
      <w:r>
        <w:rPr>
          <w:rFonts w:ascii="Times New Roman" w:hAnsi="Times New Roman" w:cs="Times New Roman" w:eastAsiaTheme="minorEastAsia"/>
        </w:rPr>
        <w:fldChar w:fldCharType="separate"/>
      </w:r>
      <w:r>
        <w:rPr>
          <w:rFonts w:ascii="Times New Roman" w:hAnsi="Times New Roman" w:cs="Times New Roman" w:eastAsiaTheme="minorEastAsia"/>
        </w:rPr>
        <w:t>41</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2CA56FCA">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"_Toc188798598" </w:instrText>
      </w:r>
      <w:r>
        <w:fldChar w:fldCharType="separate"/>
      </w:r>
      <w:r>
        <w:rPr>
          <w:rStyle w:val="54"/>
          <w:rFonts w:ascii="Times New Roman" w:hAnsi="Times New Roman" w:cs="Times New Roman" w:eastAsiaTheme="minorEastAsia"/>
        </w:rPr>
        <w:t>6.4  弃壳</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_Toc188798598 \h </w:instrText>
      </w:r>
      <w:r>
        <w:rPr>
          <w:rFonts w:ascii="Times New Roman" w:hAnsi="Times New Roman" w:cs="Times New Roman" w:eastAsiaTheme="minorEastAsia"/>
        </w:rPr>
        <w:fldChar w:fldCharType="separate"/>
      </w:r>
      <w:r>
        <w:rPr>
          <w:rFonts w:ascii="Times New Roman" w:hAnsi="Times New Roman" w:cs="Times New Roman" w:eastAsiaTheme="minorEastAsia"/>
        </w:rPr>
        <w:t>41</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44F31D65">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"_Toc188798599" </w:instrText>
      </w:r>
      <w:r>
        <w:fldChar w:fldCharType="separate"/>
      </w:r>
      <w:r>
        <w:rPr>
          <w:rStyle w:val="54"/>
          <w:rFonts w:ascii="Times New Roman" w:hAnsi="Times New Roman" w:cs="Times New Roman" w:eastAsiaTheme="minorEastAsia"/>
        </w:rPr>
        <w:t>6.5  钢套筒接收及过井</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_Toc188798599 \h </w:instrText>
      </w:r>
      <w:r>
        <w:rPr>
          <w:rFonts w:ascii="Times New Roman" w:hAnsi="Times New Roman" w:cs="Times New Roman" w:eastAsiaTheme="minorEastAsia"/>
        </w:rPr>
        <w:fldChar w:fldCharType="separate"/>
      </w:r>
      <w:r>
        <w:rPr>
          <w:rFonts w:ascii="Times New Roman" w:hAnsi="Times New Roman" w:cs="Times New Roman" w:eastAsiaTheme="minorEastAsia"/>
        </w:rPr>
        <w:t>41</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7A263789">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"_Toc188798600" </w:instrText>
      </w:r>
      <w:r>
        <w:fldChar w:fldCharType="separate"/>
      </w:r>
      <w:r>
        <w:rPr>
          <w:rStyle w:val="54"/>
          <w:rFonts w:ascii="Times New Roman" w:hAnsi="Times New Roman" w:cs="Times New Roman" w:eastAsiaTheme="minorEastAsia"/>
        </w:rPr>
        <w:t>6.6  浅覆土</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_Toc188798600 \h </w:instrText>
      </w:r>
      <w:r>
        <w:rPr>
          <w:rFonts w:ascii="Times New Roman" w:hAnsi="Times New Roman" w:cs="Times New Roman" w:eastAsiaTheme="minorEastAsia"/>
        </w:rPr>
        <w:fldChar w:fldCharType="separate"/>
      </w:r>
      <w:r>
        <w:rPr>
          <w:rFonts w:ascii="Times New Roman" w:hAnsi="Times New Roman" w:cs="Times New Roman" w:eastAsiaTheme="minorEastAsia"/>
        </w:rPr>
        <w:t>41</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7113DD70">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"_Toc188798601" </w:instrText>
      </w:r>
      <w:r>
        <w:fldChar w:fldCharType="separate"/>
      </w:r>
      <w:r>
        <w:rPr>
          <w:rStyle w:val="54"/>
          <w:rFonts w:ascii="Times New Roman" w:hAnsi="Times New Roman" w:cs="Times New Roman" w:eastAsiaTheme="minorEastAsia"/>
        </w:rPr>
        <w:t>6.7 穿越特、一级风险源</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_Toc188798601 \h </w:instrText>
      </w:r>
      <w:r>
        <w:rPr>
          <w:rFonts w:ascii="Times New Roman" w:hAnsi="Times New Roman" w:cs="Times New Roman" w:eastAsiaTheme="minorEastAsia"/>
        </w:rPr>
        <w:fldChar w:fldCharType="separate"/>
      </w:r>
      <w:r>
        <w:rPr>
          <w:rFonts w:ascii="Times New Roman" w:hAnsi="Times New Roman" w:cs="Times New Roman" w:eastAsiaTheme="minorEastAsia"/>
        </w:rPr>
        <w:t>42</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2307F2E8">
      <w:pPr>
        <w:pStyle w:val="31"/>
        <w:tabs>
          <w:tab w:val="right" w:leader="dot" w:pos="9798"/>
        </w:tabs>
        <w:snapToGrid w:val="0"/>
        <w:spacing w:before="0" w:after="0" w:line="288" w:lineRule="auto"/>
        <w:rPr>
          <w:rFonts w:ascii="Times New Roman" w:hAnsi="Times New Roman" w:cs="Times New Roman" w:eastAsiaTheme="minorEastAsia"/>
          <w:b w:val="0"/>
          <w:bCs w:val="0"/>
          <w:caps w:val="0"/>
          <w:sz w:val="21"/>
          <w:szCs w:val="22"/>
        </w:rPr>
      </w:pPr>
      <w:r>
        <w:fldChar w:fldCharType="begin"/>
      </w:r>
      <w:r>
        <w:instrText xml:space="preserve"> HYPERLINK \l "_Toc188798602" </w:instrText>
      </w:r>
      <w:r>
        <w:fldChar w:fldCharType="separate"/>
      </w:r>
      <w:r>
        <w:rPr>
          <w:rStyle w:val="54"/>
          <w:rFonts w:ascii="Times New Roman" w:hAnsi="Times New Roman" w:cs="Times New Roman" w:eastAsiaTheme="minorEastAsia"/>
          <w:kern w:val="44"/>
        </w:rPr>
        <w:t>7  质量检验与验收</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_Toc188798602 \h </w:instrText>
      </w:r>
      <w:r>
        <w:rPr>
          <w:rFonts w:ascii="Times New Roman" w:hAnsi="Times New Roman" w:cs="Times New Roman" w:eastAsiaTheme="minorEastAsia"/>
        </w:rPr>
        <w:fldChar w:fldCharType="separate"/>
      </w:r>
      <w:r>
        <w:rPr>
          <w:rFonts w:ascii="Times New Roman" w:hAnsi="Times New Roman" w:cs="Times New Roman" w:eastAsiaTheme="minorEastAsia"/>
        </w:rPr>
        <w:t>43</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752F1897">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"_Toc188798603" </w:instrText>
      </w:r>
      <w:r>
        <w:fldChar w:fldCharType="separate"/>
      </w:r>
      <w:r>
        <w:rPr>
          <w:rStyle w:val="54"/>
          <w:rFonts w:ascii="Times New Roman" w:hAnsi="Times New Roman" w:cs="Times New Roman" w:eastAsiaTheme="minorEastAsia"/>
        </w:rPr>
        <w:t>7.1  一般规定</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_Toc188798603 \h </w:instrText>
      </w:r>
      <w:r>
        <w:rPr>
          <w:rFonts w:ascii="Times New Roman" w:hAnsi="Times New Roman" w:cs="Times New Roman" w:eastAsiaTheme="minorEastAsia"/>
        </w:rPr>
        <w:fldChar w:fldCharType="separate"/>
      </w:r>
      <w:r>
        <w:rPr>
          <w:rFonts w:ascii="Times New Roman" w:hAnsi="Times New Roman" w:cs="Times New Roman" w:eastAsiaTheme="minorEastAsia"/>
        </w:rPr>
        <w:t>43</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7473B73B">
      <w:pPr>
        <w:pStyle w:val="37"/>
        <w:tabs>
          <w:tab w:val="right" w:leader="dot" w:pos="9798"/>
        </w:tabs>
        <w:snapToGrid w:val="0"/>
        <w:spacing w:line="288" w:lineRule="auto"/>
        <w:rPr>
          <w:rFonts w:ascii="Times New Roman" w:hAnsi="Times New Roman" w:cs="Times New Roman" w:eastAsiaTheme="minorEastAsia"/>
          <w:smallCaps w:val="0"/>
          <w:sz w:val="21"/>
          <w:szCs w:val="22"/>
        </w:rPr>
      </w:pPr>
      <w:r>
        <w:fldChar w:fldCharType="begin"/>
      </w:r>
      <w:r>
        <w:instrText xml:space="preserve"> HYPERLINK \l "_Toc188798604" </w:instrText>
      </w:r>
      <w:r>
        <w:fldChar w:fldCharType="separate"/>
      </w:r>
      <w:r>
        <w:rPr>
          <w:rStyle w:val="54"/>
          <w:rFonts w:ascii="Times New Roman" w:hAnsi="Times New Roman" w:cs="Times New Roman" w:eastAsiaTheme="minorEastAsia"/>
        </w:rPr>
        <w:t>7.2  管节现场质量检验</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_Toc188798604 \h </w:instrText>
      </w:r>
      <w:r>
        <w:rPr>
          <w:rFonts w:ascii="Times New Roman" w:hAnsi="Times New Roman" w:cs="Times New Roman" w:eastAsiaTheme="minorEastAsia"/>
        </w:rPr>
        <w:fldChar w:fldCharType="separate"/>
      </w:r>
      <w:r>
        <w:rPr>
          <w:rFonts w:ascii="Times New Roman" w:hAnsi="Times New Roman" w:cs="Times New Roman" w:eastAsiaTheme="minorEastAsia"/>
        </w:rPr>
        <w:t>43</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14:paraId="7DAECA9B">
      <w:pPr>
        <w:autoSpaceDE w:val="0"/>
        <w:autoSpaceDN w:val="0"/>
        <w:snapToGrid w:val="0"/>
        <w:spacing w:line="288" w:lineRule="auto"/>
        <w:jc w:val="center"/>
        <w:rPr>
          <w:rFonts w:ascii="宋体" w:hAnsi="宋体"/>
          <w:sz w:val="20"/>
          <w:szCs w:val="20"/>
        </w:rPr>
      </w:pPr>
      <w:r>
        <w:rPr>
          <w:rFonts w:eastAsiaTheme="minorEastAsia"/>
          <w:sz w:val="20"/>
          <w:szCs w:val="20"/>
        </w:rPr>
        <w:fldChar w:fldCharType="end"/>
      </w:r>
    </w:p>
    <w:p w14:paraId="1A4B7254">
      <w:pPr>
        <w:autoSpaceDE w:val="0"/>
        <w:autoSpaceDN w:val="0"/>
        <w:jc w:val="center"/>
        <w:rPr>
          <w:rFonts w:ascii="宋体" w:hAnsi="宋体"/>
          <w:sz w:val="20"/>
          <w:szCs w:val="20"/>
        </w:rPr>
      </w:pPr>
    </w:p>
    <w:p w14:paraId="125FBF10">
      <w:pPr>
        <w:autoSpaceDE w:val="0"/>
        <w:autoSpaceDN w:val="0"/>
        <w:jc w:val="center"/>
        <w:rPr>
          <w:rFonts w:ascii="宋体" w:hAnsi="宋体"/>
          <w:sz w:val="20"/>
          <w:szCs w:val="20"/>
        </w:rPr>
      </w:pPr>
    </w:p>
    <w:p w14:paraId="1AC6AEB6">
      <w:pPr>
        <w:autoSpaceDE w:val="0"/>
        <w:autoSpaceDN w:val="0"/>
        <w:jc w:val="center"/>
        <w:rPr>
          <w:rFonts w:ascii="宋体" w:hAnsi="宋体"/>
          <w:sz w:val="20"/>
          <w:szCs w:val="20"/>
        </w:rPr>
      </w:pPr>
    </w:p>
    <w:p w14:paraId="59133F45">
      <w:pPr>
        <w:autoSpaceDE w:val="0"/>
        <w:autoSpaceDN w:val="0"/>
        <w:jc w:val="center"/>
        <w:rPr>
          <w:rFonts w:ascii="宋体" w:hAnsi="宋体"/>
          <w:sz w:val="20"/>
          <w:szCs w:val="20"/>
        </w:rPr>
      </w:pPr>
    </w:p>
    <w:p w14:paraId="1867F3F5">
      <w:pPr>
        <w:autoSpaceDE w:val="0"/>
        <w:autoSpaceDN w:val="0"/>
        <w:jc w:val="center"/>
        <w:rPr>
          <w:rFonts w:ascii="宋体" w:hAnsi="宋体"/>
          <w:sz w:val="20"/>
          <w:szCs w:val="20"/>
        </w:rPr>
      </w:pPr>
    </w:p>
    <w:p w14:paraId="16B48900">
      <w:pPr>
        <w:autoSpaceDE w:val="0"/>
        <w:autoSpaceDN w:val="0"/>
        <w:jc w:val="center"/>
        <w:rPr>
          <w:rFonts w:ascii="宋体" w:hAnsi="宋体"/>
          <w:sz w:val="20"/>
          <w:szCs w:val="20"/>
        </w:rPr>
      </w:pPr>
    </w:p>
    <w:p w14:paraId="582BA839">
      <w:pPr>
        <w:autoSpaceDE w:val="0"/>
        <w:autoSpaceDN w:val="0"/>
        <w:rPr>
          <w:rFonts w:ascii="宋体" w:hAnsi="宋体"/>
          <w:bCs/>
          <w:sz w:val="20"/>
          <w:szCs w:val="20"/>
        </w:rPr>
      </w:pPr>
      <w:r>
        <w:rPr>
          <w:rFonts w:ascii="宋体" w:hAnsi="宋体"/>
          <w:bCs/>
          <w:sz w:val="20"/>
          <w:szCs w:val="20"/>
        </w:rPr>
        <w:br w:type="page"/>
      </w:r>
      <w:r>
        <mc:AlternateContent>
          <mc:Choice Requires="wps">
            <w:drawing>
              <wp:anchor distT="0" distB="0" distL="114300" distR="114300" simplePos="0" relativeHeight="251664384" behindDoc="0" locked="0" layoutInCell="1" allowOverlap="1">
                <wp:simplePos x="0" y="0"/>
                <wp:positionH relativeFrom="column">
                  <wp:posOffset>-337185</wp:posOffset>
                </wp:positionH>
                <wp:positionV relativeFrom="paragraph">
                  <wp:posOffset>3938270</wp:posOffset>
                </wp:positionV>
                <wp:extent cx="2226310" cy="490220"/>
                <wp:effectExtent l="0" t="0" r="2540" b="5080"/>
                <wp:wrapNone/>
                <wp:docPr id="1" name="矩形 480"/>
                <wp:cNvGraphicFramePr/>
                <a:graphic xmlns:a="http://schemas.openxmlformats.org/drawingml/2006/main">
                  <a:graphicData uri="http://schemas.microsoft.com/office/word/2010/wordprocessingShape">
                    <wps:wsp>
                      <wps:cNvSpPr>
                        <a:spLocks noChangeArrowheads="1"/>
                      </wps:cNvSpPr>
                      <wps:spPr bwMode="auto">
                        <a:xfrm>
                          <a:off x="0" y="0"/>
                          <a:ext cx="2226310" cy="4902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80" o:spid="_x0000_s1026" o:spt="1" style="position:absolute;left:0pt;margin-left:-26.55pt;margin-top:310.1pt;height:38.6pt;width:175.3pt;z-index:251664384;mso-width-relative:page;mso-height-relative:page;" fillcolor="#FFFFFF" filled="t" stroked="f" coordsize="21600,21600" o:gfxdata="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B7s/O2QAA&#10;AAsBAAAPAAAAAAAAAAEAIAAAACIAAABkcnMvZG93bnJldi54bWxQSwECFAAUAAAACACHTuJADKhS&#10;Hh0CAAAoBAAADgAAAAAAAAABACAAAAAoAQAAZHJzL2Uyb0RvYy54bWxQSwUGAAAAAAYABgBZAQAA&#10;twUAAAAA&#10;">
                <v:fill on="t" focussize="0,0"/>
                <v:stroke on="f"/>
                <v:imagedata o:title=""/>
                <o:lock v:ext="edit" aspectratio="f"/>
              </v:rect>
            </w:pict>
          </mc:Fallback>
        </mc:AlternateContent>
      </w:r>
    </w:p>
    <w:p w14:paraId="058CFD7C">
      <w:pPr>
        <w:snapToGrid w:val="0"/>
        <w:spacing w:line="288" w:lineRule="auto"/>
        <w:jc w:val="center"/>
        <w:outlineLvl w:val="0"/>
        <w:rPr>
          <w:rFonts w:eastAsia="黑体"/>
          <w:b/>
          <w:bCs/>
          <w:kern w:val="44"/>
          <w:sz w:val="26"/>
          <w:szCs w:val="26"/>
        </w:rPr>
      </w:pPr>
      <w:bookmarkStart w:id="434" w:name="_Toc188798570"/>
      <w:r>
        <w:rPr>
          <w:rFonts w:eastAsia="黑体"/>
          <w:b/>
          <w:bCs/>
          <w:kern w:val="44"/>
          <w:sz w:val="26"/>
          <w:szCs w:val="26"/>
        </w:rPr>
        <w:t>2  术</w:t>
      </w:r>
      <w:r>
        <w:rPr>
          <w:rFonts w:hint="eastAsia" w:eastAsia="黑体"/>
          <w:b/>
          <w:bCs/>
          <w:kern w:val="44"/>
          <w:sz w:val="26"/>
          <w:szCs w:val="26"/>
        </w:rPr>
        <w:t xml:space="preserve"> </w:t>
      </w:r>
      <w:r>
        <w:rPr>
          <w:rFonts w:eastAsia="黑体"/>
          <w:b/>
          <w:bCs/>
          <w:kern w:val="44"/>
          <w:sz w:val="26"/>
          <w:szCs w:val="26"/>
        </w:rPr>
        <w:t xml:space="preserve"> 语</w:t>
      </w:r>
      <w:bookmarkEnd w:id="434"/>
    </w:p>
    <w:p w14:paraId="62115878">
      <w:pPr>
        <w:snapToGrid w:val="0"/>
        <w:spacing w:line="288" w:lineRule="auto"/>
        <w:ind w:firstLine="457" w:firstLineChars="175"/>
        <w:rPr>
          <w:b/>
          <w:bCs/>
          <w:kern w:val="44"/>
          <w:sz w:val="26"/>
          <w:szCs w:val="26"/>
        </w:rPr>
      </w:pPr>
    </w:p>
    <w:p w14:paraId="738D96DD">
      <w:pPr>
        <w:snapToGrid w:val="0"/>
        <w:spacing w:line="288" w:lineRule="auto"/>
        <w:rPr>
          <w:rFonts w:hAnsi="宋体"/>
          <w:sz w:val="20"/>
          <w:szCs w:val="20"/>
        </w:rPr>
      </w:pPr>
      <w:r>
        <w:rPr>
          <w:b/>
          <w:bCs/>
          <w:sz w:val="20"/>
          <w:szCs w:val="20"/>
        </w:rPr>
        <w:t xml:space="preserve">2.0.3 </w:t>
      </w:r>
      <w:r>
        <w:rPr>
          <w:sz w:val="20"/>
          <w:szCs w:val="20"/>
        </w:rPr>
        <w:t xml:space="preserve"> </w:t>
      </w:r>
      <w:r>
        <w:rPr>
          <w:rFonts w:hint="eastAsia"/>
          <w:sz w:val="20"/>
          <w:szCs w:val="20"/>
        </w:rPr>
        <w:t>后背</w:t>
      </w:r>
      <w:r>
        <w:rPr>
          <w:sz w:val="20"/>
          <w:szCs w:val="20"/>
        </w:rPr>
        <w:t>墙</w:t>
      </w:r>
      <w:r>
        <w:rPr>
          <w:rFonts w:hint="eastAsia"/>
          <w:sz w:val="20"/>
          <w:szCs w:val="20"/>
        </w:rPr>
        <w:t>：</w:t>
      </w:r>
      <w:r>
        <w:rPr>
          <w:rFonts w:hint="eastAsia" w:hAnsi="宋体"/>
          <w:sz w:val="20"/>
          <w:szCs w:val="20"/>
        </w:rPr>
        <w:t>后背墙可独立设置，也可是始发井围护结构或主体结构侧墙</w:t>
      </w:r>
      <w:r>
        <w:rPr>
          <w:rFonts w:hAnsi="宋体"/>
          <w:sz w:val="20"/>
          <w:szCs w:val="20"/>
        </w:rPr>
        <w:t>。</w:t>
      </w:r>
    </w:p>
    <w:p w14:paraId="7037E9C7">
      <w:pPr>
        <w:snapToGrid w:val="0"/>
        <w:spacing w:line="288" w:lineRule="auto"/>
        <w:rPr>
          <w:rFonts w:hAnsi="宋体"/>
          <w:sz w:val="20"/>
          <w:szCs w:val="20"/>
        </w:rPr>
      </w:pPr>
      <w:r>
        <w:rPr>
          <w:b/>
          <w:bCs/>
          <w:sz w:val="20"/>
          <w:szCs w:val="20"/>
        </w:rPr>
        <w:t xml:space="preserve">2.0.4 </w:t>
      </w:r>
      <w:r>
        <w:rPr>
          <w:rFonts w:hint="eastAsia"/>
          <w:b/>
          <w:bCs/>
          <w:sz w:val="20"/>
          <w:szCs w:val="20"/>
        </w:rPr>
        <w:t xml:space="preserve"> </w:t>
      </w:r>
      <w:r>
        <w:rPr>
          <w:sz w:val="20"/>
          <w:szCs w:val="20"/>
        </w:rPr>
        <w:t>后背</w:t>
      </w:r>
      <w:r>
        <w:rPr>
          <w:rFonts w:hint="eastAsia" w:hAnsi="宋体"/>
          <w:sz w:val="20"/>
          <w:szCs w:val="20"/>
        </w:rPr>
        <w:t>：一般为钢构件，也称作后靠。</w:t>
      </w:r>
    </w:p>
    <w:p w14:paraId="4130E0F9">
      <w:pPr>
        <w:snapToGrid w:val="0"/>
        <w:spacing w:line="288" w:lineRule="auto"/>
        <w:rPr>
          <w:rFonts w:hAnsi="宋体"/>
          <w:sz w:val="20"/>
          <w:szCs w:val="20"/>
        </w:rPr>
      </w:pPr>
      <w:r>
        <w:rPr>
          <w:b/>
          <w:bCs/>
          <w:sz w:val="20"/>
          <w:szCs w:val="20"/>
        </w:rPr>
        <w:t xml:space="preserve">2.0.5  </w:t>
      </w:r>
      <w:r>
        <w:rPr>
          <w:bCs/>
          <w:sz w:val="20"/>
          <w:szCs w:val="20"/>
        </w:rPr>
        <w:t>导轨</w:t>
      </w:r>
      <w:r>
        <w:rPr>
          <w:rFonts w:hint="eastAsia" w:hAnsi="宋体"/>
          <w:sz w:val="20"/>
          <w:szCs w:val="20"/>
        </w:rPr>
        <w:t>：一般为钢构件，尺寸较大时可分块设置。</w:t>
      </w:r>
    </w:p>
    <w:p w14:paraId="284B8F00">
      <w:pPr>
        <w:snapToGrid w:val="0"/>
        <w:spacing w:line="288" w:lineRule="auto"/>
        <w:rPr>
          <w:rFonts w:hAnsi="宋体"/>
          <w:sz w:val="20"/>
          <w:szCs w:val="20"/>
        </w:rPr>
      </w:pPr>
      <w:r>
        <w:rPr>
          <w:b/>
          <w:bCs/>
          <w:sz w:val="20"/>
          <w:szCs w:val="20"/>
        </w:rPr>
        <w:t xml:space="preserve">2.0.6  </w:t>
      </w:r>
      <w:r>
        <w:rPr>
          <w:sz w:val="20"/>
          <w:szCs w:val="20"/>
        </w:rPr>
        <w:t>管节</w:t>
      </w:r>
      <w:r>
        <w:rPr>
          <w:rFonts w:hint="eastAsia" w:hAnsi="宋体"/>
          <w:sz w:val="20"/>
          <w:szCs w:val="20"/>
        </w:rPr>
        <w:t>：一般为预制</w:t>
      </w:r>
      <w:r>
        <w:rPr>
          <w:rFonts w:hAnsi="宋体"/>
          <w:sz w:val="20"/>
          <w:szCs w:val="20"/>
        </w:rPr>
        <w:t>钢筋混凝土</w:t>
      </w:r>
      <w:r>
        <w:rPr>
          <w:rFonts w:hint="eastAsia" w:hAnsi="宋体"/>
          <w:sz w:val="20"/>
          <w:szCs w:val="20"/>
        </w:rPr>
        <w:t>管节，特殊部位可采用钢制管节。根据《预制混凝土箱涵》（</w:t>
      </w:r>
      <w:r>
        <w:rPr>
          <w:rFonts w:hAnsi="宋体"/>
          <w:sz w:val="20"/>
          <w:szCs w:val="20"/>
        </w:rPr>
        <w:t>JC/T2456</w:t>
      </w:r>
      <w:r>
        <w:rPr>
          <w:rFonts w:hint="eastAsia" w:hAnsi="宋体"/>
          <w:sz w:val="20"/>
          <w:szCs w:val="20"/>
        </w:rPr>
        <w:t>），</w:t>
      </w:r>
      <w:r>
        <w:rPr>
          <w:rFonts w:hAnsi="宋体"/>
          <w:sz w:val="20"/>
          <w:szCs w:val="20"/>
        </w:rPr>
        <w:t>钢筋混凝土</w:t>
      </w:r>
      <w:r>
        <w:rPr>
          <w:rFonts w:hint="eastAsia" w:hAnsi="宋体"/>
          <w:sz w:val="20"/>
          <w:szCs w:val="20"/>
        </w:rPr>
        <w:t>管节也称为箱涵。</w:t>
      </w:r>
    </w:p>
    <w:p w14:paraId="51808D64">
      <w:pPr>
        <w:snapToGrid w:val="0"/>
        <w:spacing w:line="288" w:lineRule="auto"/>
        <w:rPr>
          <w:rFonts w:hAnsi="宋体"/>
          <w:sz w:val="20"/>
          <w:szCs w:val="20"/>
        </w:rPr>
      </w:pPr>
      <w:r>
        <w:rPr>
          <w:b/>
          <w:bCs/>
          <w:sz w:val="20"/>
          <w:szCs w:val="20"/>
        </w:rPr>
        <w:t xml:space="preserve">2.0.10  </w:t>
      </w:r>
      <w:r>
        <w:rPr>
          <w:sz w:val="20"/>
          <w:szCs w:val="20"/>
        </w:rPr>
        <w:t>触变泥浆</w:t>
      </w:r>
      <w:r>
        <w:rPr>
          <w:rFonts w:hint="eastAsia" w:hAnsi="宋体"/>
          <w:sz w:val="20"/>
          <w:szCs w:val="20"/>
        </w:rPr>
        <w:t>：填充在机壳与地层之间、管节与地层之间的间隙，在管节和机壳四周形成一圈稳定的泥浆套，该泥浆套起到充填、减小摩阻力的作用。</w:t>
      </w:r>
    </w:p>
    <w:p w14:paraId="1168438E">
      <w:pPr>
        <w:snapToGrid w:val="0"/>
        <w:spacing w:line="288" w:lineRule="auto"/>
        <w:rPr>
          <w:rFonts w:hAnsi="宋体"/>
          <w:sz w:val="20"/>
          <w:szCs w:val="20"/>
        </w:rPr>
      </w:pPr>
      <w:r>
        <w:rPr>
          <w:b/>
          <w:bCs/>
          <w:sz w:val="20"/>
          <w:szCs w:val="20"/>
        </w:rPr>
        <w:t xml:space="preserve">2.0.11  </w:t>
      </w:r>
      <w:r>
        <w:rPr>
          <w:sz w:val="20"/>
          <w:szCs w:val="20"/>
        </w:rPr>
        <w:t>浓泥</w:t>
      </w:r>
      <w:r>
        <w:rPr>
          <w:rFonts w:hint="eastAsia" w:hAnsi="宋体"/>
          <w:sz w:val="20"/>
          <w:szCs w:val="20"/>
        </w:rPr>
        <w:t>：泥浆与触变泥浆注入部位一致，主要用于调整顶管姿态和控制地表沉降，其配合比根据工程地质条件、沉降控制要求等调配。</w:t>
      </w:r>
    </w:p>
    <w:p w14:paraId="5D65E2ED">
      <w:pPr>
        <w:snapToGrid w:val="0"/>
        <w:spacing w:line="288" w:lineRule="auto"/>
        <w:ind w:firstLine="400" w:firstLineChars="200"/>
        <w:rPr>
          <w:sz w:val="20"/>
          <w:szCs w:val="20"/>
        </w:rPr>
      </w:pPr>
      <w:r>
        <w:rPr>
          <w:sz w:val="20"/>
          <w:szCs w:val="20"/>
        </w:rPr>
        <w:br w:type="page"/>
      </w:r>
    </w:p>
    <w:p w14:paraId="6742A386">
      <w:pPr>
        <w:snapToGrid w:val="0"/>
        <w:spacing w:line="288" w:lineRule="auto"/>
        <w:jc w:val="center"/>
        <w:outlineLvl w:val="0"/>
        <w:rPr>
          <w:rFonts w:eastAsia="黑体"/>
          <w:b/>
          <w:bCs/>
          <w:kern w:val="44"/>
          <w:sz w:val="26"/>
          <w:szCs w:val="26"/>
        </w:rPr>
      </w:pPr>
      <w:bookmarkStart w:id="435" w:name="_Toc188798571"/>
      <w:r>
        <w:rPr>
          <w:rFonts w:eastAsia="黑体"/>
          <w:b/>
          <w:bCs/>
          <w:kern w:val="44"/>
          <w:sz w:val="26"/>
          <w:szCs w:val="26"/>
        </w:rPr>
        <w:t xml:space="preserve">3  </w:t>
      </w:r>
      <w:r>
        <w:rPr>
          <w:rFonts w:hint="eastAsia" w:eastAsia="黑体"/>
          <w:b/>
          <w:bCs/>
          <w:kern w:val="44"/>
          <w:sz w:val="26"/>
          <w:szCs w:val="26"/>
        </w:rPr>
        <w:t>基本规定</w:t>
      </w:r>
      <w:bookmarkEnd w:id="435"/>
    </w:p>
    <w:p w14:paraId="252A5F0C">
      <w:pPr>
        <w:snapToGrid w:val="0"/>
        <w:spacing w:line="288" w:lineRule="auto"/>
        <w:ind w:firstLine="350" w:firstLineChars="175"/>
        <w:rPr>
          <w:sz w:val="20"/>
          <w:szCs w:val="20"/>
        </w:rPr>
      </w:pPr>
    </w:p>
    <w:p w14:paraId="1EC74B22">
      <w:pPr>
        <w:snapToGrid w:val="0"/>
        <w:spacing w:line="288" w:lineRule="auto"/>
        <w:rPr>
          <w:sz w:val="20"/>
          <w:szCs w:val="20"/>
        </w:rPr>
      </w:pPr>
      <w:r>
        <w:rPr>
          <w:rFonts w:hAnsi="宋体"/>
          <w:b/>
          <w:bCs/>
          <w:sz w:val="20"/>
          <w:szCs w:val="20"/>
        </w:rPr>
        <w:t xml:space="preserve">3.0.1  </w:t>
      </w:r>
      <w:r>
        <w:rPr>
          <w:rFonts w:hint="eastAsia"/>
          <w:sz w:val="20"/>
          <w:szCs w:val="20"/>
        </w:rPr>
        <w:t>本条参照国家现行标准《建筑与市政工程施工质量控制通用规范》</w:t>
      </w:r>
      <w:r>
        <w:rPr>
          <w:sz w:val="20"/>
          <w:szCs w:val="20"/>
        </w:rPr>
        <w:t>GB 55032</w:t>
      </w:r>
      <w:r>
        <w:rPr>
          <w:rFonts w:hint="eastAsia"/>
          <w:sz w:val="20"/>
          <w:szCs w:val="20"/>
        </w:rPr>
        <w:t>相关条款编写。本条规定矩形顶管工程所使用的原材料（水泥、膨润土等）、半成品、成品、管节等进场应检验，检验内容包括：外观质量检查、质量合格证明文件核查和进场检验复试。</w:t>
      </w:r>
    </w:p>
    <w:p w14:paraId="26A864BB">
      <w:pPr>
        <w:snapToGrid w:val="0"/>
        <w:spacing w:line="288" w:lineRule="auto"/>
        <w:ind w:firstLine="300" w:firstLineChars="150"/>
        <w:rPr>
          <w:sz w:val="20"/>
          <w:szCs w:val="20"/>
        </w:rPr>
      </w:pPr>
      <w:r>
        <w:rPr>
          <w:rFonts w:hint="eastAsia"/>
          <w:sz w:val="20"/>
          <w:szCs w:val="20"/>
        </w:rPr>
        <w:t>本条规定涉及安全、节能、环境保护和主要使用功能的重要材料、产品应按各专业工程施工规范、验收规范和设计文件等规定进行复验，并应经监理工程师检查认可。</w:t>
      </w:r>
    </w:p>
    <w:p w14:paraId="23E84858">
      <w:pPr>
        <w:snapToGrid w:val="0"/>
        <w:spacing w:line="288" w:lineRule="auto"/>
        <w:ind w:firstLine="300" w:firstLineChars="150"/>
        <w:rPr>
          <w:rFonts w:hAnsi="宋体"/>
          <w:bCs/>
          <w:sz w:val="20"/>
          <w:szCs w:val="20"/>
        </w:rPr>
      </w:pPr>
      <w:r>
        <w:rPr>
          <w:rFonts w:hint="eastAsia"/>
          <w:sz w:val="20"/>
          <w:szCs w:val="20"/>
        </w:rPr>
        <w:t>本条旨在严控工程的主要材料、半成品、成品、构配件、器具和设备的进场检验和重要材料、产品的复验。为把握重点环节要求对涉及安全、节能、环境保护和主要使用</w:t>
      </w:r>
      <w:r>
        <w:rPr>
          <w:rFonts w:hint="eastAsia" w:hAnsi="宋体"/>
          <w:bCs/>
          <w:sz w:val="20"/>
          <w:szCs w:val="20"/>
        </w:rPr>
        <w:t>功能的重要材料、产品进行复验，体现了安全、卫生、节能、环保的原则。重要材料包括工程主体中使用的与结构受力、工程使用直接相关的材料。</w:t>
      </w:r>
    </w:p>
    <w:p w14:paraId="18B6419F">
      <w:pPr>
        <w:snapToGrid w:val="0"/>
        <w:spacing w:line="288" w:lineRule="auto"/>
        <w:rPr>
          <w:bCs/>
          <w:sz w:val="20"/>
          <w:szCs w:val="20"/>
        </w:rPr>
      </w:pPr>
      <w:r>
        <w:rPr>
          <w:b/>
          <w:bCs/>
          <w:sz w:val="20"/>
          <w:szCs w:val="20"/>
        </w:rPr>
        <w:t xml:space="preserve">3.0.2  </w:t>
      </w:r>
      <w:r>
        <w:rPr>
          <w:rFonts w:hint="eastAsia"/>
          <w:sz w:val="20"/>
          <w:szCs w:val="20"/>
        </w:rPr>
        <w:t>合理布置矩形顶管施工场地，顶管工作井施工场地需综合考虑起重设备、管节存放场、浆液搅拌站、渣土存放场地、顶管机操控室、供配电站、库房等布置要求。</w:t>
      </w:r>
    </w:p>
    <w:p w14:paraId="50E54A55">
      <w:pPr>
        <w:snapToGrid w:val="0"/>
        <w:spacing w:line="288" w:lineRule="auto"/>
        <w:ind w:firstLine="350" w:firstLineChars="175"/>
        <w:rPr>
          <w:sz w:val="20"/>
          <w:szCs w:val="20"/>
        </w:rPr>
      </w:pPr>
    </w:p>
    <w:p w14:paraId="06C4ACF1">
      <w:pPr>
        <w:snapToGrid w:val="0"/>
        <w:spacing w:line="288" w:lineRule="auto"/>
        <w:ind w:left="2" w:hanging="2"/>
        <w:jc w:val="center"/>
        <w:outlineLvl w:val="0"/>
        <w:rPr>
          <w:rFonts w:ascii="Calibri" w:hAnsi="Calibri" w:cs="Calibri"/>
          <w:b/>
          <w:bCs/>
          <w:kern w:val="0"/>
          <w:lang w:bidi="ar"/>
        </w:rPr>
      </w:pPr>
      <w:r>
        <w:rPr>
          <w:rFonts w:ascii="Calibri" w:hAnsi="Calibri" w:cs="Calibri"/>
          <w:b/>
          <w:bCs/>
          <w:kern w:val="0"/>
          <w:lang w:bidi="ar"/>
        </w:rPr>
        <w:br w:type="page"/>
      </w:r>
    </w:p>
    <w:p w14:paraId="67994A34">
      <w:pPr>
        <w:snapToGrid w:val="0"/>
        <w:spacing w:line="288" w:lineRule="auto"/>
        <w:jc w:val="center"/>
        <w:outlineLvl w:val="0"/>
        <w:rPr>
          <w:rFonts w:eastAsia="黑体"/>
          <w:b/>
          <w:bCs/>
          <w:kern w:val="44"/>
          <w:sz w:val="26"/>
          <w:szCs w:val="26"/>
        </w:rPr>
      </w:pPr>
      <w:bookmarkStart w:id="436" w:name="_Toc188798572"/>
      <w:r>
        <w:rPr>
          <w:rFonts w:eastAsia="黑体"/>
          <w:b/>
          <w:bCs/>
          <w:kern w:val="44"/>
          <w:sz w:val="26"/>
          <w:szCs w:val="26"/>
        </w:rPr>
        <w:t xml:space="preserve">4  </w:t>
      </w:r>
      <w:r>
        <w:rPr>
          <w:rFonts w:hint="eastAsia" w:eastAsia="黑体"/>
          <w:b/>
          <w:bCs/>
          <w:kern w:val="44"/>
          <w:sz w:val="26"/>
          <w:szCs w:val="26"/>
        </w:rPr>
        <w:t>施工准备</w:t>
      </w:r>
      <w:bookmarkEnd w:id="436"/>
    </w:p>
    <w:p w14:paraId="4661F71D">
      <w:pPr>
        <w:pStyle w:val="3"/>
        <w:snapToGrid w:val="0"/>
        <w:spacing w:before="240" w:beforeLines="100" w:after="0" w:line="288" w:lineRule="auto"/>
        <w:jc w:val="center"/>
        <w:rPr>
          <w:rFonts w:ascii="Times New Roman" w:hAnsi="Times New Roman"/>
          <w:sz w:val="20"/>
          <w:szCs w:val="21"/>
        </w:rPr>
      </w:pPr>
      <w:bookmarkStart w:id="437" w:name="_Toc188798573"/>
      <w:r>
        <w:rPr>
          <w:rFonts w:ascii="Times New Roman" w:hAnsi="Times New Roman"/>
          <w:sz w:val="20"/>
          <w:szCs w:val="21"/>
        </w:rPr>
        <w:t xml:space="preserve">4.1  </w:t>
      </w:r>
      <w:r>
        <w:rPr>
          <w:rFonts w:hint="eastAsia" w:ascii="Times New Roman" w:hAnsi="Times New Roman"/>
          <w:sz w:val="20"/>
          <w:szCs w:val="21"/>
        </w:rPr>
        <w:t>一般规定</w:t>
      </w:r>
      <w:bookmarkEnd w:id="437"/>
    </w:p>
    <w:p w14:paraId="6B9F7DB2">
      <w:pPr>
        <w:snapToGrid w:val="0"/>
        <w:spacing w:line="288" w:lineRule="auto"/>
        <w:outlineLvl w:val="2"/>
        <w:rPr>
          <w:sz w:val="20"/>
          <w:szCs w:val="20"/>
        </w:rPr>
      </w:pPr>
      <w:r>
        <w:rPr>
          <w:rFonts w:hAnsi="宋体"/>
          <w:b/>
          <w:sz w:val="20"/>
          <w:szCs w:val="20"/>
        </w:rPr>
        <w:t>4.1.</w:t>
      </w:r>
      <w:r>
        <w:rPr>
          <w:rFonts w:hint="eastAsia" w:hAnsi="宋体"/>
          <w:b/>
          <w:sz w:val="20"/>
          <w:szCs w:val="20"/>
        </w:rPr>
        <w:t>4</w:t>
      </w:r>
      <w:r>
        <w:rPr>
          <w:rFonts w:hAnsi="宋体"/>
          <w:b/>
          <w:sz w:val="20"/>
          <w:szCs w:val="20"/>
        </w:rPr>
        <w:t xml:space="preserve">  </w:t>
      </w:r>
      <w:r>
        <w:rPr>
          <w:rFonts w:hint="eastAsia"/>
          <w:sz w:val="20"/>
          <w:szCs w:val="20"/>
        </w:rPr>
        <w:t>管节存放时，管节下垫木方或型钢，垫型钢时，型钢与管节之间设置柔性垫层。</w:t>
      </w:r>
      <w:r>
        <w:rPr>
          <w:rFonts w:hint="eastAsia" w:hAnsi="宋体"/>
          <w:bCs/>
          <w:sz w:val="20"/>
          <w:szCs w:val="20"/>
        </w:rPr>
        <w:t>安装注入管路时宜平放。</w:t>
      </w:r>
    </w:p>
    <w:p w14:paraId="2474EC72">
      <w:pPr>
        <w:pStyle w:val="3"/>
        <w:snapToGrid w:val="0"/>
        <w:spacing w:before="240" w:beforeLines="100" w:after="0" w:line="288" w:lineRule="auto"/>
        <w:jc w:val="center"/>
        <w:rPr>
          <w:rFonts w:ascii="Times New Roman" w:hAnsi="Times New Roman"/>
          <w:sz w:val="20"/>
          <w:szCs w:val="21"/>
        </w:rPr>
      </w:pPr>
      <w:bookmarkStart w:id="438" w:name="_Toc188798574"/>
      <w:r>
        <w:rPr>
          <w:rFonts w:hint="eastAsia" w:ascii="Times New Roman" w:hAnsi="Times New Roman"/>
          <w:sz w:val="20"/>
          <w:szCs w:val="21"/>
        </w:rPr>
        <w:t>4.</w:t>
      </w:r>
      <w:r>
        <w:rPr>
          <w:rFonts w:ascii="Times New Roman" w:hAnsi="Times New Roman"/>
          <w:sz w:val="20"/>
          <w:szCs w:val="21"/>
        </w:rPr>
        <w:t>2  前期调查</w:t>
      </w:r>
      <w:bookmarkEnd w:id="438"/>
    </w:p>
    <w:p w14:paraId="7EA8DCB1">
      <w:pPr>
        <w:snapToGrid w:val="0"/>
        <w:spacing w:line="288" w:lineRule="auto"/>
        <w:rPr>
          <w:sz w:val="20"/>
          <w:szCs w:val="20"/>
        </w:rPr>
      </w:pPr>
      <w:r>
        <w:rPr>
          <w:rFonts w:hAnsi="宋体"/>
          <w:b/>
          <w:sz w:val="20"/>
          <w:szCs w:val="20"/>
        </w:rPr>
        <w:t>4.2.2</w:t>
      </w:r>
      <w:r>
        <w:rPr>
          <w:sz w:val="20"/>
          <w:szCs w:val="20"/>
        </w:rPr>
        <w:t xml:space="preserve">  </w:t>
      </w:r>
      <w:r>
        <w:rPr>
          <w:rFonts w:hint="eastAsia"/>
          <w:sz w:val="20"/>
          <w:szCs w:val="20"/>
        </w:rPr>
        <w:t>矩形顶管与周边环境之间存在互相影响，为防止设计资料与实际工况不符，施工前对勘察、设计资料载明的工程环境进行实地踏勘调查，若有不符及时向建设单位反馈，为施工组织设计及专项方案制定提供依据，调查内容主要包括：</w:t>
      </w:r>
    </w:p>
    <w:p w14:paraId="6029A5A8">
      <w:pPr>
        <w:snapToGrid w:val="0"/>
        <w:spacing w:line="288" w:lineRule="auto"/>
        <w:ind w:firstLine="350" w:firstLineChars="175"/>
        <w:rPr>
          <w:sz w:val="20"/>
          <w:szCs w:val="20"/>
        </w:rPr>
      </w:pPr>
      <w:r>
        <w:rPr>
          <w:sz w:val="20"/>
          <w:szCs w:val="20"/>
        </w:rPr>
        <w:t xml:space="preserve">1 </w:t>
      </w:r>
      <w:r>
        <w:rPr>
          <w:rFonts w:hint="eastAsia"/>
          <w:sz w:val="20"/>
          <w:szCs w:val="20"/>
        </w:rPr>
        <w:t>实地踏勘各种建（构）筑物、管线的使用功能、结构形式、基础形式、管材类型及其与顶管结构的相对空间位置关系等；</w:t>
      </w:r>
    </w:p>
    <w:p w14:paraId="2A338876">
      <w:pPr>
        <w:snapToGrid w:val="0"/>
        <w:spacing w:line="288" w:lineRule="auto"/>
        <w:ind w:firstLine="350" w:firstLineChars="175"/>
        <w:rPr>
          <w:sz w:val="20"/>
          <w:szCs w:val="20"/>
        </w:rPr>
      </w:pPr>
      <w:r>
        <w:rPr>
          <w:sz w:val="20"/>
          <w:szCs w:val="20"/>
        </w:rPr>
        <w:t xml:space="preserve">2 </w:t>
      </w:r>
      <w:r>
        <w:rPr>
          <w:rFonts w:hint="eastAsia"/>
          <w:sz w:val="20"/>
          <w:szCs w:val="20"/>
        </w:rPr>
        <w:t>道路种类、路面交通情况；</w:t>
      </w:r>
    </w:p>
    <w:p w14:paraId="75CC47A9">
      <w:pPr>
        <w:snapToGrid w:val="0"/>
        <w:spacing w:line="288" w:lineRule="auto"/>
        <w:ind w:firstLine="350" w:firstLineChars="175"/>
        <w:rPr>
          <w:sz w:val="20"/>
          <w:szCs w:val="20"/>
        </w:rPr>
      </w:pPr>
      <w:r>
        <w:rPr>
          <w:sz w:val="20"/>
          <w:szCs w:val="20"/>
        </w:rPr>
        <w:t xml:space="preserve">3 </w:t>
      </w:r>
      <w:r>
        <w:rPr>
          <w:rFonts w:hint="eastAsia"/>
          <w:sz w:val="20"/>
          <w:szCs w:val="20"/>
        </w:rPr>
        <w:t>河湖的水位、河湖底砌筑情况等；</w:t>
      </w:r>
    </w:p>
    <w:p w14:paraId="2E66636A">
      <w:pPr>
        <w:snapToGrid w:val="0"/>
        <w:spacing w:line="288" w:lineRule="auto"/>
        <w:ind w:firstLine="350" w:firstLineChars="175"/>
        <w:rPr>
          <w:sz w:val="20"/>
          <w:szCs w:val="20"/>
        </w:rPr>
      </w:pPr>
      <w:r>
        <w:rPr>
          <w:sz w:val="20"/>
          <w:szCs w:val="20"/>
        </w:rPr>
        <w:t xml:space="preserve">4 </w:t>
      </w:r>
      <w:r>
        <w:rPr>
          <w:rFonts w:hint="eastAsia"/>
          <w:sz w:val="20"/>
          <w:szCs w:val="20"/>
        </w:rPr>
        <w:t>施工场地、运输线路；</w:t>
      </w:r>
    </w:p>
    <w:p w14:paraId="717ED36D">
      <w:pPr>
        <w:snapToGrid w:val="0"/>
        <w:spacing w:line="288" w:lineRule="auto"/>
        <w:ind w:firstLine="350" w:firstLineChars="175"/>
        <w:rPr>
          <w:sz w:val="20"/>
          <w:szCs w:val="20"/>
        </w:rPr>
      </w:pPr>
      <w:r>
        <w:rPr>
          <w:sz w:val="20"/>
          <w:szCs w:val="20"/>
        </w:rPr>
        <w:t xml:space="preserve">5 </w:t>
      </w:r>
      <w:r>
        <w:rPr>
          <w:rFonts w:hint="eastAsia"/>
          <w:sz w:val="20"/>
          <w:szCs w:val="20"/>
        </w:rPr>
        <w:t>施工用电、用水及排水设施条件。</w:t>
      </w:r>
    </w:p>
    <w:p w14:paraId="2E12DA71">
      <w:pPr>
        <w:pStyle w:val="3"/>
        <w:snapToGrid w:val="0"/>
        <w:spacing w:before="240" w:beforeLines="100" w:after="0" w:line="288" w:lineRule="auto"/>
        <w:jc w:val="center"/>
        <w:rPr>
          <w:rFonts w:ascii="Times New Roman" w:hAnsi="Times New Roman"/>
          <w:sz w:val="20"/>
          <w:szCs w:val="21"/>
        </w:rPr>
      </w:pPr>
      <w:bookmarkStart w:id="439" w:name="_Toc188798575"/>
      <w:r>
        <w:rPr>
          <w:rFonts w:hint="eastAsia" w:ascii="Times New Roman" w:hAnsi="Times New Roman"/>
          <w:sz w:val="20"/>
          <w:szCs w:val="21"/>
        </w:rPr>
        <w:t>4.</w:t>
      </w:r>
      <w:r>
        <w:rPr>
          <w:rFonts w:ascii="Times New Roman" w:hAnsi="Times New Roman"/>
          <w:sz w:val="20"/>
          <w:szCs w:val="21"/>
        </w:rPr>
        <w:t>4</w:t>
      </w:r>
      <w:r>
        <w:rPr>
          <w:rFonts w:hint="eastAsia" w:ascii="Times New Roman" w:hAnsi="Times New Roman"/>
          <w:sz w:val="20"/>
          <w:szCs w:val="21"/>
        </w:rPr>
        <w:t xml:space="preserve"> 顶管机选型与配置</w:t>
      </w:r>
      <w:bookmarkEnd w:id="439"/>
    </w:p>
    <w:p w14:paraId="610FAA3F">
      <w:pPr>
        <w:snapToGrid w:val="0"/>
        <w:spacing w:line="288" w:lineRule="auto"/>
        <w:outlineLvl w:val="2"/>
        <w:rPr>
          <w:sz w:val="20"/>
          <w:szCs w:val="20"/>
        </w:rPr>
      </w:pPr>
      <w:r>
        <w:rPr>
          <w:b/>
          <w:bCs/>
          <w:sz w:val="20"/>
          <w:szCs w:val="20"/>
        </w:rPr>
        <w:t>4.4.1</w:t>
      </w:r>
      <w:r>
        <w:rPr>
          <w:rFonts w:hint="eastAsia"/>
          <w:b/>
          <w:bCs/>
          <w:sz w:val="20"/>
          <w:szCs w:val="20"/>
        </w:rPr>
        <w:t xml:space="preserve">  </w:t>
      </w:r>
      <w:r>
        <w:rPr>
          <w:rFonts w:hint="eastAsia"/>
          <w:sz w:val="20"/>
          <w:szCs w:val="20"/>
        </w:rPr>
        <w:t>矩形顶管机一般尺寸较大，机械构造及各种系统与盾构机主机接近，因此在选型时更多地参照盾构选型相关条款。该条参照《盾构法隧道施工及验收规范》</w:t>
      </w:r>
      <w:r>
        <w:rPr>
          <w:sz w:val="20"/>
          <w:szCs w:val="20"/>
        </w:rPr>
        <w:t>GB 50446</w:t>
      </w:r>
      <w:r>
        <w:rPr>
          <w:rFonts w:hint="eastAsia"/>
          <w:sz w:val="20"/>
          <w:szCs w:val="20"/>
        </w:rPr>
        <w:t>及北京市地标《城市轨道交通工程盾构法施工技术规程》</w:t>
      </w:r>
      <w:r>
        <w:rPr>
          <w:sz w:val="20"/>
          <w:szCs w:val="20"/>
        </w:rPr>
        <w:t>DB 11/T 2096</w:t>
      </w:r>
      <w:r>
        <w:rPr>
          <w:rFonts w:hint="eastAsia"/>
          <w:sz w:val="20"/>
          <w:szCs w:val="20"/>
        </w:rPr>
        <w:t>的有关条款。</w:t>
      </w:r>
    </w:p>
    <w:p w14:paraId="694EC33B">
      <w:pPr>
        <w:snapToGrid w:val="0"/>
        <w:spacing w:line="288" w:lineRule="auto"/>
        <w:ind w:firstLine="301" w:firstLineChars="150"/>
        <w:rPr>
          <w:sz w:val="20"/>
          <w:szCs w:val="20"/>
        </w:rPr>
      </w:pPr>
      <w:r>
        <w:rPr>
          <w:rFonts w:hAnsi="宋体"/>
          <w:b/>
          <w:bCs/>
          <w:sz w:val="20"/>
          <w:szCs w:val="20"/>
        </w:rPr>
        <w:t>1</w:t>
      </w:r>
      <w:r>
        <w:rPr>
          <w:sz w:val="20"/>
          <w:szCs w:val="20"/>
        </w:rPr>
        <w:t xml:space="preserve"> </w:t>
      </w:r>
      <w:r>
        <w:rPr>
          <w:rFonts w:hint="eastAsia"/>
          <w:sz w:val="20"/>
          <w:szCs w:val="20"/>
        </w:rPr>
        <w:t>设计文件包括：设计顶管结构的平纵断面尺寸、结构埋深、顶管连续顶进长度等。</w:t>
      </w:r>
    </w:p>
    <w:p w14:paraId="0A5D5580">
      <w:pPr>
        <w:snapToGrid w:val="0"/>
        <w:spacing w:line="288" w:lineRule="auto"/>
        <w:ind w:firstLine="301" w:firstLineChars="150"/>
        <w:rPr>
          <w:sz w:val="20"/>
          <w:szCs w:val="20"/>
        </w:rPr>
      </w:pPr>
      <w:r>
        <w:rPr>
          <w:rFonts w:hAnsi="宋体"/>
          <w:b/>
          <w:bCs/>
          <w:sz w:val="20"/>
          <w:szCs w:val="20"/>
        </w:rPr>
        <w:t>2</w:t>
      </w:r>
      <w:r>
        <w:rPr>
          <w:sz w:val="20"/>
          <w:szCs w:val="20"/>
        </w:rPr>
        <w:t xml:space="preserve"> </w:t>
      </w:r>
      <w:r>
        <w:rPr>
          <w:rFonts w:hint="eastAsia"/>
          <w:sz w:val="20"/>
          <w:szCs w:val="20"/>
        </w:rPr>
        <w:t>工程地质和水文地质勘察报告：内容包括地层岩性及分布状况、地下水水位、地层渗透性等，同时特别注意大粒径卵砾石地层、松散沙层、地中障碍物、可燃及有害气体等。</w:t>
      </w:r>
    </w:p>
    <w:p w14:paraId="73B09DE3">
      <w:pPr>
        <w:snapToGrid w:val="0"/>
        <w:spacing w:line="288" w:lineRule="auto"/>
        <w:ind w:firstLine="301" w:firstLineChars="150"/>
        <w:rPr>
          <w:sz w:val="20"/>
          <w:szCs w:val="20"/>
        </w:rPr>
      </w:pPr>
      <w:r>
        <w:rPr>
          <w:rFonts w:hAnsi="宋体"/>
          <w:b/>
          <w:bCs/>
          <w:sz w:val="20"/>
          <w:szCs w:val="20"/>
        </w:rPr>
        <w:t xml:space="preserve">3 </w:t>
      </w:r>
      <w:r>
        <w:rPr>
          <w:rFonts w:hint="eastAsia"/>
          <w:sz w:val="20"/>
          <w:szCs w:val="20"/>
        </w:rPr>
        <w:t>周边环境条件包括：工程周边的建（构）筑物状况、地下管线情况、道路交通状况、控制沉降要求。顶管施工过程中应注重对环境的保护，防止顶管过程中产生的废弃物、噪声及沉降过大等对环境造成影响。</w:t>
      </w:r>
    </w:p>
    <w:p w14:paraId="716F836F">
      <w:pPr>
        <w:snapToGrid w:val="0"/>
        <w:spacing w:line="288" w:lineRule="auto"/>
        <w:ind w:firstLine="400" w:firstLineChars="200"/>
        <w:rPr>
          <w:sz w:val="20"/>
          <w:szCs w:val="20"/>
        </w:rPr>
      </w:pPr>
      <w:r>
        <w:rPr>
          <w:rFonts w:hint="eastAsia"/>
          <w:sz w:val="20"/>
          <w:szCs w:val="20"/>
        </w:rPr>
        <w:t>目前北京轨道交通工程矩形顶管主要用于施工地铁出入口通道等部位，埋深较浅，长度较短，场地较小，土压平衡顶管设备系统较简单，占用场地小、经济适用，应优先采用。</w:t>
      </w:r>
    </w:p>
    <w:p w14:paraId="55B284B0">
      <w:pPr>
        <w:adjustRightInd w:val="0"/>
        <w:snapToGrid w:val="0"/>
        <w:spacing w:line="360" w:lineRule="auto"/>
        <w:jc w:val="center"/>
        <w:rPr>
          <w:rFonts w:hAnsi="宋体"/>
          <w:sz w:val="20"/>
          <w:szCs w:val="20"/>
          <w:highlight w:val="yellow"/>
        </w:rPr>
      </w:pPr>
      <w:r>
        <w:rPr>
          <w:rFonts w:hAnsi="宋体"/>
          <w:sz w:val="20"/>
          <w:szCs w:val="20"/>
          <w:highlight w:val="yellow"/>
        </w:rPr>
        <w:drawing>
          <wp:inline distT="0" distB="0" distL="0" distR="0">
            <wp:extent cx="3981450" cy="1409700"/>
            <wp:effectExtent l="0" t="0" r="0" b="0"/>
            <wp:docPr id="2" name="图片 2" descr="172585706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5857064468"/>
                    <pic:cNvPicPr>
                      <a:picLocks noChangeAspect="1" noChangeArrowheads="1"/>
                    </pic:cNvPicPr>
                  </pic:nvPicPr>
                  <pic:blipFill>
                    <a:blip r:embed="rId12">
                      <a:extLst>
                        <a:ext uri="{28A0092B-C50C-407E-A947-70E740481C1C}">
                          <a14:useLocalDpi xmlns:a14="http://schemas.microsoft.com/office/drawing/2010/main" val="0"/>
                        </a:ext>
                      </a:extLst>
                    </a:blip>
                    <a:srcRect b="39880"/>
                    <a:stretch>
                      <a:fillRect/>
                    </a:stretch>
                  </pic:blipFill>
                  <pic:spPr>
                    <a:xfrm>
                      <a:off x="0" y="0"/>
                      <a:ext cx="3981450" cy="1409700"/>
                    </a:xfrm>
                    <a:prstGeom prst="rect">
                      <a:avLst/>
                    </a:prstGeom>
                    <a:noFill/>
                    <a:ln>
                      <a:noFill/>
                    </a:ln>
                  </pic:spPr>
                </pic:pic>
              </a:graphicData>
            </a:graphic>
          </wp:inline>
        </w:drawing>
      </w:r>
    </w:p>
    <w:p w14:paraId="7823F7D4">
      <w:pPr>
        <w:snapToGrid w:val="0"/>
        <w:spacing w:line="288" w:lineRule="auto"/>
        <w:jc w:val="center"/>
        <w:rPr>
          <w:rFonts w:ascii="黑体" w:hAnsi="黑体" w:eastAsia="黑体"/>
          <w:sz w:val="18"/>
          <w:szCs w:val="18"/>
        </w:rPr>
      </w:pPr>
      <w:r>
        <w:rPr>
          <w:rFonts w:hint="eastAsia" w:ascii="黑体" w:hAnsi="黑体" w:eastAsia="黑体"/>
          <w:sz w:val="18"/>
          <w:szCs w:val="18"/>
        </w:rPr>
        <w:t>图</w:t>
      </w:r>
      <w:r>
        <w:rPr>
          <w:rFonts w:ascii="黑体" w:hAnsi="黑体" w:eastAsia="黑体"/>
          <w:sz w:val="18"/>
          <w:szCs w:val="18"/>
        </w:rPr>
        <w:t>4.4.</w:t>
      </w:r>
      <w:r>
        <w:rPr>
          <w:rFonts w:hint="eastAsia" w:ascii="黑体" w:hAnsi="黑体" w:eastAsia="黑体"/>
          <w:sz w:val="18"/>
          <w:szCs w:val="18"/>
        </w:rPr>
        <w:t>1</w:t>
      </w:r>
      <w:r>
        <w:rPr>
          <w:rFonts w:ascii="黑体" w:hAnsi="黑体" w:eastAsia="黑体"/>
          <w:sz w:val="18"/>
          <w:szCs w:val="18"/>
        </w:rPr>
        <w:t xml:space="preserve">  </w:t>
      </w:r>
      <w:r>
        <w:rPr>
          <w:rFonts w:hint="eastAsia" w:ascii="黑体" w:hAnsi="黑体" w:eastAsia="黑体"/>
          <w:sz w:val="18"/>
          <w:szCs w:val="18"/>
        </w:rPr>
        <w:t>土压平衡矩形顶管示意图</w:t>
      </w:r>
    </w:p>
    <w:p w14:paraId="2DD9D960">
      <w:pPr>
        <w:snapToGrid w:val="0"/>
        <w:spacing w:line="288" w:lineRule="auto"/>
        <w:jc w:val="center"/>
        <w:rPr>
          <w:rFonts w:ascii="楷体" w:hAnsi="楷体" w:eastAsia="楷体"/>
          <w:sz w:val="18"/>
          <w:szCs w:val="18"/>
        </w:rPr>
      </w:pPr>
      <w:r>
        <w:rPr>
          <w:rFonts w:ascii="楷体" w:hAnsi="楷体" w:eastAsia="楷体"/>
          <w:sz w:val="18"/>
          <w:szCs w:val="18"/>
        </w:rPr>
        <w:t>1-</w:t>
      </w:r>
      <w:r>
        <w:rPr>
          <w:rFonts w:hint="eastAsia" w:ascii="楷体" w:hAnsi="楷体" w:eastAsia="楷体"/>
          <w:sz w:val="18"/>
          <w:szCs w:val="18"/>
        </w:rPr>
        <w:t>刀盘；</w:t>
      </w:r>
      <w:r>
        <w:rPr>
          <w:rFonts w:ascii="楷体" w:hAnsi="楷体" w:eastAsia="楷体"/>
          <w:sz w:val="18"/>
          <w:szCs w:val="18"/>
        </w:rPr>
        <w:t>2-</w:t>
      </w:r>
      <w:r>
        <w:rPr>
          <w:rFonts w:hint="eastAsia" w:ascii="楷体" w:hAnsi="楷体" w:eastAsia="楷体"/>
          <w:sz w:val="18"/>
          <w:szCs w:val="18"/>
        </w:rPr>
        <w:t>顶管机壳体；</w:t>
      </w:r>
      <w:r>
        <w:rPr>
          <w:rFonts w:ascii="楷体" w:hAnsi="楷体" w:eastAsia="楷体"/>
          <w:sz w:val="18"/>
          <w:szCs w:val="18"/>
        </w:rPr>
        <w:t>3-主驱动；4-纠偏系统；5-脱离装置；</w:t>
      </w:r>
    </w:p>
    <w:p w14:paraId="3A3D8811">
      <w:pPr>
        <w:snapToGrid w:val="0"/>
        <w:spacing w:line="288" w:lineRule="auto"/>
        <w:jc w:val="center"/>
        <w:rPr>
          <w:rFonts w:ascii="楷体" w:hAnsi="楷体" w:eastAsia="楷体"/>
          <w:sz w:val="18"/>
          <w:szCs w:val="18"/>
        </w:rPr>
      </w:pPr>
      <w:r>
        <w:rPr>
          <w:rFonts w:ascii="楷体" w:hAnsi="楷体" w:eastAsia="楷体"/>
          <w:sz w:val="18"/>
          <w:szCs w:val="18"/>
        </w:rPr>
        <w:t>6-螺旋输送机；7-管节；8-中继间；9-顶铁；10-</w:t>
      </w:r>
      <w:r>
        <w:rPr>
          <w:rFonts w:hint="eastAsia" w:ascii="楷体" w:hAnsi="楷体" w:eastAsia="楷体"/>
          <w:sz w:val="18"/>
          <w:szCs w:val="18"/>
        </w:rPr>
        <w:t>主顶油缸；</w:t>
      </w:r>
      <w:r>
        <w:rPr>
          <w:rFonts w:ascii="楷体" w:hAnsi="楷体" w:eastAsia="楷体"/>
          <w:sz w:val="18"/>
          <w:szCs w:val="18"/>
        </w:rPr>
        <w:t>11-后背；</w:t>
      </w:r>
    </w:p>
    <w:p w14:paraId="4A52541C">
      <w:pPr>
        <w:snapToGrid w:val="0"/>
        <w:spacing w:line="288" w:lineRule="auto"/>
        <w:ind w:firstLine="270"/>
        <w:jc w:val="center"/>
        <w:rPr>
          <w:sz w:val="20"/>
          <w:szCs w:val="20"/>
        </w:rPr>
      </w:pPr>
      <w:r>
        <w:rPr>
          <w:rFonts w:ascii="楷体" w:hAnsi="楷体" w:eastAsia="楷体"/>
          <w:sz w:val="18"/>
          <w:szCs w:val="18"/>
        </w:rPr>
        <w:t>12-导向系统；13-后背墙；14-止</w:t>
      </w:r>
      <w:r>
        <w:rPr>
          <w:rFonts w:hint="eastAsia" w:ascii="楷体" w:hAnsi="楷体" w:eastAsia="楷体"/>
          <w:sz w:val="18"/>
          <w:szCs w:val="18"/>
        </w:rPr>
        <w:t>退装置；</w:t>
      </w:r>
      <w:r>
        <w:rPr>
          <w:rFonts w:ascii="楷体" w:hAnsi="楷体" w:eastAsia="楷体"/>
          <w:sz w:val="18"/>
          <w:szCs w:val="18"/>
        </w:rPr>
        <w:t>15-</w:t>
      </w:r>
      <w:r>
        <w:rPr>
          <w:rFonts w:hint="eastAsia" w:ascii="楷体" w:hAnsi="楷体" w:eastAsia="楷体"/>
          <w:sz w:val="18"/>
          <w:szCs w:val="18"/>
        </w:rPr>
        <w:t>水平运输</w:t>
      </w:r>
      <w:r>
        <w:rPr>
          <w:rFonts w:ascii="楷体" w:hAnsi="楷体" w:eastAsia="楷体"/>
          <w:sz w:val="18"/>
          <w:szCs w:val="18"/>
        </w:rPr>
        <w:t>系统</w:t>
      </w:r>
    </w:p>
    <w:p w14:paraId="5811B11B">
      <w:pPr>
        <w:snapToGrid w:val="0"/>
        <w:spacing w:line="288" w:lineRule="auto"/>
        <w:outlineLvl w:val="2"/>
        <w:rPr>
          <w:sz w:val="20"/>
          <w:szCs w:val="20"/>
        </w:rPr>
      </w:pPr>
      <w:r>
        <w:rPr>
          <w:b/>
          <w:bCs/>
          <w:sz w:val="20"/>
          <w:szCs w:val="20"/>
        </w:rPr>
        <w:t xml:space="preserve">4.4.2  </w:t>
      </w:r>
      <w:r>
        <w:rPr>
          <w:rFonts w:hint="eastAsia"/>
          <w:sz w:val="20"/>
          <w:szCs w:val="20"/>
        </w:rPr>
        <w:t>该条对矩形顶管机的设计进行了规定。顶管机与施工工况相匹配，断面大小与管节规格相适应，设备长度根据工作井尺寸大小，在满足功能需求的情况下尽量缩短；同时根据现场组装及运输条件对大断面矩形顶管机进行分块设计。</w:t>
      </w:r>
    </w:p>
    <w:p w14:paraId="406F0C8B">
      <w:pPr>
        <w:snapToGrid w:val="0"/>
        <w:spacing w:line="288" w:lineRule="auto"/>
        <w:outlineLvl w:val="2"/>
        <w:rPr>
          <w:sz w:val="20"/>
          <w:szCs w:val="20"/>
        </w:rPr>
      </w:pPr>
      <w:r>
        <w:rPr>
          <w:b/>
          <w:bCs/>
          <w:sz w:val="20"/>
          <w:szCs w:val="20"/>
        </w:rPr>
        <w:t xml:space="preserve">4.4.3  </w:t>
      </w:r>
      <w:r>
        <w:rPr>
          <w:rFonts w:hint="eastAsia"/>
          <w:sz w:val="20"/>
          <w:szCs w:val="20"/>
        </w:rPr>
        <w:t>岩土类型一般考虑砂性土、卵石层和黏土类土层，矩形顶管一般不适用于岩石地层。地层渗透系数、地下水压大小、埋深等对设备密封性能有要求，对地层改良系统配置和螺旋排土器等有要求。粒径大小、开挖尺寸和开挖面稳定等因素对刀盘刀具配置与布置、刀盘盲区控制等也有要求。</w:t>
      </w:r>
    </w:p>
    <w:p w14:paraId="31FDD179">
      <w:pPr>
        <w:snapToGrid w:val="0"/>
        <w:spacing w:line="288" w:lineRule="auto"/>
        <w:outlineLvl w:val="2"/>
        <w:rPr>
          <w:sz w:val="20"/>
          <w:szCs w:val="20"/>
        </w:rPr>
      </w:pPr>
      <w:r>
        <w:rPr>
          <w:rFonts w:hAnsi="宋体"/>
          <w:b/>
          <w:sz w:val="20"/>
          <w:szCs w:val="20"/>
        </w:rPr>
        <w:t>4.4.</w:t>
      </w:r>
      <w:r>
        <w:rPr>
          <w:rFonts w:hint="eastAsia" w:hAnsi="宋体"/>
          <w:b/>
          <w:sz w:val="20"/>
          <w:szCs w:val="20"/>
        </w:rPr>
        <w:t>6</w:t>
      </w:r>
      <w:r>
        <w:rPr>
          <w:rFonts w:hAnsi="宋体"/>
          <w:b/>
          <w:sz w:val="20"/>
          <w:szCs w:val="20"/>
        </w:rPr>
        <w:t xml:space="preserve">  </w:t>
      </w:r>
      <w:r>
        <w:rPr>
          <w:rFonts w:hint="eastAsia"/>
          <w:sz w:val="20"/>
          <w:szCs w:val="20"/>
        </w:rPr>
        <w:t>矩形顶管根据地层土质情况设置合理的切削率，切削率选取较大的数值，减小开挖盲区。</w:t>
      </w:r>
    </w:p>
    <w:p w14:paraId="5262B8E8">
      <w:pPr>
        <w:snapToGrid w:val="0"/>
        <w:spacing w:line="288" w:lineRule="auto"/>
        <w:outlineLvl w:val="2"/>
        <w:rPr>
          <w:sz w:val="20"/>
          <w:szCs w:val="20"/>
        </w:rPr>
      </w:pPr>
      <w:r>
        <w:rPr>
          <w:rFonts w:hAnsi="宋体"/>
          <w:b/>
          <w:sz w:val="20"/>
          <w:szCs w:val="20"/>
        </w:rPr>
        <w:t>4.4.</w:t>
      </w:r>
      <w:r>
        <w:rPr>
          <w:rFonts w:hint="eastAsia" w:hAnsi="宋体"/>
          <w:b/>
          <w:sz w:val="20"/>
          <w:szCs w:val="20"/>
        </w:rPr>
        <w:t>10</w:t>
      </w:r>
      <w:r>
        <w:rPr>
          <w:rFonts w:hAnsi="宋体"/>
          <w:b/>
          <w:sz w:val="20"/>
          <w:szCs w:val="20"/>
        </w:rPr>
        <w:t xml:space="preserve">  </w:t>
      </w:r>
      <w:r>
        <w:rPr>
          <w:rFonts w:hint="eastAsia"/>
          <w:sz w:val="20"/>
          <w:szCs w:val="20"/>
        </w:rPr>
        <w:t>黏土、粉土地层配置泡沫加注改良系统；砂土地层配置加泥改良系统；砾石层同时配备加泥、加泡沫改良系统。</w:t>
      </w:r>
    </w:p>
    <w:p w14:paraId="2A639D18">
      <w:pPr>
        <w:snapToGrid w:val="0"/>
        <w:spacing w:line="288" w:lineRule="auto"/>
        <w:outlineLvl w:val="2"/>
        <w:rPr>
          <w:sz w:val="20"/>
          <w:szCs w:val="20"/>
        </w:rPr>
      </w:pPr>
      <w:r>
        <w:rPr>
          <w:rFonts w:hint="eastAsia" w:hAnsi="宋体"/>
          <w:b/>
          <w:sz w:val="20"/>
          <w:szCs w:val="20"/>
        </w:rPr>
        <w:t>4.</w:t>
      </w:r>
      <w:r>
        <w:rPr>
          <w:rFonts w:hAnsi="宋体"/>
          <w:b/>
          <w:sz w:val="20"/>
          <w:szCs w:val="20"/>
        </w:rPr>
        <w:t>4</w:t>
      </w:r>
      <w:r>
        <w:rPr>
          <w:rFonts w:hint="eastAsia" w:hAnsi="宋体"/>
          <w:b/>
          <w:sz w:val="20"/>
          <w:szCs w:val="20"/>
        </w:rPr>
        <w:t xml:space="preserve">.12  </w:t>
      </w:r>
      <w:r>
        <w:rPr>
          <w:rFonts w:hint="eastAsia"/>
          <w:sz w:val="20"/>
          <w:szCs w:val="20"/>
        </w:rPr>
        <w:t>浓泥系统注入孔与减阻系统注入孔通常独立设置，设备包括搅拌系统、储浆罐、注入泵、管路、机壳注入孔、管节注入孔等。</w:t>
      </w:r>
    </w:p>
    <w:p w14:paraId="516D3583">
      <w:pPr>
        <w:snapToGrid w:val="0"/>
        <w:spacing w:line="288" w:lineRule="auto"/>
        <w:outlineLvl w:val="2"/>
        <w:rPr>
          <w:sz w:val="20"/>
          <w:szCs w:val="20"/>
        </w:rPr>
      </w:pPr>
      <w:r>
        <w:rPr>
          <w:rFonts w:hAnsi="宋体"/>
          <w:b/>
          <w:sz w:val="20"/>
          <w:szCs w:val="20"/>
        </w:rPr>
        <w:t>4.4.1</w:t>
      </w:r>
      <w:r>
        <w:rPr>
          <w:rFonts w:hint="eastAsia" w:hAnsi="宋体"/>
          <w:b/>
          <w:sz w:val="20"/>
          <w:szCs w:val="20"/>
        </w:rPr>
        <w:t>3</w:t>
      </w:r>
      <w:r>
        <w:rPr>
          <w:rFonts w:hAnsi="宋体"/>
          <w:b/>
          <w:sz w:val="20"/>
          <w:szCs w:val="20"/>
        </w:rPr>
        <w:t xml:space="preserve">  </w:t>
      </w:r>
      <w:r>
        <w:rPr>
          <w:rFonts w:hint="eastAsia"/>
          <w:sz w:val="20"/>
          <w:szCs w:val="20"/>
        </w:rPr>
        <w:t>矩形顶管的检查孔主要有</w:t>
      </w:r>
      <w:r>
        <w:rPr>
          <w:sz w:val="20"/>
          <w:szCs w:val="20"/>
        </w:rPr>
        <w:t>3</w:t>
      </w:r>
      <w:r>
        <w:rPr>
          <w:rFonts w:hint="eastAsia"/>
          <w:sz w:val="20"/>
          <w:szCs w:val="20"/>
        </w:rPr>
        <w:t>个作用：</w:t>
      </w:r>
      <w:r>
        <w:rPr>
          <w:sz w:val="20"/>
          <w:szCs w:val="20"/>
        </w:rPr>
        <w:t>1.</w:t>
      </w:r>
      <w:r>
        <w:rPr>
          <w:rFonts w:hint="eastAsia"/>
          <w:sz w:val="20"/>
          <w:szCs w:val="20"/>
        </w:rPr>
        <w:t>始发时辅助向土仓内填土，可填至土仓的一半到检查孔的位置，检查口封闭后再注入其他填充材料，建立初步土压；</w:t>
      </w:r>
      <w:r>
        <w:rPr>
          <w:sz w:val="20"/>
          <w:szCs w:val="20"/>
        </w:rPr>
        <w:t>2.</w:t>
      </w:r>
      <w:r>
        <w:rPr>
          <w:rFonts w:hint="eastAsia"/>
          <w:sz w:val="20"/>
          <w:szCs w:val="20"/>
        </w:rPr>
        <w:t>遇障碍物时开仓检查。矩形顶管顶进距离较短，一般不考虑开仓换刀。</w:t>
      </w:r>
      <w:r>
        <w:rPr>
          <w:sz w:val="20"/>
          <w:szCs w:val="20"/>
        </w:rPr>
        <w:t>3.</w:t>
      </w:r>
      <w:r>
        <w:rPr>
          <w:rFonts w:hint="eastAsia"/>
          <w:sz w:val="20"/>
          <w:szCs w:val="20"/>
        </w:rPr>
        <w:t>弃壳接收的情况下，顶管机到达接收端可利用检查孔建立土仓内外联系，电路、风管等用于接收端破除的线路可通过检查孔由顶管机内部输出到接收端土仓一侧、接收端破除的土体也可通过检查孔由结构内运出，检查孔还可起到通风透气的作用。</w:t>
      </w:r>
    </w:p>
    <w:p w14:paraId="3B731371">
      <w:pPr>
        <w:snapToGrid w:val="0"/>
        <w:spacing w:line="288" w:lineRule="auto"/>
        <w:outlineLvl w:val="2"/>
        <w:rPr>
          <w:sz w:val="20"/>
          <w:szCs w:val="20"/>
        </w:rPr>
      </w:pPr>
      <w:r>
        <w:rPr>
          <w:rFonts w:hAnsi="宋体"/>
          <w:b/>
          <w:sz w:val="20"/>
          <w:szCs w:val="20"/>
        </w:rPr>
        <w:t>4.4.</w:t>
      </w:r>
      <w:r>
        <w:rPr>
          <w:rFonts w:hint="eastAsia" w:hAnsi="宋体"/>
          <w:b/>
          <w:sz w:val="20"/>
          <w:szCs w:val="20"/>
        </w:rPr>
        <w:t>14</w:t>
      </w:r>
      <w:r>
        <w:rPr>
          <w:rFonts w:hAnsi="宋体"/>
          <w:b/>
          <w:sz w:val="20"/>
          <w:szCs w:val="20"/>
        </w:rPr>
        <w:t xml:space="preserve">  </w:t>
      </w:r>
      <w:r>
        <w:rPr>
          <w:rFonts w:hint="eastAsia"/>
          <w:sz w:val="20"/>
          <w:szCs w:val="20"/>
        </w:rPr>
        <w:t>用于城市轨道交通工程的矩形顶管设备断面尺寸较大，油缸行程宜保证管节一次顶进到位，不宜采用多次增加顶铁的方式增加行程，如果采用增加顶铁的方式防止退装置应与之匹配。</w:t>
      </w:r>
    </w:p>
    <w:p w14:paraId="2C867EAC">
      <w:pPr>
        <w:pStyle w:val="3"/>
        <w:snapToGrid w:val="0"/>
        <w:spacing w:before="240" w:beforeLines="100" w:after="0" w:line="288" w:lineRule="auto"/>
        <w:jc w:val="center"/>
        <w:rPr>
          <w:rFonts w:ascii="Times New Roman" w:hAnsi="Times New Roman"/>
          <w:sz w:val="20"/>
          <w:szCs w:val="21"/>
        </w:rPr>
      </w:pPr>
      <w:bookmarkStart w:id="440" w:name="_Toc188798576"/>
      <w:r>
        <w:rPr>
          <w:rFonts w:ascii="Times New Roman" w:hAnsi="Times New Roman"/>
          <w:sz w:val="20"/>
          <w:szCs w:val="21"/>
        </w:rPr>
        <w:t xml:space="preserve">4.5  </w:t>
      </w:r>
      <w:r>
        <w:rPr>
          <w:rFonts w:hint="eastAsia" w:ascii="Times New Roman" w:hAnsi="Times New Roman"/>
          <w:sz w:val="20"/>
          <w:szCs w:val="21"/>
        </w:rPr>
        <w:t>工作井</w:t>
      </w:r>
      <w:bookmarkEnd w:id="440"/>
    </w:p>
    <w:p w14:paraId="2DC169EB">
      <w:pPr>
        <w:snapToGrid w:val="0"/>
        <w:spacing w:line="288" w:lineRule="auto"/>
        <w:outlineLvl w:val="2"/>
        <w:rPr>
          <w:sz w:val="20"/>
          <w:szCs w:val="20"/>
        </w:rPr>
      </w:pPr>
      <w:r>
        <w:rPr>
          <w:rFonts w:hint="eastAsia" w:hAnsi="宋体"/>
          <w:b/>
          <w:sz w:val="20"/>
          <w:szCs w:val="20"/>
        </w:rPr>
        <w:t>4.</w:t>
      </w:r>
      <w:r>
        <w:rPr>
          <w:rFonts w:hAnsi="宋体"/>
          <w:b/>
          <w:sz w:val="20"/>
          <w:szCs w:val="20"/>
        </w:rPr>
        <w:t>5</w:t>
      </w:r>
      <w:r>
        <w:rPr>
          <w:rFonts w:hint="eastAsia" w:hAnsi="宋体"/>
          <w:b/>
          <w:sz w:val="20"/>
          <w:szCs w:val="20"/>
        </w:rPr>
        <w:t xml:space="preserve">.2  </w:t>
      </w:r>
      <w:r>
        <w:rPr>
          <w:rFonts w:hint="eastAsia"/>
          <w:sz w:val="20"/>
          <w:szCs w:val="20"/>
        </w:rPr>
        <w:t>轨道交通工程矩形顶管一般结合车站主体及附属结构设置，由于场地限制、节约费用等因素，工作井或接收井可能设置在已完成的车站中板上，这种工况下考虑中板的承载能力、顶管后背的设置形式，顶管施工附加荷载满足车站结构要求，否则应采取加固措施。</w:t>
      </w:r>
    </w:p>
    <w:p w14:paraId="77093BCD">
      <w:pPr>
        <w:snapToGrid w:val="0"/>
        <w:spacing w:line="288" w:lineRule="auto"/>
        <w:outlineLvl w:val="2"/>
        <w:rPr>
          <w:sz w:val="20"/>
          <w:szCs w:val="20"/>
        </w:rPr>
      </w:pPr>
      <w:r>
        <w:rPr>
          <w:rFonts w:hAnsi="宋体"/>
          <w:b/>
          <w:sz w:val="20"/>
          <w:szCs w:val="20"/>
        </w:rPr>
        <w:t>4.5.</w:t>
      </w:r>
      <w:r>
        <w:rPr>
          <w:rFonts w:hint="eastAsia" w:hAnsi="宋体"/>
          <w:b/>
          <w:sz w:val="20"/>
          <w:szCs w:val="20"/>
        </w:rPr>
        <w:t xml:space="preserve">3 </w:t>
      </w:r>
      <w:r>
        <w:rPr>
          <w:rFonts w:hAnsi="宋体"/>
          <w:sz w:val="20"/>
          <w:szCs w:val="20"/>
        </w:rPr>
        <w:t xml:space="preserve"> </w:t>
      </w:r>
      <w:r>
        <w:rPr>
          <w:rFonts w:hint="eastAsia" w:hAnsi="宋体"/>
          <w:sz w:val="20"/>
          <w:szCs w:val="20"/>
        </w:rPr>
        <w:t xml:space="preserve">2 </w:t>
      </w:r>
      <m:oMath>
        <m:sSub>
          <m:sSubPr>
            <m:ctrlPr>
              <w:rPr>
                <w:rFonts w:ascii="Cambria Math" w:hAnsi="Cambria Math"/>
                <w:sz w:val="20"/>
                <w:szCs w:val="20"/>
              </w:rPr>
            </m:ctrlPr>
          </m:sSubPr>
          <m:e>
            <m:r>
              <m:rPr/>
              <w:rPr>
                <w:rFonts w:ascii="Cambria Math" w:hAnsi="Cambria Math"/>
                <w:sz w:val="20"/>
                <w:szCs w:val="20"/>
              </w:rPr>
              <m:t>L</m:t>
            </m:r>
            <m:ctrlPr>
              <w:rPr>
                <w:rFonts w:ascii="Cambria Math" w:hAnsi="Cambria Math"/>
                <w:sz w:val="20"/>
                <w:szCs w:val="20"/>
              </w:rPr>
            </m:ctrlPr>
          </m:e>
          <m:sub>
            <m:r>
              <m:rPr/>
              <w:rPr>
                <w:rFonts w:ascii="Cambria Math" w:hAnsi="Cambria Math"/>
                <w:sz w:val="20"/>
                <w:szCs w:val="20"/>
              </w:rPr>
              <m:t>6</m:t>
            </m:r>
            <m:ctrlPr>
              <w:rPr>
                <w:rFonts w:ascii="Cambria Math" w:hAnsi="Cambria Math"/>
                <w:sz w:val="20"/>
                <w:szCs w:val="20"/>
              </w:rPr>
            </m:ctrlPr>
          </m:sub>
        </m:sSub>
      </m:oMath>
      <w:r>
        <w:rPr>
          <w:rFonts w:hint="eastAsia"/>
          <w:sz w:val="20"/>
          <w:szCs w:val="20"/>
        </w:rPr>
        <w:t>取</w:t>
      </w:r>
      <w:r>
        <w:rPr>
          <w:sz w:val="20"/>
          <w:szCs w:val="20"/>
        </w:rPr>
        <w:t>2.5</w:t>
      </w:r>
      <w:r>
        <w:rPr>
          <w:rFonts w:hint="eastAsia"/>
          <w:sz w:val="20"/>
          <w:szCs w:val="20"/>
        </w:rPr>
        <w:t>倍管节长度，该数值是管节长度、钢承口长度、环型顶铁厚度及</w:t>
      </w:r>
      <w:r>
        <w:rPr>
          <w:sz w:val="20"/>
          <w:szCs w:val="20"/>
        </w:rPr>
        <w:t>U</w:t>
      </w:r>
      <w:r>
        <w:rPr>
          <w:rFonts w:hint="eastAsia"/>
          <w:sz w:val="20"/>
          <w:szCs w:val="20"/>
        </w:rPr>
        <w:t>型顶铁长度之和，一般</w:t>
      </w:r>
      <w:r>
        <w:rPr>
          <w:sz w:val="20"/>
          <w:szCs w:val="20"/>
        </w:rPr>
        <w:t>U</w:t>
      </w:r>
      <w:r>
        <w:rPr>
          <w:rFonts w:hint="eastAsia"/>
          <w:sz w:val="20"/>
          <w:szCs w:val="20"/>
        </w:rPr>
        <w:t>型顶铁长度与管节长度相近。</w:t>
      </w:r>
    </w:p>
    <w:p w14:paraId="0CA07AA1">
      <w:pPr>
        <w:snapToGrid w:val="0"/>
        <w:spacing w:line="288" w:lineRule="auto"/>
        <w:ind w:firstLine="350" w:firstLineChars="175"/>
        <w:rPr>
          <w:sz w:val="20"/>
          <w:szCs w:val="20"/>
        </w:rPr>
      </w:pPr>
      <w:r>
        <w:rPr>
          <w:sz w:val="20"/>
          <w:szCs w:val="20"/>
        </w:rPr>
        <w:t>5</w:t>
      </w:r>
      <w:r>
        <w:rPr>
          <w:rFonts w:hint="eastAsia"/>
          <w:sz w:val="20"/>
          <w:szCs w:val="20"/>
        </w:rPr>
        <w:t>工作井和接收井底板面与洞口钢环内底空间要求，大于顶管导轨高度，同时满足人工检查洞口底部密封状况的空间要求，根据经验人工作业空间高度一般不小于</w:t>
      </w:r>
      <w:r>
        <w:rPr>
          <w:sz w:val="20"/>
          <w:szCs w:val="20"/>
        </w:rPr>
        <w:t>0.8m</w:t>
      </w:r>
      <w:r>
        <w:rPr>
          <w:rFonts w:hint="eastAsia"/>
          <w:sz w:val="20"/>
          <w:szCs w:val="20"/>
        </w:rPr>
        <w:t>。</w:t>
      </w:r>
    </w:p>
    <w:p w14:paraId="3B288EF0">
      <w:pPr>
        <w:snapToGrid w:val="0"/>
        <w:spacing w:line="288" w:lineRule="auto"/>
        <w:ind w:firstLine="351" w:firstLineChars="175"/>
        <w:rPr>
          <w:sz w:val="20"/>
          <w:szCs w:val="20"/>
        </w:rPr>
      </w:pPr>
      <w:r>
        <w:rPr>
          <w:rFonts w:hint="eastAsia"/>
          <w:b/>
          <w:bCs/>
          <w:sz w:val="20"/>
          <w:szCs w:val="20"/>
        </w:rPr>
        <w:t>7</w:t>
      </w:r>
      <w:r>
        <w:rPr>
          <w:rFonts w:hint="eastAsia"/>
          <w:sz w:val="20"/>
          <w:szCs w:val="20"/>
        </w:rPr>
        <w:t>根据北京地铁昌平线南延和</w:t>
      </w:r>
      <w:r>
        <w:rPr>
          <w:sz w:val="20"/>
          <w:szCs w:val="20"/>
        </w:rPr>
        <w:t>17</w:t>
      </w:r>
      <w:r>
        <w:rPr>
          <w:rFonts w:hint="eastAsia"/>
          <w:sz w:val="20"/>
          <w:szCs w:val="20"/>
        </w:rPr>
        <w:t>号线工程实践，顶管机两侧各预留</w:t>
      </w:r>
      <w:r>
        <w:rPr>
          <w:sz w:val="20"/>
          <w:szCs w:val="20"/>
        </w:rPr>
        <w:t>1.0m</w:t>
      </w:r>
      <w:r>
        <w:rPr>
          <w:rFonts w:hint="eastAsia"/>
          <w:sz w:val="20"/>
          <w:szCs w:val="20"/>
        </w:rPr>
        <w:t>即可满足顶管接收。</w:t>
      </w:r>
    </w:p>
    <w:p w14:paraId="239BF476">
      <w:pPr>
        <w:snapToGrid w:val="0"/>
        <w:spacing w:line="288" w:lineRule="auto"/>
        <w:outlineLvl w:val="2"/>
        <w:rPr>
          <w:sz w:val="20"/>
          <w:szCs w:val="20"/>
        </w:rPr>
      </w:pPr>
      <w:r>
        <w:rPr>
          <w:b/>
          <w:bCs/>
          <w:sz w:val="20"/>
          <w:szCs w:val="20"/>
        </w:rPr>
        <w:t>4.5.4</w:t>
      </w:r>
      <w:r>
        <w:rPr>
          <w:rFonts w:hint="eastAsia"/>
          <w:b/>
          <w:bCs/>
          <w:sz w:val="20"/>
          <w:szCs w:val="20"/>
        </w:rPr>
        <w:t xml:space="preserve">  </w:t>
      </w:r>
      <w:r>
        <w:rPr>
          <w:rFonts w:hint="eastAsia"/>
          <w:sz w:val="20"/>
          <w:szCs w:val="20"/>
        </w:rPr>
        <w:t>根据北京地铁昌平线南延、</w:t>
      </w:r>
      <w:r>
        <w:rPr>
          <w:sz w:val="20"/>
          <w:szCs w:val="20"/>
        </w:rPr>
        <w:t>17</w:t>
      </w:r>
      <w:r>
        <w:rPr>
          <w:rFonts w:hint="eastAsia"/>
          <w:sz w:val="20"/>
          <w:szCs w:val="20"/>
        </w:rPr>
        <w:t>号线工程实践及现场施工经验，工作井井壁预留始发及接收洞口钢环尺寸一般不宜小于顶管机外尺寸加</w:t>
      </w:r>
      <w:r>
        <w:rPr>
          <w:sz w:val="20"/>
          <w:szCs w:val="20"/>
        </w:rPr>
        <w:t>0.30m</w:t>
      </w:r>
      <w:r>
        <w:rPr>
          <w:rFonts w:hint="eastAsia"/>
          <w:sz w:val="20"/>
          <w:szCs w:val="20"/>
        </w:rPr>
        <w:t>。</w:t>
      </w:r>
    </w:p>
    <w:p w14:paraId="7936C9EA">
      <w:pPr>
        <w:snapToGrid w:val="0"/>
        <w:spacing w:line="288" w:lineRule="auto"/>
        <w:outlineLvl w:val="2"/>
        <w:rPr>
          <w:sz w:val="20"/>
          <w:szCs w:val="20"/>
        </w:rPr>
      </w:pPr>
      <w:r>
        <w:rPr>
          <w:rFonts w:hAnsi="宋体"/>
          <w:b/>
          <w:sz w:val="20"/>
          <w:szCs w:val="20"/>
        </w:rPr>
        <w:t xml:space="preserve">4.5.5  </w:t>
      </w:r>
      <w:r>
        <w:rPr>
          <w:rFonts w:hint="eastAsia"/>
          <w:sz w:val="20"/>
          <w:szCs w:val="20"/>
        </w:rPr>
        <w:t>洞口加固目的是使洞口土体具有一定的强度和抗渗性能，凿除洞口围护结构时，防止涌水及土体坍塌，影响人员及环境安全；始发与接收前检测土体加固效果，一般采用钻芯取样和钻孔观察的方式，检测加固土体强度，查看渗漏水情况。观察孔位置根据顶管断面形式确定，孔位覆盖整个断面，且角部布孔，孔间距不宜大于</w:t>
      </w:r>
      <w:r>
        <w:rPr>
          <w:sz w:val="20"/>
          <w:szCs w:val="20"/>
        </w:rPr>
        <w:t>2.5m</w:t>
      </w:r>
      <w:r>
        <w:rPr>
          <w:rFonts w:hint="eastAsia"/>
          <w:sz w:val="20"/>
          <w:szCs w:val="20"/>
        </w:rPr>
        <w:t>。</w:t>
      </w:r>
    </w:p>
    <w:p w14:paraId="5B775D93">
      <w:pPr>
        <w:snapToGrid w:val="0"/>
        <w:spacing w:line="288" w:lineRule="auto"/>
        <w:outlineLvl w:val="2"/>
        <w:rPr>
          <w:sz w:val="20"/>
          <w:szCs w:val="20"/>
        </w:rPr>
      </w:pPr>
      <w:r>
        <w:rPr>
          <w:rFonts w:hAnsi="宋体"/>
          <w:b/>
          <w:sz w:val="20"/>
          <w:szCs w:val="20"/>
        </w:rPr>
        <w:t>4.</w:t>
      </w:r>
      <w:r>
        <w:rPr>
          <w:rFonts w:hint="eastAsia" w:hAnsi="宋体"/>
          <w:b/>
          <w:sz w:val="20"/>
          <w:szCs w:val="20"/>
        </w:rPr>
        <w:t>5.6</w:t>
      </w:r>
      <w:r>
        <w:rPr>
          <w:rFonts w:hAnsi="宋体"/>
          <w:sz w:val="20"/>
          <w:szCs w:val="20"/>
        </w:rPr>
        <w:t xml:space="preserve">  </w:t>
      </w:r>
      <w:r>
        <w:rPr>
          <w:rFonts w:hint="eastAsia"/>
          <w:sz w:val="20"/>
          <w:szCs w:val="20"/>
        </w:rPr>
        <w:t>根据顶管顶力和后背墙的承载能力，结合现场条件，当后背墙承载能力不能满足顶管施工需求时，对后背墙外侧土体进行加固，加固可采用注浆加固、水泥土搅拌桩、高压旋喷桩等形式；当工作井长度较大或在车站内始发时，后背墙可采用类似盾构始发反力架的形式。</w:t>
      </w:r>
    </w:p>
    <w:p w14:paraId="5998F2A1">
      <w:pPr>
        <w:pStyle w:val="3"/>
        <w:snapToGrid w:val="0"/>
        <w:spacing w:before="240" w:beforeLines="100" w:after="0" w:line="288" w:lineRule="auto"/>
        <w:jc w:val="center"/>
        <w:rPr>
          <w:rFonts w:ascii="Times New Roman" w:hAnsi="Times New Roman"/>
          <w:sz w:val="20"/>
          <w:szCs w:val="21"/>
        </w:rPr>
      </w:pPr>
      <w:bookmarkStart w:id="441" w:name="_Toc188798577"/>
      <w:r>
        <w:rPr>
          <w:rFonts w:ascii="Times New Roman" w:hAnsi="Times New Roman"/>
          <w:sz w:val="20"/>
          <w:szCs w:val="21"/>
        </w:rPr>
        <w:t xml:space="preserve">4.6  </w:t>
      </w:r>
      <w:r>
        <w:rPr>
          <w:rFonts w:hint="eastAsia" w:ascii="Times New Roman" w:hAnsi="Times New Roman"/>
          <w:sz w:val="20"/>
          <w:szCs w:val="21"/>
        </w:rPr>
        <w:t>顶力、后背计算</w:t>
      </w:r>
      <w:bookmarkEnd w:id="441"/>
    </w:p>
    <w:p w14:paraId="4F45C6C0">
      <w:pPr>
        <w:snapToGrid w:val="0"/>
        <w:spacing w:line="288" w:lineRule="auto"/>
        <w:outlineLvl w:val="2"/>
        <w:rPr>
          <w:sz w:val="20"/>
          <w:szCs w:val="20"/>
        </w:rPr>
      </w:pPr>
      <w:r>
        <w:rPr>
          <w:rFonts w:hAnsi="宋体"/>
          <w:b/>
          <w:sz w:val="20"/>
          <w:szCs w:val="20"/>
        </w:rPr>
        <w:t>4.6.1</w:t>
      </w:r>
      <w:r>
        <w:rPr>
          <w:rFonts w:hint="eastAsia"/>
          <w:sz w:val="20"/>
          <w:szCs w:val="20"/>
        </w:rPr>
        <w:t xml:space="preserve"> </w:t>
      </w:r>
      <w:r>
        <w:rPr>
          <w:sz w:val="20"/>
          <w:szCs w:val="20"/>
        </w:rPr>
        <w:t xml:space="preserve"> </w:t>
      </w:r>
      <w:r>
        <w:rPr>
          <w:rFonts w:hint="eastAsia"/>
          <w:sz w:val="20"/>
          <w:szCs w:val="20"/>
        </w:rPr>
        <w:t>矩形顶管</w:t>
      </w:r>
      <w:r>
        <w:rPr>
          <w:sz w:val="20"/>
          <w:szCs w:val="20"/>
        </w:rPr>
        <w:t>顶力应根据</w:t>
      </w:r>
      <w:r>
        <w:rPr>
          <w:rFonts w:hint="eastAsia"/>
          <w:sz w:val="20"/>
          <w:szCs w:val="20"/>
        </w:rPr>
        <w:t>顶进长度、埋深、管节结构尺寸、地质条件、</w:t>
      </w:r>
      <w:r>
        <w:rPr>
          <w:sz w:val="20"/>
          <w:szCs w:val="20"/>
        </w:rPr>
        <w:t>施工技术措施等因素进行计算。</w:t>
      </w:r>
      <w:r>
        <w:rPr>
          <w:rFonts w:hint="eastAsia"/>
          <w:sz w:val="20"/>
          <w:szCs w:val="20"/>
        </w:rPr>
        <w:t>顶管顶力大小不仅与顶管顶进长度、管节埋深、管节断面尺寸、管节材质、土质及地下水情况等有关，与顶管采取的管节外壁表面涂蜡、注浆减阻、增设中继间等技术措施有关，所以在进行顶力计算时要考虑以上因素。</w:t>
      </w:r>
    </w:p>
    <w:p w14:paraId="7B3ED021">
      <w:pPr>
        <w:snapToGrid w:val="0"/>
        <w:spacing w:line="288" w:lineRule="auto"/>
        <w:outlineLvl w:val="2"/>
        <w:rPr>
          <w:sz w:val="20"/>
          <w:szCs w:val="20"/>
        </w:rPr>
      </w:pPr>
      <w:r>
        <w:rPr>
          <w:rFonts w:hint="eastAsia"/>
          <w:b/>
          <w:sz w:val="20"/>
          <w:szCs w:val="20"/>
        </w:rPr>
        <w:t>4.</w:t>
      </w:r>
      <w:r>
        <w:rPr>
          <w:b/>
          <w:sz w:val="20"/>
          <w:szCs w:val="20"/>
        </w:rPr>
        <w:t>6</w:t>
      </w:r>
      <w:r>
        <w:rPr>
          <w:rFonts w:hint="eastAsia"/>
          <w:b/>
          <w:sz w:val="20"/>
          <w:szCs w:val="20"/>
        </w:rPr>
        <w:t>.</w:t>
      </w:r>
      <w:r>
        <w:rPr>
          <w:b/>
          <w:sz w:val="20"/>
          <w:szCs w:val="20"/>
        </w:rPr>
        <w:t>3</w:t>
      </w:r>
      <w:r>
        <w:rPr>
          <w:sz w:val="20"/>
          <w:szCs w:val="20"/>
        </w:rPr>
        <w:t xml:space="preserve">  </w:t>
      </w:r>
      <w:r>
        <w:rPr>
          <w:rFonts w:hint="eastAsia"/>
          <w:sz w:val="20"/>
          <w:szCs w:val="20"/>
        </w:rPr>
        <w:t>顶管迎面阻力还与顶管刀盘切削盲区（刀盘覆盖率）相关，具体根据地层条件和刀盘形式预留冗余系数。</w:t>
      </w:r>
    </w:p>
    <w:p w14:paraId="71C8FB3A">
      <w:pPr>
        <w:snapToGrid w:val="0"/>
        <w:spacing w:line="288" w:lineRule="auto"/>
        <w:rPr>
          <w:sz w:val="20"/>
          <w:szCs w:val="20"/>
        </w:rPr>
      </w:pPr>
      <w:r>
        <w:rPr>
          <w:b/>
          <w:sz w:val="20"/>
          <w:szCs w:val="20"/>
        </w:rPr>
        <w:t xml:space="preserve">4.6.4 </w:t>
      </w:r>
      <w:r>
        <w:rPr>
          <w:sz w:val="20"/>
          <w:szCs w:val="20"/>
        </w:rPr>
        <w:t xml:space="preserve"> </w:t>
      </w:r>
      <w:r>
        <w:rPr>
          <w:rFonts w:hint="eastAsia"/>
          <w:sz w:val="20"/>
          <w:szCs w:val="20"/>
        </w:rPr>
        <w:t>顶管摩阻力计算方式有多种，根据北京地铁昌平线南延和</w:t>
      </w:r>
      <w:r>
        <w:rPr>
          <w:sz w:val="20"/>
          <w:szCs w:val="20"/>
        </w:rPr>
        <w:t>17</w:t>
      </w:r>
      <w:r>
        <w:rPr>
          <w:rFonts w:hint="eastAsia"/>
          <w:sz w:val="20"/>
          <w:szCs w:val="20"/>
        </w:rPr>
        <w:t>号线工程实践</w:t>
      </w:r>
      <w:r>
        <w:rPr>
          <w:sz w:val="20"/>
          <w:szCs w:val="20"/>
        </w:rPr>
        <w:t>，</w:t>
      </w:r>
      <w:r>
        <w:rPr>
          <w:rFonts w:hint="eastAsia"/>
          <w:sz w:val="20"/>
          <w:szCs w:val="20"/>
        </w:rPr>
        <w:t>采取了有效的泥浆减阻措施形成完整的泥浆套后，采用以上公式计算结果与工程实际比较吻合。管节与土体接触面的摩阻力也可采用现场土样实验室试验的方式计算确定。采用新型减阻泥浆的摩阻力通过试验确定。</w:t>
      </w:r>
    </w:p>
    <w:p w14:paraId="113C13CD">
      <w:pPr>
        <w:snapToGrid w:val="0"/>
        <w:spacing w:line="288" w:lineRule="auto"/>
        <w:outlineLvl w:val="2"/>
        <w:rPr>
          <w:sz w:val="20"/>
          <w:szCs w:val="20"/>
        </w:rPr>
      </w:pPr>
      <w:r>
        <w:rPr>
          <w:rFonts w:hint="eastAsia"/>
          <w:b/>
          <w:sz w:val="20"/>
          <w:szCs w:val="20"/>
        </w:rPr>
        <w:t>4.6.</w:t>
      </w:r>
      <w:r>
        <w:rPr>
          <w:b/>
          <w:sz w:val="20"/>
          <w:szCs w:val="20"/>
        </w:rPr>
        <w:t>6</w:t>
      </w:r>
      <w:r>
        <w:rPr>
          <w:rFonts w:hint="eastAsia"/>
          <w:sz w:val="20"/>
          <w:szCs w:val="20"/>
        </w:rPr>
        <w:t xml:space="preserve">  本条主要验算后背墙后</w:t>
      </w:r>
      <w:r>
        <w:rPr>
          <w:sz w:val="20"/>
          <w:szCs w:val="20"/>
        </w:rPr>
        <w:t>土体</w:t>
      </w:r>
      <w:r>
        <w:rPr>
          <w:rFonts w:hint="eastAsia"/>
          <w:sz w:val="20"/>
          <w:szCs w:val="20"/>
        </w:rPr>
        <w:t>发生剪切破坏的承载力，当不能满足承载能力要求时，可对</w:t>
      </w:r>
      <w:r>
        <w:rPr>
          <w:sz w:val="20"/>
          <w:szCs w:val="20"/>
        </w:rPr>
        <w:t>后背墙后的土体进行加固</w:t>
      </w:r>
      <w:r>
        <w:rPr>
          <w:rFonts w:hint="eastAsia"/>
          <w:sz w:val="20"/>
          <w:szCs w:val="20"/>
        </w:rPr>
        <w:t>处理。另外</w:t>
      </w:r>
      <w:r>
        <w:rPr>
          <w:sz w:val="20"/>
          <w:szCs w:val="20"/>
        </w:rPr>
        <w:t>，</w:t>
      </w:r>
      <w:r>
        <w:rPr>
          <w:rFonts w:hint="eastAsia"/>
          <w:sz w:val="20"/>
          <w:szCs w:val="20"/>
        </w:rPr>
        <w:t>现场浇筑整体式后背墙抗冲切验算按照现行国家标准《混凝土结构设计规范》GB50010的受冲切承载力验算法进行。</w:t>
      </w:r>
    </w:p>
    <w:p w14:paraId="7F9763BA">
      <w:pPr>
        <w:pStyle w:val="3"/>
        <w:snapToGrid w:val="0"/>
        <w:spacing w:before="240" w:beforeLines="100" w:after="0" w:line="288" w:lineRule="auto"/>
        <w:jc w:val="center"/>
        <w:rPr>
          <w:rFonts w:ascii="Times New Roman" w:hAnsi="Times New Roman"/>
          <w:sz w:val="20"/>
          <w:szCs w:val="21"/>
        </w:rPr>
      </w:pPr>
      <w:bookmarkStart w:id="442" w:name="_Toc188798578"/>
      <w:r>
        <w:rPr>
          <w:rFonts w:ascii="Times New Roman" w:hAnsi="Times New Roman"/>
          <w:sz w:val="20"/>
          <w:szCs w:val="21"/>
        </w:rPr>
        <w:t>4.7  顶管机组装与调试</w:t>
      </w:r>
      <w:bookmarkEnd w:id="442"/>
    </w:p>
    <w:p w14:paraId="365E919A">
      <w:pPr>
        <w:snapToGrid w:val="0"/>
        <w:spacing w:line="288" w:lineRule="auto"/>
        <w:outlineLvl w:val="2"/>
        <w:rPr>
          <w:rFonts w:hAnsi="宋体"/>
          <w:bCs/>
          <w:sz w:val="20"/>
          <w:szCs w:val="20"/>
        </w:rPr>
      </w:pPr>
      <w:r>
        <w:rPr>
          <w:rFonts w:hint="eastAsia" w:hAnsi="宋体"/>
          <w:b/>
          <w:sz w:val="20"/>
          <w:szCs w:val="20"/>
        </w:rPr>
        <w:t>4.</w:t>
      </w:r>
      <w:r>
        <w:rPr>
          <w:rFonts w:hAnsi="宋体"/>
          <w:b/>
          <w:sz w:val="20"/>
          <w:szCs w:val="20"/>
        </w:rPr>
        <w:t>7</w:t>
      </w:r>
      <w:r>
        <w:rPr>
          <w:rFonts w:hint="eastAsia" w:hAnsi="宋体"/>
          <w:b/>
          <w:sz w:val="20"/>
          <w:szCs w:val="20"/>
        </w:rPr>
        <w:t>.1</w:t>
      </w:r>
      <w:r>
        <w:rPr>
          <w:rFonts w:hAnsi="宋体"/>
          <w:bCs/>
          <w:sz w:val="20"/>
          <w:szCs w:val="20"/>
        </w:rPr>
        <w:t xml:space="preserve">  </w:t>
      </w:r>
      <w:r>
        <w:rPr>
          <w:rFonts w:hint="eastAsia" w:hAnsi="宋体"/>
          <w:bCs/>
          <w:sz w:val="20"/>
          <w:szCs w:val="20"/>
        </w:rPr>
        <w:t>顶管机的尺寸和结构应满足实际工程要求，在吊装前应做详细的检查。</w:t>
      </w:r>
    </w:p>
    <w:p w14:paraId="551D4D61">
      <w:pPr>
        <w:snapToGrid w:val="0"/>
        <w:spacing w:line="288" w:lineRule="auto"/>
        <w:ind w:firstLine="350" w:firstLineChars="175"/>
        <w:rPr>
          <w:rFonts w:hAnsi="宋体"/>
          <w:bCs/>
          <w:sz w:val="20"/>
          <w:szCs w:val="20"/>
        </w:rPr>
      </w:pPr>
      <w:r>
        <w:rPr>
          <w:rFonts w:hint="eastAsia"/>
          <w:sz w:val="20"/>
          <w:szCs w:val="20"/>
        </w:rPr>
        <w:t>地基承载力</w:t>
      </w:r>
      <w:r>
        <w:rPr>
          <w:rFonts w:hint="eastAsia" w:hAnsi="宋体"/>
          <w:bCs/>
          <w:sz w:val="20"/>
          <w:szCs w:val="20"/>
        </w:rPr>
        <w:t>经</w:t>
      </w:r>
      <w:r>
        <w:rPr>
          <w:rFonts w:hAnsi="宋体"/>
          <w:bCs/>
          <w:sz w:val="20"/>
          <w:szCs w:val="20"/>
        </w:rPr>
        <w:t>核算，</w:t>
      </w:r>
      <w:r>
        <w:rPr>
          <w:rFonts w:hint="eastAsia" w:hAnsi="宋体"/>
          <w:bCs/>
          <w:sz w:val="20"/>
          <w:szCs w:val="20"/>
        </w:rPr>
        <w:t>吊装</w:t>
      </w:r>
      <w:r>
        <w:rPr>
          <w:rFonts w:hAnsi="宋体"/>
          <w:bCs/>
          <w:sz w:val="20"/>
          <w:szCs w:val="20"/>
        </w:rPr>
        <w:t>一般位于工作井周边，同时核算工作井围护结构</w:t>
      </w:r>
      <w:r>
        <w:rPr>
          <w:rFonts w:hint="eastAsia" w:hAnsi="宋体"/>
          <w:bCs/>
          <w:sz w:val="20"/>
          <w:szCs w:val="20"/>
        </w:rPr>
        <w:t>稳定</w:t>
      </w:r>
      <w:r>
        <w:rPr>
          <w:rFonts w:hAnsi="宋体"/>
          <w:bCs/>
          <w:sz w:val="20"/>
          <w:szCs w:val="20"/>
        </w:rPr>
        <w:t>是否满足要求。</w:t>
      </w:r>
      <w:r>
        <w:rPr>
          <w:rFonts w:hint="eastAsia" w:hAnsi="宋体"/>
          <w:bCs/>
          <w:sz w:val="20"/>
          <w:szCs w:val="20"/>
        </w:rPr>
        <w:t>顶管机下放至距离导轨</w:t>
      </w:r>
      <w:r>
        <w:rPr>
          <w:rFonts w:hAnsi="宋体"/>
          <w:bCs/>
          <w:sz w:val="20"/>
          <w:szCs w:val="20"/>
        </w:rPr>
        <w:t>0.5m</w:t>
      </w:r>
      <w:r>
        <w:rPr>
          <w:rFonts w:hint="eastAsia" w:hAnsi="宋体"/>
          <w:bCs/>
          <w:sz w:val="20"/>
          <w:szCs w:val="20"/>
        </w:rPr>
        <w:t>时，暂停吊装机的下放操作，调整顶管机的吊放位置，并在顶管机</w:t>
      </w:r>
      <w:r>
        <w:rPr>
          <w:rFonts w:hint="eastAsia"/>
          <w:sz w:val="20"/>
          <w:szCs w:val="20"/>
        </w:rPr>
        <w:t>前端</w:t>
      </w:r>
      <w:r>
        <w:rPr>
          <w:rFonts w:hint="eastAsia" w:hAnsi="宋体"/>
          <w:bCs/>
          <w:sz w:val="20"/>
          <w:szCs w:val="20"/>
        </w:rPr>
        <w:t>预留出洞门处理空间，然后缓慢放下。</w:t>
      </w:r>
    </w:p>
    <w:p w14:paraId="6EDAEF37">
      <w:pPr>
        <w:snapToGrid w:val="0"/>
        <w:spacing w:line="288" w:lineRule="auto"/>
        <w:ind w:firstLine="350" w:firstLineChars="175"/>
        <w:rPr>
          <w:rFonts w:hAnsi="宋体"/>
          <w:bCs/>
          <w:sz w:val="20"/>
          <w:szCs w:val="20"/>
        </w:rPr>
      </w:pPr>
      <w:r>
        <w:rPr>
          <w:rFonts w:hint="eastAsia" w:hAnsi="宋体"/>
          <w:bCs/>
          <w:sz w:val="20"/>
          <w:szCs w:val="20"/>
        </w:rPr>
        <w:t>设置</w:t>
      </w:r>
      <w:r>
        <w:rPr>
          <w:rFonts w:hint="eastAsia"/>
          <w:sz w:val="20"/>
          <w:szCs w:val="20"/>
        </w:rPr>
        <w:t>限位装置</w:t>
      </w:r>
      <w:r>
        <w:rPr>
          <w:rFonts w:hint="eastAsia" w:hAnsi="宋体"/>
          <w:bCs/>
          <w:sz w:val="20"/>
          <w:szCs w:val="20"/>
        </w:rPr>
        <w:t>目的是在顶管机吊放至导轨时以及矩形顶管机向前移动进入土体之前保证始发精度。</w:t>
      </w:r>
    </w:p>
    <w:p w14:paraId="4DCDCFC2">
      <w:pPr>
        <w:snapToGrid w:val="0"/>
        <w:spacing w:line="288" w:lineRule="auto"/>
        <w:outlineLvl w:val="2"/>
        <w:rPr>
          <w:rFonts w:hAnsi="宋体"/>
          <w:bCs/>
          <w:sz w:val="20"/>
          <w:szCs w:val="20"/>
        </w:rPr>
      </w:pPr>
      <w:r>
        <w:rPr>
          <w:rFonts w:hint="eastAsia" w:hAnsi="宋体"/>
          <w:b/>
          <w:sz w:val="20"/>
          <w:szCs w:val="20"/>
        </w:rPr>
        <w:t>4.</w:t>
      </w:r>
      <w:r>
        <w:rPr>
          <w:rFonts w:hAnsi="宋体"/>
          <w:b/>
          <w:sz w:val="20"/>
          <w:szCs w:val="20"/>
        </w:rPr>
        <w:t>7</w:t>
      </w:r>
      <w:r>
        <w:rPr>
          <w:rFonts w:hint="eastAsia" w:hAnsi="宋体"/>
          <w:b/>
          <w:sz w:val="20"/>
          <w:szCs w:val="20"/>
        </w:rPr>
        <w:t xml:space="preserve">.2  </w:t>
      </w:r>
      <w:r>
        <w:rPr>
          <w:rFonts w:hint="eastAsia" w:hAnsi="宋体"/>
          <w:bCs/>
          <w:sz w:val="20"/>
          <w:szCs w:val="20"/>
        </w:rPr>
        <w:t>采用多刀盘矩形顶管机的刀盘安装应按先后再前、先下再上、先中间再两边的顺序安装刀盘。顶管机主机结构和电路、油路、水路、气路、泥浆管路、控制系统逐一连接，要求各部件安装正确、连接牢固、不得渗漏，安装后对各分系统进行检查和试运行。</w:t>
      </w:r>
    </w:p>
    <w:p w14:paraId="6D2BDA7C">
      <w:pPr>
        <w:pStyle w:val="3"/>
        <w:snapToGrid w:val="0"/>
        <w:spacing w:before="240" w:beforeLines="100" w:after="0" w:line="288" w:lineRule="auto"/>
        <w:jc w:val="center"/>
        <w:rPr>
          <w:rFonts w:ascii="Times New Roman" w:hAnsi="Times New Roman"/>
          <w:sz w:val="20"/>
          <w:szCs w:val="21"/>
        </w:rPr>
      </w:pPr>
      <w:bookmarkStart w:id="443" w:name="_Toc188798579"/>
      <w:r>
        <w:rPr>
          <w:rFonts w:hint="eastAsia" w:ascii="Times New Roman" w:hAnsi="Times New Roman"/>
          <w:sz w:val="20"/>
          <w:szCs w:val="21"/>
        </w:rPr>
        <w:t>4.</w:t>
      </w:r>
      <w:r>
        <w:rPr>
          <w:rFonts w:ascii="Times New Roman" w:hAnsi="Times New Roman"/>
          <w:sz w:val="20"/>
          <w:szCs w:val="21"/>
        </w:rPr>
        <w:t xml:space="preserve">8  </w:t>
      </w:r>
      <w:r>
        <w:rPr>
          <w:rFonts w:hint="eastAsia" w:ascii="Times New Roman" w:hAnsi="Times New Roman"/>
          <w:sz w:val="20"/>
          <w:szCs w:val="21"/>
        </w:rPr>
        <w:t>辅助设备</w:t>
      </w:r>
      <w:r>
        <w:rPr>
          <w:rFonts w:ascii="Times New Roman" w:hAnsi="Times New Roman"/>
          <w:sz w:val="20"/>
          <w:szCs w:val="21"/>
        </w:rPr>
        <w:t>设施</w:t>
      </w:r>
      <w:bookmarkEnd w:id="443"/>
    </w:p>
    <w:p w14:paraId="32961AFF">
      <w:pPr>
        <w:snapToGrid w:val="0"/>
        <w:spacing w:line="288" w:lineRule="auto"/>
        <w:outlineLvl w:val="2"/>
        <w:rPr>
          <w:sz w:val="20"/>
          <w:szCs w:val="20"/>
        </w:rPr>
      </w:pPr>
      <w:r>
        <w:rPr>
          <w:rFonts w:hAnsi="宋体"/>
          <w:b/>
          <w:sz w:val="20"/>
          <w:szCs w:val="20"/>
        </w:rPr>
        <w:t xml:space="preserve">4.8.1  </w:t>
      </w:r>
      <w:r>
        <w:rPr>
          <w:sz w:val="20"/>
          <w:szCs w:val="20"/>
        </w:rPr>
        <w:t xml:space="preserve">  </w:t>
      </w:r>
      <w:r>
        <w:rPr>
          <w:rFonts w:hint="eastAsia"/>
          <w:sz w:val="20"/>
          <w:szCs w:val="20"/>
        </w:rPr>
        <w:t>导轨包含钢轨与基座，一般基座为钢构件，尺寸较大时分块拼装。基座安装完成后，将钢轨固定在基座上。</w:t>
      </w:r>
    </w:p>
    <w:p w14:paraId="3129743F">
      <w:pPr>
        <w:snapToGrid w:val="0"/>
        <w:spacing w:line="288" w:lineRule="auto"/>
        <w:ind w:firstLine="350" w:firstLineChars="175"/>
        <w:rPr>
          <w:sz w:val="20"/>
          <w:szCs w:val="20"/>
        </w:rPr>
      </w:pPr>
      <w:r>
        <w:rPr>
          <w:sz w:val="20"/>
          <w:szCs w:val="20"/>
        </w:rPr>
        <w:t xml:space="preserve">1 </w:t>
      </w:r>
      <w:r>
        <w:rPr>
          <w:rFonts w:hint="eastAsia"/>
          <w:sz w:val="20"/>
          <w:szCs w:val="20"/>
        </w:rPr>
        <w:t>特殊情况下导轨基座可采用钢筋混凝土结构形式。</w:t>
      </w:r>
    </w:p>
    <w:p w14:paraId="5252A753">
      <w:pPr>
        <w:snapToGrid w:val="0"/>
        <w:spacing w:line="288" w:lineRule="auto"/>
        <w:ind w:firstLine="350" w:firstLineChars="175"/>
        <w:rPr>
          <w:sz w:val="20"/>
          <w:szCs w:val="20"/>
        </w:rPr>
      </w:pPr>
      <w:r>
        <w:rPr>
          <w:sz w:val="20"/>
          <w:szCs w:val="20"/>
        </w:rPr>
        <w:t xml:space="preserve">2 </w:t>
      </w:r>
      <w:r>
        <w:rPr>
          <w:rFonts w:hint="eastAsia"/>
          <w:sz w:val="20"/>
          <w:szCs w:val="20"/>
        </w:rPr>
        <w:t>始发、接收洞口前预留</w:t>
      </w:r>
      <w:r>
        <w:rPr>
          <w:sz w:val="20"/>
          <w:szCs w:val="20"/>
        </w:rPr>
        <w:t>0.6m</w:t>
      </w:r>
      <w:r>
        <w:rPr>
          <w:rFonts w:hint="eastAsia"/>
          <w:sz w:val="20"/>
          <w:szCs w:val="20"/>
        </w:rPr>
        <w:t>～</w:t>
      </w:r>
      <w:r>
        <w:rPr>
          <w:sz w:val="20"/>
          <w:szCs w:val="20"/>
        </w:rPr>
        <w:t>0.8m</w:t>
      </w:r>
      <w:r>
        <w:rPr>
          <w:rFonts w:hint="eastAsia"/>
          <w:sz w:val="20"/>
          <w:szCs w:val="20"/>
        </w:rPr>
        <w:t>宽、不少于</w:t>
      </w:r>
      <w:r>
        <w:rPr>
          <w:sz w:val="20"/>
          <w:szCs w:val="20"/>
        </w:rPr>
        <w:t>0.8m</w:t>
      </w:r>
      <w:r>
        <w:rPr>
          <w:rFonts w:hint="eastAsia"/>
          <w:sz w:val="20"/>
          <w:szCs w:val="20"/>
        </w:rPr>
        <w:t>深的检查槽，检查槽长度超过顶管机两侧不少于</w:t>
      </w:r>
      <w:r>
        <w:rPr>
          <w:sz w:val="20"/>
          <w:szCs w:val="20"/>
        </w:rPr>
        <w:t>1.0m</w:t>
      </w:r>
      <w:r>
        <w:rPr>
          <w:rFonts w:hint="eastAsia"/>
          <w:sz w:val="20"/>
          <w:szCs w:val="20"/>
        </w:rPr>
        <w:t>，用于维修止水橡胶帘布、储存及清理废泥浆等。</w:t>
      </w:r>
    </w:p>
    <w:p w14:paraId="1E07E73F">
      <w:pPr>
        <w:snapToGrid w:val="0"/>
        <w:spacing w:line="288" w:lineRule="auto"/>
        <w:ind w:firstLine="350" w:firstLineChars="175"/>
        <w:rPr>
          <w:sz w:val="20"/>
          <w:szCs w:val="20"/>
        </w:rPr>
      </w:pPr>
      <w:r>
        <w:rPr>
          <w:sz w:val="20"/>
          <w:szCs w:val="20"/>
        </w:rPr>
        <w:t xml:space="preserve">3 </w:t>
      </w:r>
      <w:r>
        <w:rPr>
          <w:rFonts w:hint="eastAsia"/>
          <w:sz w:val="20"/>
          <w:szCs w:val="20"/>
        </w:rPr>
        <w:t>为防止顶管机进洞栽头，可在拟合线路始发的基础上整体抬高</w:t>
      </w:r>
      <w:r>
        <w:rPr>
          <w:sz w:val="20"/>
          <w:szCs w:val="20"/>
        </w:rPr>
        <w:t>0</w:t>
      </w:r>
      <w:r>
        <w:rPr>
          <w:rFonts w:hint="eastAsia"/>
          <w:sz w:val="20"/>
          <w:szCs w:val="20"/>
        </w:rPr>
        <w:t>～</w:t>
      </w:r>
      <w:r>
        <w:rPr>
          <w:sz w:val="20"/>
          <w:szCs w:val="20"/>
        </w:rPr>
        <w:t>30mm</w:t>
      </w:r>
      <w:r>
        <w:rPr>
          <w:rFonts w:hint="eastAsia"/>
          <w:sz w:val="20"/>
          <w:szCs w:val="20"/>
        </w:rPr>
        <w:t>进行始发。</w:t>
      </w:r>
    </w:p>
    <w:p w14:paraId="084EAC89">
      <w:pPr>
        <w:snapToGrid w:val="0"/>
        <w:spacing w:line="288" w:lineRule="auto"/>
        <w:outlineLvl w:val="2"/>
        <w:rPr>
          <w:sz w:val="20"/>
          <w:szCs w:val="20"/>
        </w:rPr>
      </w:pPr>
      <w:r>
        <w:rPr>
          <w:rFonts w:hAnsi="宋体"/>
          <w:b/>
          <w:sz w:val="20"/>
          <w:szCs w:val="20"/>
        </w:rPr>
        <w:t xml:space="preserve">4.8.3 </w:t>
      </w:r>
      <w:r>
        <w:rPr>
          <w:rFonts w:hint="eastAsia" w:hAnsi="宋体"/>
          <w:bCs/>
          <w:sz w:val="20"/>
          <w:szCs w:val="20"/>
        </w:rPr>
        <w:t xml:space="preserve"> </w:t>
      </w:r>
      <w:r>
        <w:rPr>
          <w:rFonts w:hint="eastAsia"/>
          <w:sz w:val="20"/>
          <w:szCs w:val="20"/>
        </w:rPr>
        <w:t>顶铁一般与顶管机配套设计与加工，环形顶铁的作用主要是把主顶油缸的推力比较均匀地分散到顶进管节的管端面上，同时还起到保护管端面的作用；</w:t>
      </w:r>
      <w:r>
        <w:rPr>
          <w:sz w:val="20"/>
          <w:szCs w:val="20"/>
        </w:rPr>
        <w:t>U</w:t>
      </w:r>
      <w:r>
        <w:rPr>
          <w:rFonts w:hint="eastAsia"/>
          <w:sz w:val="20"/>
          <w:szCs w:val="20"/>
        </w:rPr>
        <w:t>型顶铁作用是分散油缸作用于环形顶铁的顶力，并为管道顶进土斗吊运提供空间，一般与管节长度一致。</w:t>
      </w:r>
    </w:p>
    <w:p w14:paraId="7EE6B2BB">
      <w:pPr>
        <w:snapToGrid w:val="0"/>
        <w:spacing w:line="288" w:lineRule="auto"/>
        <w:ind w:firstLine="350" w:firstLineChars="175"/>
        <w:rPr>
          <w:sz w:val="20"/>
          <w:szCs w:val="20"/>
        </w:rPr>
      </w:pPr>
      <w:r>
        <w:rPr>
          <w:rFonts w:hint="eastAsia"/>
          <w:sz w:val="20"/>
          <w:szCs w:val="20"/>
        </w:rPr>
        <w:t>向后拖拽装置用于向后拖拽顶铁脱离管节。</w:t>
      </w:r>
    </w:p>
    <w:p w14:paraId="0AA7C937">
      <w:pPr>
        <w:snapToGrid w:val="0"/>
        <w:spacing w:line="288" w:lineRule="auto"/>
        <w:outlineLvl w:val="2"/>
        <w:rPr>
          <w:sz w:val="20"/>
          <w:szCs w:val="20"/>
        </w:rPr>
      </w:pPr>
      <w:r>
        <w:rPr>
          <w:rFonts w:hAnsi="宋体"/>
          <w:b/>
          <w:sz w:val="20"/>
          <w:szCs w:val="20"/>
        </w:rPr>
        <w:t xml:space="preserve">4.8.4  </w:t>
      </w:r>
      <w:r>
        <w:rPr>
          <w:rFonts w:hint="eastAsia"/>
          <w:sz w:val="20"/>
          <w:szCs w:val="20"/>
        </w:rPr>
        <w:t>止退装置安装在工作井管节两侧，当油缸顶推到位，将销子插入管节的吊装孔或顶管机两侧预留孔（当顶管机未完全进入土层时），顶管后退力通过销子、销座传递到止退装置上，用于固定顶管机或管节。顶管后退力一般由三部分组成：</w:t>
      </w:r>
      <w:r>
        <w:rPr>
          <w:sz w:val="20"/>
          <w:szCs w:val="20"/>
        </w:rPr>
        <w:t>1</w:t>
      </w:r>
      <w:r>
        <w:rPr>
          <w:rFonts w:hint="eastAsia"/>
          <w:sz w:val="20"/>
          <w:szCs w:val="20"/>
        </w:rPr>
        <w:t>）顶管机掌子面水土压力；</w:t>
      </w:r>
      <w:r>
        <w:rPr>
          <w:sz w:val="20"/>
          <w:szCs w:val="20"/>
        </w:rPr>
        <w:t>2</w:t>
      </w:r>
      <w:r>
        <w:rPr>
          <w:rFonts w:hint="eastAsia"/>
          <w:sz w:val="20"/>
          <w:szCs w:val="20"/>
        </w:rPr>
        <w:t>）顶管机及管节自重的轴向分力；</w:t>
      </w:r>
      <w:r>
        <w:rPr>
          <w:sz w:val="20"/>
          <w:szCs w:val="20"/>
        </w:rPr>
        <w:t>3</w:t>
      </w:r>
      <w:r>
        <w:rPr>
          <w:rFonts w:hint="eastAsia"/>
          <w:sz w:val="20"/>
          <w:szCs w:val="20"/>
        </w:rPr>
        <w:t>）油缸回撤后管节回弹力。以上三种后退力需由止退装置来抵抗。</w:t>
      </w:r>
      <w:r>
        <w:rPr>
          <w:sz w:val="20"/>
          <w:szCs w:val="20"/>
        </w:rPr>
        <w:br w:type="page"/>
      </w:r>
    </w:p>
    <w:p w14:paraId="0C7F1C17">
      <w:pPr>
        <w:snapToGrid w:val="0"/>
        <w:spacing w:line="288" w:lineRule="auto"/>
        <w:jc w:val="center"/>
        <w:outlineLvl w:val="0"/>
        <w:rPr>
          <w:rFonts w:eastAsia="黑体"/>
          <w:b/>
          <w:bCs/>
          <w:kern w:val="44"/>
          <w:sz w:val="26"/>
          <w:szCs w:val="26"/>
        </w:rPr>
      </w:pPr>
      <w:bookmarkStart w:id="444" w:name="_Toc188798580"/>
      <w:r>
        <w:rPr>
          <w:rFonts w:hint="eastAsia" w:eastAsia="黑体"/>
          <w:b/>
          <w:bCs/>
          <w:kern w:val="44"/>
          <w:sz w:val="26"/>
          <w:szCs w:val="26"/>
        </w:rPr>
        <w:t>5  顶进施工</w:t>
      </w:r>
      <w:bookmarkEnd w:id="444"/>
    </w:p>
    <w:p w14:paraId="37528E6A">
      <w:pPr>
        <w:pStyle w:val="3"/>
        <w:snapToGrid w:val="0"/>
        <w:spacing w:before="240" w:beforeLines="100" w:after="0" w:line="288" w:lineRule="auto"/>
        <w:jc w:val="center"/>
        <w:rPr>
          <w:rFonts w:ascii="Times New Roman" w:hAnsi="Times New Roman"/>
          <w:sz w:val="20"/>
          <w:szCs w:val="21"/>
        </w:rPr>
      </w:pPr>
      <w:bookmarkStart w:id="445" w:name="_Toc188798581"/>
      <w:r>
        <w:rPr>
          <w:rFonts w:hint="eastAsia" w:ascii="Times New Roman" w:hAnsi="Times New Roman"/>
          <w:sz w:val="20"/>
          <w:szCs w:val="21"/>
        </w:rPr>
        <w:t>5</w:t>
      </w:r>
      <w:r>
        <w:rPr>
          <w:rFonts w:ascii="Times New Roman" w:hAnsi="Times New Roman"/>
          <w:sz w:val="20"/>
          <w:szCs w:val="21"/>
        </w:rPr>
        <w:t xml:space="preserve">.1  </w:t>
      </w:r>
      <w:r>
        <w:rPr>
          <w:rFonts w:hint="eastAsia" w:ascii="Times New Roman" w:hAnsi="Times New Roman"/>
          <w:sz w:val="20"/>
          <w:szCs w:val="21"/>
        </w:rPr>
        <w:t>一般规定</w:t>
      </w:r>
      <w:bookmarkEnd w:id="445"/>
    </w:p>
    <w:p w14:paraId="2F441F53">
      <w:pPr>
        <w:snapToGrid w:val="0"/>
        <w:spacing w:line="288" w:lineRule="auto"/>
        <w:outlineLvl w:val="2"/>
        <w:rPr>
          <w:sz w:val="20"/>
          <w:szCs w:val="20"/>
        </w:rPr>
      </w:pPr>
      <w:r>
        <w:rPr>
          <w:rFonts w:hint="eastAsia" w:hAnsi="Cambria Math"/>
          <w:b/>
          <w:sz w:val="20"/>
          <w:szCs w:val="20"/>
        </w:rPr>
        <w:t>5.1.</w:t>
      </w:r>
      <w:r>
        <w:rPr>
          <w:rFonts w:hAnsi="Cambria Math"/>
          <w:b/>
          <w:sz w:val="20"/>
          <w:szCs w:val="20"/>
        </w:rPr>
        <w:t xml:space="preserve">1  </w:t>
      </w:r>
      <w:r>
        <w:rPr>
          <w:rFonts w:hint="eastAsia"/>
          <w:sz w:val="20"/>
          <w:szCs w:val="20"/>
        </w:rPr>
        <w:t>矩形顶管始发前根据工程特点，场地条件，合理布设后配套设施的场地位置。为了满足现场施工，提高生产效率，合理筹划场地渣土池、管片存放场地等。大型移动起重设备根据已封顶的车站结构或在施的围护结构位置，规划站位及行走路线，避免对既有结构安全造成影响。</w:t>
      </w:r>
    </w:p>
    <w:p w14:paraId="27205F63">
      <w:pPr>
        <w:snapToGrid w:val="0"/>
        <w:spacing w:line="288" w:lineRule="auto"/>
        <w:outlineLvl w:val="2"/>
        <w:rPr>
          <w:rFonts w:hAnsi="Cambria Math"/>
          <w:bCs/>
          <w:strike/>
          <w:sz w:val="20"/>
          <w:szCs w:val="20"/>
        </w:rPr>
      </w:pPr>
      <w:r>
        <w:rPr>
          <w:rFonts w:hAnsi="Cambria Math"/>
          <w:b/>
          <w:sz w:val="20"/>
          <w:szCs w:val="20"/>
        </w:rPr>
        <w:t xml:space="preserve">5.1.6 </w:t>
      </w:r>
      <w:r>
        <w:rPr>
          <w:rFonts w:hint="eastAsia"/>
          <w:sz w:val="20"/>
        </w:rPr>
        <w:t xml:space="preserve"> </w:t>
      </w:r>
      <w:r>
        <w:rPr>
          <w:rFonts w:hint="eastAsia"/>
          <w:sz w:val="20"/>
          <w:szCs w:val="20"/>
        </w:rPr>
        <w:t>顶管施工时，应对顶推力、管节接口形式、土质状况、水文状况及顶进措施（触变泥浆减阻、管节外壁打蜡等）进行检查，并逐日按班次记录日进尺、累计进尺、中心位移、管节内底高程、相邻管节间错口、接缝处理方法、发生意外情况及采取的措施等内容，并填写顶管施工记录、注浆检查记录。</w:t>
      </w:r>
    </w:p>
    <w:p w14:paraId="0C1F4ACF">
      <w:pPr>
        <w:pStyle w:val="3"/>
        <w:snapToGrid w:val="0"/>
        <w:spacing w:before="240" w:beforeLines="100" w:after="0" w:line="288" w:lineRule="auto"/>
        <w:jc w:val="center"/>
        <w:rPr>
          <w:rFonts w:ascii="Times New Roman" w:hAnsi="Times New Roman"/>
          <w:sz w:val="20"/>
          <w:szCs w:val="21"/>
        </w:rPr>
      </w:pPr>
      <w:bookmarkStart w:id="446" w:name="_Toc188798582"/>
      <w:r>
        <w:rPr>
          <w:rFonts w:ascii="Times New Roman" w:hAnsi="Times New Roman"/>
          <w:sz w:val="20"/>
          <w:szCs w:val="21"/>
        </w:rPr>
        <w:t>5.2  始发与接收</w:t>
      </w:r>
      <w:bookmarkEnd w:id="446"/>
    </w:p>
    <w:p w14:paraId="6A648AD4">
      <w:pPr>
        <w:snapToGrid w:val="0"/>
        <w:spacing w:line="288" w:lineRule="auto"/>
        <w:outlineLvl w:val="2"/>
        <w:rPr>
          <w:rFonts w:hAnsi="Cambria Math"/>
          <w:bCs/>
          <w:sz w:val="20"/>
          <w:szCs w:val="20"/>
        </w:rPr>
      </w:pPr>
      <w:r>
        <w:rPr>
          <w:rFonts w:hint="eastAsia" w:hAnsi="Cambria Math"/>
          <w:b/>
          <w:sz w:val="20"/>
          <w:szCs w:val="20"/>
        </w:rPr>
        <w:t>5</w:t>
      </w:r>
      <w:r>
        <w:rPr>
          <w:rFonts w:hAnsi="Cambria Math"/>
          <w:b/>
          <w:sz w:val="20"/>
          <w:szCs w:val="20"/>
        </w:rPr>
        <w:t xml:space="preserve">.2.1  </w:t>
      </w:r>
      <w:r>
        <w:rPr>
          <w:rFonts w:hint="eastAsia"/>
          <w:sz w:val="20"/>
          <w:szCs w:val="20"/>
        </w:rPr>
        <w:t>根据地下水压力不同，顶管始发和接收的预埋洞口安装单层或双层止水帘布橡胶板密封，可采用可调节的联结环板实时调整，以保证帘布橡胶板的密封性能。</w:t>
      </w:r>
    </w:p>
    <w:p w14:paraId="046006C5">
      <w:pPr>
        <w:snapToGrid w:val="0"/>
        <w:spacing w:line="288" w:lineRule="auto"/>
        <w:outlineLvl w:val="2"/>
        <w:rPr>
          <w:sz w:val="20"/>
          <w:szCs w:val="20"/>
        </w:rPr>
      </w:pPr>
      <w:r>
        <w:rPr>
          <w:rFonts w:hint="eastAsia" w:hAnsi="Cambria Math"/>
          <w:b/>
          <w:sz w:val="20"/>
          <w:szCs w:val="20"/>
        </w:rPr>
        <w:t>5.2.</w:t>
      </w:r>
      <w:r>
        <w:rPr>
          <w:rFonts w:hAnsi="Cambria Math"/>
          <w:b/>
          <w:sz w:val="20"/>
          <w:szCs w:val="20"/>
        </w:rPr>
        <w:t>3</w:t>
      </w:r>
      <w:r>
        <w:rPr>
          <w:rFonts w:hint="eastAsia" w:hAnsi="Cambria Math"/>
          <w:b/>
          <w:sz w:val="20"/>
          <w:szCs w:val="20"/>
        </w:rPr>
        <w:t xml:space="preserve"> </w:t>
      </w:r>
      <w:r>
        <w:rPr>
          <w:rFonts w:hAnsi="Cambria Math"/>
          <w:b/>
          <w:sz w:val="20"/>
          <w:szCs w:val="20"/>
        </w:rPr>
        <w:t xml:space="preserve"> </w:t>
      </w:r>
      <w:r>
        <w:rPr>
          <w:rFonts w:hint="eastAsia"/>
          <w:sz w:val="20"/>
          <w:szCs w:val="20"/>
        </w:rPr>
        <w:t>顶管始发是矩形顶管成败与否的关键，由于矩形顶管刀盘由多个刀盘组合而成，不同刀盘前后存在间距，导致当部分刀盘抵达破除洞门口处的土体时，其他刀盘和开挖面间仍有间距，另外刀盘与隔板之间也存在较大空间，如果直接将顶管机压入土体时，很可能引起开挖面土体坍塌，造成地面沉降变大，严重者引起地面坍塌。为有效避免上述问题，在洞门破除完成顶管机最前端刀盘到达开挖面时，暂停顶管机顶进，通过矩形顶管机土仓面板的检修孔向土仓内（即土仓面板和破除洞门的开挖面间的空隙）装填砂、泥、土、膨润土等，使土仓内填充饱满。当顶管顶进始发时，刀盘先不转动，待顶管机土仓面板土压感应器收到土压反馈且土压接近计算土压后，方可进行刀盘转动，刀盘转动初期要随时监测土仓压力值，及时调整顶管机顶进速度，确保土仓压力快速达到计算土压力，保证土压及时建立，达到全土压始发，有效降低始发阶段引起的地面沉降。</w:t>
      </w:r>
    </w:p>
    <w:p w14:paraId="2FC8AEA8">
      <w:pPr>
        <w:snapToGrid w:val="0"/>
        <w:spacing w:line="288" w:lineRule="auto"/>
        <w:ind w:firstLine="482"/>
        <w:rPr>
          <w:sz w:val="20"/>
          <w:szCs w:val="20"/>
        </w:rPr>
      </w:pPr>
      <w:r>
        <w:rPr>
          <w:rFonts w:hint="eastAsia"/>
          <w:sz w:val="20"/>
          <w:szCs w:val="20"/>
        </w:rPr>
        <w:t>顶管机后</w:t>
      </w:r>
      <w:r>
        <w:rPr>
          <w:sz w:val="20"/>
          <w:szCs w:val="20"/>
        </w:rPr>
        <w:t>3</w:t>
      </w:r>
      <w:r>
        <w:rPr>
          <w:rFonts w:hint="eastAsia"/>
          <w:sz w:val="20"/>
          <w:szCs w:val="20"/>
        </w:rPr>
        <w:t>～</w:t>
      </w:r>
      <w:r>
        <w:rPr>
          <w:sz w:val="20"/>
          <w:szCs w:val="20"/>
        </w:rPr>
        <w:t>5</w:t>
      </w:r>
      <w:r>
        <w:rPr>
          <w:rFonts w:hint="eastAsia"/>
          <w:sz w:val="20"/>
          <w:szCs w:val="20"/>
        </w:rPr>
        <w:t>节管节预制时设置预埋铁便于连接，安装第一节管节，顶进油缸将第一节管节顶紧，采用型钢将第一节管节与顶管机尾部焊接牢固，第</w:t>
      </w:r>
      <w:r>
        <w:rPr>
          <w:sz w:val="20"/>
          <w:szCs w:val="20"/>
        </w:rPr>
        <w:t>2</w:t>
      </w:r>
      <w:r>
        <w:rPr>
          <w:rFonts w:hint="eastAsia"/>
          <w:sz w:val="20"/>
          <w:szCs w:val="20"/>
        </w:rPr>
        <w:t>～</w:t>
      </w:r>
      <w:r>
        <w:rPr>
          <w:sz w:val="20"/>
          <w:szCs w:val="20"/>
        </w:rPr>
        <w:t>5</w:t>
      </w:r>
      <w:r>
        <w:rPr>
          <w:rFonts w:hint="eastAsia"/>
          <w:sz w:val="20"/>
          <w:szCs w:val="20"/>
        </w:rPr>
        <w:t>节管节逐节刚性连接在一起。目的是防止因顶管机的自重因素往下偏移。</w:t>
      </w:r>
    </w:p>
    <w:p w14:paraId="0BC1E504">
      <w:pPr>
        <w:pStyle w:val="3"/>
        <w:snapToGrid w:val="0"/>
        <w:spacing w:before="240" w:beforeLines="100" w:after="0" w:line="288" w:lineRule="auto"/>
        <w:jc w:val="center"/>
        <w:rPr>
          <w:rFonts w:ascii="Times New Roman" w:hAnsi="Times New Roman"/>
          <w:sz w:val="20"/>
          <w:szCs w:val="21"/>
        </w:rPr>
      </w:pPr>
      <w:bookmarkStart w:id="447" w:name="_Toc188798583"/>
      <w:r>
        <w:rPr>
          <w:rFonts w:ascii="Times New Roman" w:hAnsi="Times New Roman"/>
          <w:sz w:val="20"/>
          <w:szCs w:val="21"/>
        </w:rPr>
        <w:t>5.3  顶</w:t>
      </w:r>
      <w:r>
        <w:rPr>
          <w:rFonts w:hint="eastAsia" w:ascii="Times New Roman" w:hAnsi="Times New Roman"/>
          <w:sz w:val="20"/>
          <w:szCs w:val="21"/>
        </w:rPr>
        <w:t xml:space="preserve"> </w:t>
      </w:r>
      <w:r>
        <w:rPr>
          <w:rFonts w:ascii="Times New Roman" w:hAnsi="Times New Roman"/>
          <w:sz w:val="20"/>
          <w:szCs w:val="21"/>
        </w:rPr>
        <w:t xml:space="preserve"> 进</w:t>
      </w:r>
      <w:bookmarkEnd w:id="447"/>
    </w:p>
    <w:p w14:paraId="173984A4">
      <w:pPr>
        <w:snapToGrid w:val="0"/>
        <w:spacing w:line="288" w:lineRule="auto"/>
        <w:outlineLvl w:val="2"/>
        <w:rPr>
          <w:sz w:val="20"/>
          <w:szCs w:val="20"/>
        </w:rPr>
      </w:pPr>
      <w:r>
        <w:rPr>
          <w:rFonts w:hint="eastAsia" w:hAnsi="Cambria Math"/>
          <w:b/>
          <w:sz w:val="20"/>
          <w:szCs w:val="20"/>
        </w:rPr>
        <w:t xml:space="preserve">5.3.1 </w:t>
      </w:r>
      <w:r>
        <w:rPr>
          <w:rFonts w:hAnsi="Cambria Math"/>
          <w:b/>
          <w:sz w:val="20"/>
          <w:szCs w:val="20"/>
        </w:rPr>
        <w:t xml:space="preserve"> </w:t>
      </w:r>
      <w:r>
        <w:rPr>
          <w:sz w:val="20"/>
          <w:szCs w:val="20"/>
        </w:rPr>
        <w:t xml:space="preserve">4 </w:t>
      </w:r>
      <w:r>
        <w:rPr>
          <w:rFonts w:hint="eastAsia"/>
          <w:sz w:val="20"/>
          <w:szCs w:val="20"/>
        </w:rPr>
        <w:t>顶进中同步向管外壁注入减阻泥浆，并在管节内部预留注浆孔位置加装压力表，实时监测泥浆的损失适当补充注浆。</w:t>
      </w:r>
    </w:p>
    <w:p w14:paraId="7B42BF60">
      <w:pPr>
        <w:snapToGrid w:val="0"/>
        <w:spacing w:line="288" w:lineRule="auto"/>
        <w:ind w:firstLine="300" w:firstLineChars="150"/>
        <w:rPr>
          <w:sz w:val="20"/>
          <w:szCs w:val="20"/>
        </w:rPr>
      </w:pPr>
      <w:r>
        <w:rPr>
          <w:sz w:val="20"/>
          <w:szCs w:val="20"/>
        </w:rPr>
        <w:t xml:space="preserve">5 </w:t>
      </w:r>
      <w:r>
        <w:rPr>
          <w:rFonts w:hint="eastAsia"/>
          <w:sz w:val="20"/>
          <w:szCs w:val="20"/>
        </w:rPr>
        <w:t>顶管在正常顶进过程中，密切关注顶进轴线的控制，在每节管节顶进结束后，进行机头的姿态测量，勤纠偏，微纠偏，以免土体出现较大扰动及管节出现张角。顶管顶进时采取抗扭措施，在顶管机上设置管道扭转指示针，管节扭转时，宜采取单侧压重、改变切削刀的切削方向或压浆等方式进行纠正。</w:t>
      </w:r>
    </w:p>
    <w:p w14:paraId="4B454674">
      <w:pPr>
        <w:snapToGrid w:val="0"/>
        <w:spacing w:line="288" w:lineRule="auto"/>
        <w:ind w:firstLine="300" w:firstLineChars="150"/>
        <w:rPr>
          <w:sz w:val="20"/>
          <w:szCs w:val="20"/>
        </w:rPr>
      </w:pPr>
      <w:r>
        <w:rPr>
          <w:sz w:val="20"/>
          <w:szCs w:val="20"/>
        </w:rPr>
        <w:t xml:space="preserve">6 </w:t>
      </w:r>
      <w:r>
        <w:rPr>
          <w:rFonts w:hint="eastAsia"/>
          <w:sz w:val="20"/>
          <w:szCs w:val="20"/>
        </w:rPr>
        <w:t>根据顶管开挖轮廓大小进行出土量理论计算，切削改良后的土体松散系数取</w:t>
      </w:r>
      <w:r>
        <w:rPr>
          <w:sz w:val="20"/>
          <w:szCs w:val="20"/>
        </w:rPr>
        <w:t>1.05</w:t>
      </w:r>
      <w:r>
        <w:rPr>
          <w:rFonts w:hint="eastAsia"/>
          <w:sz w:val="20"/>
          <w:szCs w:val="20"/>
        </w:rPr>
        <w:t>～</w:t>
      </w:r>
      <w:r>
        <w:rPr>
          <w:sz w:val="20"/>
          <w:szCs w:val="20"/>
        </w:rPr>
        <w:t>1.10</w:t>
      </w:r>
      <w:r>
        <w:rPr>
          <w:rFonts w:hint="eastAsia"/>
          <w:sz w:val="20"/>
          <w:szCs w:val="20"/>
        </w:rPr>
        <w:t>。在顶进过程中对土仓内不同位置的土压随时进行监控，确保土仓压力的情况下，结合地表沉降监测数值，确保顶进量与实际出土量匹配，尽量精确地统计出每节的出土量，力争使之与理论出土量保持一致，确保正面土体的相对稳定，减少地面沉降量。按体积法测量统计出顶进长度与理论出土量的偏差，并通过渣土运输车称重系统对理论出土重量和实际出土重量进行校核。</w:t>
      </w:r>
    </w:p>
    <w:p w14:paraId="493E8BD1">
      <w:pPr>
        <w:snapToGrid w:val="0"/>
        <w:spacing w:line="288" w:lineRule="auto"/>
        <w:outlineLvl w:val="2"/>
        <w:rPr>
          <w:sz w:val="20"/>
          <w:szCs w:val="20"/>
        </w:rPr>
      </w:pPr>
      <w:r>
        <w:rPr>
          <w:rFonts w:hAnsi="Cambria Math"/>
          <w:b/>
          <w:bCs/>
          <w:sz w:val="20"/>
          <w:szCs w:val="20"/>
        </w:rPr>
        <w:t>5.3.4</w:t>
      </w:r>
      <w:r>
        <w:rPr>
          <w:rFonts w:hint="eastAsia" w:hAnsi="Cambria Math"/>
          <w:b/>
          <w:bCs/>
          <w:sz w:val="20"/>
          <w:szCs w:val="20"/>
        </w:rPr>
        <w:t xml:space="preserve"> </w:t>
      </w:r>
      <w:r>
        <w:rPr>
          <w:rFonts w:hAnsi="Cambria Math"/>
          <w:b/>
          <w:bCs/>
          <w:sz w:val="20"/>
          <w:szCs w:val="20"/>
        </w:rPr>
        <w:t xml:space="preserve"> </w:t>
      </w:r>
      <w:r>
        <w:rPr>
          <w:rFonts w:hint="eastAsia"/>
          <w:sz w:val="20"/>
          <w:szCs w:val="20"/>
        </w:rPr>
        <w:t>顶管顶进施工，极易造成沉降过大现象，土仓压力控制值根据工程水文地质情况、顶管通道结构、结构埋深、顶进推力、出土量、周围土体的摩阻力、刀盘开挖面及土体稳定性综合进行计算。当土仓压力小于主动土压力时，就会引起地层的沉降。因矩形顶管的断面为矩形，不易形成土拱，在计算土仓压力值时，按照公式计算宜取静止土压力，并通过试验段检验再修正。</w:t>
      </w:r>
    </w:p>
    <w:p w14:paraId="4DE67529">
      <w:pPr>
        <w:wordWrap w:val="0"/>
        <w:snapToGrid w:val="0"/>
        <w:spacing w:line="288" w:lineRule="auto"/>
        <w:ind w:firstLine="300" w:firstLineChars="150"/>
        <w:jc w:val="right"/>
        <w:rPr>
          <w:sz w:val="20"/>
          <w:szCs w:val="20"/>
        </w:rPr>
      </w:pPr>
      <m:oMath>
        <m:sSub>
          <m:sSubPr>
            <m:ctrlPr>
              <w:rPr>
                <w:rFonts w:ascii="Cambria Math" w:hAnsi="Cambria Math"/>
                <w:sz w:val="20"/>
                <w:szCs w:val="20"/>
              </w:rPr>
            </m:ctrlPr>
          </m:sSubPr>
          <m:e>
            <m:r>
              <m:rPr/>
              <w:rPr>
                <w:rFonts w:ascii="Cambria Math" w:hAnsi="Cambria Math"/>
                <w:sz w:val="20"/>
                <w:szCs w:val="20"/>
              </w:rPr>
              <m:t>P</m:t>
            </m:r>
            <m:ctrlPr>
              <w:rPr>
                <w:rFonts w:ascii="Cambria Math" w:hAnsi="Cambria Math"/>
                <w:sz w:val="20"/>
                <w:szCs w:val="20"/>
              </w:rPr>
            </m:ctrlPr>
          </m:e>
          <m:sub>
            <m:r>
              <m:rPr/>
              <w:rPr>
                <w:rFonts w:ascii="Cambria Math" w:hAnsi="Cambria Math"/>
                <w:sz w:val="20"/>
                <w:szCs w:val="20"/>
              </w:rPr>
              <m:t>a</m:t>
            </m:r>
            <m:ctrlPr>
              <w:rPr>
                <w:rFonts w:ascii="Cambria Math" w:hAnsi="Cambria Math"/>
                <w:sz w:val="20"/>
                <w:szCs w:val="20"/>
              </w:rPr>
            </m:ctrlPr>
          </m:sub>
        </m:sSub>
        <m:r>
          <m:rPr>
            <m:sty m:val="p"/>
          </m:rPr>
          <w:rPr>
            <w:rFonts w:ascii="Cambria Math" w:hAnsi="Cambria Math"/>
            <w:sz w:val="20"/>
            <w:szCs w:val="20"/>
          </w:rPr>
          <m:t>&lt;P&lt;</m:t>
        </m:r>
        <m:sSub>
          <m:sSubPr>
            <m:ctrlPr>
              <w:rPr>
                <w:rFonts w:ascii="Cambria Math" w:hAnsi="Cambria Math"/>
                <w:sz w:val="20"/>
                <w:szCs w:val="20"/>
              </w:rPr>
            </m:ctrlPr>
          </m:sSubPr>
          <m:e>
            <m:r>
              <m:rPr>
                <m:sty m:val="p"/>
              </m:rPr>
              <w:rPr>
                <w:rFonts w:ascii="Cambria Math" w:hAnsi="Cambria Math"/>
                <w:sz w:val="20"/>
                <w:szCs w:val="20"/>
              </w:rPr>
              <m:t>P</m:t>
            </m:r>
            <m:ctrlPr>
              <w:rPr>
                <w:rFonts w:ascii="Cambria Math" w:hAnsi="Cambria Math"/>
                <w:sz w:val="20"/>
                <w:szCs w:val="20"/>
              </w:rPr>
            </m:ctrlPr>
          </m:e>
          <m:sub>
            <m:r>
              <m:rPr/>
              <w:rPr>
                <w:rFonts w:ascii="Cambria Math" w:hAnsi="Cambria Math"/>
                <w:sz w:val="20"/>
                <w:szCs w:val="20"/>
              </w:rPr>
              <m:t>P</m:t>
            </m:r>
            <m:ctrlPr>
              <w:rPr>
                <w:rFonts w:ascii="Cambria Math" w:hAnsi="Cambria Math"/>
                <w:sz w:val="20"/>
                <w:szCs w:val="20"/>
              </w:rPr>
            </m:ctrlPr>
          </m:sub>
        </m:sSub>
      </m:oMath>
      <w:r>
        <w:rPr>
          <w:sz w:val="20"/>
          <w:szCs w:val="20"/>
        </w:rPr>
        <w:t xml:space="preserve">                                   5.3.4-1 </w:t>
      </w:r>
    </w:p>
    <w:p w14:paraId="35FD9F56">
      <w:pPr>
        <w:wordWrap w:val="0"/>
        <w:snapToGrid w:val="0"/>
        <w:spacing w:line="288" w:lineRule="auto"/>
        <w:ind w:firstLine="300" w:firstLineChars="150"/>
        <w:jc w:val="right"/>
        <w:rPr>
          <w:sz w:val="20"/>
          <w:szCs w:val="20"/>
        </w:rPr>
      </w:pPr>
      <m:oMath>
        <m:r>
          <m:rPr>
            <m:sty m:val="p"/>
          </m:rPr>
          <w:rPr>
            <w:rFonts w:ascii="Cambria Math" w:hAnsi="Cambria Math"/>
            <w:sz w:val="20"/>
            <w:szCs w:val="20"/>
          </w:rPr>
          <m:t>P=</m:t>
        </m:r>
        <m:sSub>
          <m:sSubPr>
            <m:ctrlPr>
              <w:rPr>
                <w:rFonts w:ascii="Cambria Math" w:hAnsi="Cambria Math"/>
                <w:sz w:val="20"/>
                <w:szCs w:val="20"/>
              </w:rPr>
            </m:ctrlPr>
          </m:sSubPr>
          <m:e>
            <m:r>
              <m:rPr/>
              <w:rPr>
                <w:rFonts w:ascii="Cambria Math" w:hAnsi="Cambria Math"/>
                <w:sz w:val="20"/>
                <w:szCs w:val="20"/>
              </w:rPr>
              <m:t>K</m:t>
            </m:r>
            <m:ctrlPr>
              <w:rPr>
                <w:rFonts w:ascii="Cambria Math" w:hAnsi="Cambria Math"/>
                <w:sz w:val="20"/>
                <w:szCs w:val="20"/>
              </w:rPr>
            </m:ctrlPr>
          </m:e>
          <m:sub>
            <m:r>
              <m:rPr/>
              <w:rPr>
                <w:rFonts w:ascii="Cambria Math" w:hAnsi="Cambria Math"/>
                <w:sz w:val="20"/>
                <w:szCs w:val="20"/>
              </w:rPr>
              <m:t>0</m:t>
            </m:r>
            <m:ctrlPr>
              <w:rPr>
                <w:rFonts w:ascii="Cambria Math" w:hAnsi="Cambria Math"/>
                <w:sz w:val="20"/>
                <w:szCs w:val="20"/>
              </w:rPr>
            </m:ctrlPr>
          </m:sub>
        </m:sSub>
        <m:r>
          <m:rPr/>
          <w:rPr>
            <w:rFonts w:ascii="Cambria Math" w:hAnsi="Cambria Math"/>
            <w:sz w:val="20"/>
            <w:szCs w:val="20"/>
          </w:rPr>
          <m:t>∙</m:t>
        </m:r>
        <m:sSub>
          <m:sSubPr>
            <m:ctrlPr>
              <w:rPr>
                <w:rFonts w:ascii="Cambria Math" w:hAnsi="Cambria Math"/>
                <w:i/>
                <w:sz w:val="20"/>
                <w:szCs w:val="20"/>
              </w:rPr>
            </m:ctrlPr>
          </m:sSubPr>
          <m:e>
            <m:r>
              <m:rPr/>
              <w:rPr>
                <w:rFonts w:ascii="Cambria Math" w:hAnsi="Cambria Math"/>
                <w:sz w:val="20"/>
                <w:szCs w:val="20"/>
              </w:rPr>
              <m:t>P</m:t>
            </m:r>
            <m:ctrlPr>
              <w:rPr>
                <w:rFonts w:ascii="Cambria Math" w:hAnsi="Cambria Math"/>
                <w:i/>
                <w:sz w:val="20"/>
                <w:szCs w:val="20"/>
              </w:rPr>
            </m:ctrlPr>
          </m:e>
          <m:sub>
            <m:r>
              <m:rPr/>
              <w:rPr>
                <w:rFonts w:ascii="Cambria Math" w:hAnsi="Cambria Math"/>
                <w:sz w:val="20"/>
                <w:szCs w:val="20"/>
              </w:rPr>
              <m:t>0</m:t>
            </m:r>
            <m:ctrlPr>
              <w:rPr>
                <w:rFonts w:ascii="Cambria Math" w:hAnsi="Cambria Math"/>
                <w:i/>
                <w:sz w:val="20"/>
                <w:szCs w:val="20"/>
              </w:rPr>
            </m:ctrlPr>
          </m:sub>
        </m:sSub>
      </m:oMath>
      <w:r>
        <w:rPr>
          <w:sz w:val="20"/>
          <w:szCs w:val="20"/>
        </w:rPr>
        <w:t xml:space="preserve">                                    5.3.4-2 </w:t>
      </w:r>
    </w:p>
    <w:p w14:paraId="2262340C">
      <w:pPr>
        <w:wordWrap w:val="0"/>
        <w:snapToGrid w:val="0"/>
        <w:spacing w:line="288" w:lineRule="auto"/>
        <w:ind w:firstLine="300" w:firstLineChars="150"/>
        <w:jc w:val="right"/>
        <w:rPr>
          <w:sz w:val="20"/>
          <w:szCs w:val="20"/>
        </w:rPr>
      </w:pPr>
      <m:oMath>
        <m:sSub>
          <m:sSubPr>
            <m:ctrlPr>
              <w:rPr>
                <w:rFonts w:ascii="Cambria Math" w:hAnsi="Cambria Math"/>
                <w:sz w:val="20"/>
                <w:szCs w:val="20"/>
              </w:rPr>
            </m:ctrlPr>
          </m:sSubPr>
          <m:e>
            <m:r>
              <m:rPr/>
              <w:rPr>
                <w:rFonts w:ascii="Cambria Math" w:hAnsi="Cambria Math"/>
                <w:sz w:val="20"/>
                <w:szCs w:val="20"/>
              </w:rPr>
              <m:t>P</m:t>
            </m:r>
            <m:ctrlPr>
              <w:rPr>
                <w:rFonts w:ascii="Cambria Math" w:hAnsi="Cambria Math"/>
                <w:sz w:val="20"/>
                <w:szCs w:val="20"/>
              </w:rPr>
            </m:ctrlPr>
          </m:e>
          <m:sub>
            <m:r>
              <m:rPr/>
              <w:rPr>
                <w:rFonts w:ascii="Cambria Math" w:hAnsi="Cambria Math"/>
                <w:sz w:val="20"/>
                <w:szCs w:val="20"/>
              </w:rPr>
              <m:t>0</m:t>
            </m:r>
            <m:ctrlPr>
              <w:rPr>
                <w:rFonts w:ascii="Cambria Math" w:hAnsi="Cambria Math"/>
                <w:sz w:val="20"/>
                <w:szCs w:val="20"/>
              </w:rPr>
            </m:ctrlPr>
          </m:sub>
        </m:sSub>
        <m:r>
          <m:rPr/>
          <w:rPr>
            <w:rFonts w:ascii="Cambria Math" w:hAnsi="Cambria Math"/>
            <w:sz w:val="20"/>
            <w:szCs w:val="20"/>
          </w:rPr>
          <m:t>=γ∙</m:t>
        </m:r>
        <m:sSub>
          <m:sSubPr>
            <m:ctrlPr>
              <w:rPr>
                <w:rFonts w:ascii="Cambria Math" w:hAnsi="Cambria Math"/>
                <w:i/>
                <w:sz w:val="20"/>
                <w:szCs w:val="20"/>
              </w:rPr>
            </m:ctrlPr>
          </m:sSubPr>
          <m:e>
            <m:r>
              <m:rPr/>
              <w:rPr>
                <w:rFonts w:ascii="Cambria Math" w:hAnsi="Cambria Math"/>
                <w:sz w:val="20"/>
                <w:szCs w:val="20"/>
              </w:rPr>
              <m:t>H</m:t>
            </m:r>
            <m:ctrlPr>
              <w:rPr>
                <w:rFonts w:ascii="Cambria Math" w:hAnsi="Cambria Math"/>
                <w:i/>
                <w:sz w:val="20"/>
                <w:szCs w:val="20"/>
              </w:rPr>
            </m:ctrlPr>
          </m:e>
          <m:sub>
            <m:r>
              <m:rPr/>
              <w:rPr>
                <w:rFonts w:ascii="Cambria Math" w:hAnsi="Cambria Math"/>
                <w:sz w:val="20"/>
                <w:szCs w:val="20"/>
              </w:rPr>
              <m:t>0</m:t>
            </m:r>
            <m:ctrlPr>
              <w:rPr>
                <w:rFonts w:ascii="Cambria Math" w:hAnsi="Cambria Math"/>
                <w:i/>
                <w:sz w:val="20"/>
                <w:szCs w:val="20"/>
              </w:rPr>
            </m:ctrlPr>
          </m:sub>
        </m:sSub>
      </m:oMath>
      <w:r>
        <w:rPr>
          <w:sz w:val="20"/>
          <w:szCs w:val="20"/>
        </w:rPr>
        <w:t xml:space="preserve">                                    5.3.4-3 </w:t>
      </w:r>
    </w:p>
    <w:p w14:paraId="76F8C19E">
      <w:pPr>
        <w:wordWrap w:val="0"/>
        <w:snapToGrid w:val="0"/>
        <w:spacing w:line="288" w:lineRule="auto"/>
        <w:ind w:firstLine="300" w:firstLineChars="150"/>
        <w:jc w:val="right"/>
        <w:rPr>
          <w:sz w:val="20"/>
          <w:szCs w:val="20"/>
        </w:rPr>
      </w:pPr>
      <m:oMath>
        <m:sSub>
          <m:sSubPr>
            <m:ctrlPr>
              <w:rPr>
                <w:rFonts w:ascii="Cambria Math" w:hAnsi="Cambria Math"/>
                <w:sz w:val="20"/>
                <w:szCs w:val="20"/>
              </w:rPr>
            </m:ctrlPr>
          </m:sSubPr>
          <m:e>
            <m:r>
              <m:rPr/>
              <w:rPr>
                <w:rFonts w:ascii="Cambria Math" w:hAnsi="Cambria Math"/>
                <w:sz w:val="20"/>
                <w:szCs w:val="20"/>
              </w:rPr>
              <m:t>P</m:t>
            </m:r>
            <m:ctrlPr>
              <w:rPr>
                <w:rFonts w:ascii="Cambria Math" w:hAnsi="Cambria Math"/>
                <w:sz w:val="20"/>
                <w:szCs w:val="20"/>
              </w:rPr>
            </m:ctrlPr>
          </m:e>
          <m:sub>
            <m:r>
              <m:rPr/>
              <w:rPr>
                <w:rFonts w:ascii="Cambria Math" w:hAnsi="Cambria Math"/>
                <w:sz w:val="20"/>
                <w:szCs w:val="20"/>
              </w:rPr>
              <m:t>a</m:t>
            </m:r>
            <m:ctrlPr>
              <w:rPr>
                <w:rFonts w:ascii="Cambria Math" w:hAnsi="Cambria Math"/>
                <w:sz w:val="20"/>
                <w:szCs w:val="20"/>
              </w:rPr>
            </m:ctrlPr>
          </m:sub>
        </m:sSub>
        <m:r>
          <m:rPr/>
          <w:rPr>
            <w:rFonts w:ascii="Cambria Math" w:hAnsi="Cambria Math"/>
            <w:sz w:val="20"/>
            <w:szCs w:val="20"/>
          </w:rPr>
          <m:t>=γ∙</m:t>
        </m:r>
        <m:sSub>
          <m:sSubPr>
            <m:ctrlPr>
              <w:rPr>
                <w:rFonts w:ascii="Cambria Math" w:hAnsi="Cambria Math"/>
                <w:i/>
                <w:sz w:val="20"/>
                <w:szCs w:val="20"/>
              </w:rPr>
            </m:ctrlPr>
          </m:sSubPr>
          <m:e>
            <m:r>
              <m:rPr/>
              <w:rPr>
                <w:rFonts w:ascii="Cambria Math" w:hAnsi="Cambria Math"/>
                <w:sz w:val="20"/>
                <w:szCs w:val="20"/>
              </w:rPr>
              <m:t>H</m:t>
            </m:r>
            <m:ctrlPr>
              <w:rPr>
                <w:rFonts w:ascii="Cambria Math" w:hAnsi="Cambria Math"/>
                <w:i/>
                <w:sz w:val="20"/>
                <w:szCs w:val="20"/>
              </w:rPr>
            </m:ctrlPr>
          </m:e>
          <m:sub>
            <m:r>
              <m:rPr/>
              <w:rPr>
                <w:rFonts w:ascii="Cambria Math" w:hAnsi="Cambria Math"/>
                <w:sz w:val="20"/>
                <w:szCs w:val="20"/>
              </w:rPr>
              <m:t>0</m:t>
            </m:r>
            <m:ctrlPr>
              <w:rPr>
                <w:rFonts w:ascii="Cambria Math" w:hAnsi="Cambria Math"/>
                <w:i/>
                <w:sz w:val="20"/>
                <w:szCs w:val="20"/>
              </w:rPr>
            </m:ctrlPr>
          </m:sub>
        </m:sSub>
        <m:r>
          <m:rPr/>
          <w:rPr>
            <w:rFonts w:ascii="Cambria Math" w:hAnsi="Cambria Math"/>
            <w:sz w:val="20"/>
            <w:szCs w:val="20"/>
          </w:rPr>
          <m:t>∙</m:t>
        </m:r>
        <m:sSup>
          <m:sSupPr>
            <m:ctrlPr>
              <w:rPr>
                <w:rFonts w:ascii="Cambria Math" w:hAnsi="Cambria Math"/>
                <w:sz w:val="20"/>
                <w:szCs w:val="20"/>
              </w:rPr>
            </m:ctrlPr>
          </m:sSupPr>
          <m:e>
            <m:r>
              <m:rPr/>
              <w:rPr>
                <w:rFonts w:ascii="Cambria Math" w:hAnsi="Cambria Math"/>
                <w:sz w:val="20"/>
                <w:szCs w:val="20"/>
              </w:rPr>
              <m:t>tan</m:t>
            </m:r>
            <m:ctrlPr>
              <w:rPr>
                <w:rFonts w:ascii="Cambria Math" w:hAnsi="Cambria Math"/>
                <w:sz w:val="20"/>
                <w:szCs w:val="20"/>
              </w:rPr>
            </m:ctrlPr>
          </m:e>
          <m:sup>
            <m:r>
              <m:rPr/>
              <w:rPr>
                <w:rFonts w:ascii="Cambria Math" w:hAnsi="Cambria Math"/>
                <w:sz w:val="20"/>
                <w:szCs w:val="20"/>
              </w:rPr>
              <m:t>2</m:t>
            </m:r>
            <m:ctrlPr>
              <w:rPr>
                <w:rFonts w:ascii="Cambria Math" w:hAnsi="Cambria Math"/>
                <w:sz w:val="20"/>
                <w:szCs w:val="20"/>
              </w:rPr>
            </m:ctrlPr>
          </m:sup>
        </m:sSup>
        <m:d>
          <m:dPr>
            <m:ctrlPr>
              <w:rPr>
                <w:rFonts w:ascii="Cambria Math" w:hAnsi="Cambria Math"/>
                <w:i/>
                <w:sz w:val="20"/>
                <w:szCs w:val="20"/>
              </w:rPr>
            </m:ctrlPr>
          </m:dPr>
          <m:e>
            <m:sSup>
              <m:sSupPr>
                <m:ctrlPr>
                  <w:rPr>
                    <w:rFonts w:ascii="Cambria Math" w:hAnsi="Cambria Math"/>
                    <w:i/>
                    <w:sz w:val="20"/>
                    <w:szCs w:val="20"/>
                  </w:rPr>
                </m:ctrlPr>
              </m:sSupPr>
              <m:e>
                <m:r>
                  <m:rPr/>
                  <w:rPr>
                    <w:rFonts w:ascii="Cambria Math" w:hAnsi="Cambria Math"/>
                    <w:sz w:val="20"/>
                    <w:szCs w:val="20"/>
                  </w:rPr>
                  <m:t>45</m:t>
                </m:r>
                <m:ctrlPr>
                  <w:rPr>
                    <w:rFonts w:ascii="Cambria Math" w:hAnsi="Cambria Math"/>
                    <w:i/>
                    <w:sz w:val="20"/>
                    <w:szCs w:val="20"/>
                  </w:rPr>
                </m:ctrlPr>
              </m:e>
              <m:sup>
                <m:r>
                  <m:rPr/>
                  <w:rPr>
                    <w:rFonts w:ascii="Cambria Math" w:hAnsi="Cambria Math"/>
                    <w:sz w:val="20"/>
                    <w:szCs w:val="20"/>
                  </w:rPr>
                  <m:t>°</m:t>
                </m:r>
                <m:ctrlPr>
                  <w:rPr>
                    <w:rFonts w:ascii="Cambria Math" w:hAnsi="Cambria Math"/>
                    <w:i/>
                    <w:sz w:val="20"/>
                    <w:szCs w:val="20"/>
                  </w:rPr>
                </m:ctrlPr>
              </m:sup>
            </m:sSup>
            <m:r>
              <m:rPr/>
              <w:rPr>
                <w:rFonts w:ascii="Cambria Math" w:hAnsi="Cambria Math"/>
                <w:sz w:val="20"/>
                <w:szCs w:val="20"/>
              </w:rPr>
              <m:t>−</m:t>
            </m:r>
            <m:f>
              <m:fPr>
                <m:type m:val="skw"/>
                <m:ctrlPr>
                  <w:rPr>
                    <w:rFonts w:ascii="Cambria Math" w:hAnsi="Cambria Math"/>
                    <w:i/>
                    <w:sz w:val="20"/>
                    <w:szCs w:val="20"/>
                  </w:rPr>
                </m:ctrlPr>
              </m:fPr>
              <m:num>
                <m:r>
                  <m:rPr/>
                  <w:rPr>
                    <w:rFonts w:ascii="Cambria Math" w:hAnsi="Cambria Math"/>
                    <w:sz w:val="20"/>
                    <w:szCs w:val="20"/>
                  </w:rPr>
                  <m:t>φ</m:t>
                </m:r>
                <m:ctrlPr>
                  <w:rPr>
                    <w:rFonts w:ascii="Cambria Math" w:hAnsi="Cambria Math"/>
                    <w:i/>
                    <w:sz w:val="20"/>
                    <w:szCs w:val="20"/>
                  </w:rPr>
                </m:ctrlPr>
              </m:num>
              <m:den>
                <m:r>
                  <m:rPr/>
                  <w:rPr>
                    <w:rFonts w:ascii="Cambria Math" w:hAnsi="Cambria Math"/>
                    <w:sz w:val="20"/>
                    <w:szCs w:val="20"/>
                  </w:rPr>
                  <m:t>2</m:t>
                </m:r>
                <m:ctrlPr>
                  <w:rPr>
                    <w:rFonts w:ascii="Cambria Math" w:hAnsi="Cambria Math"/>
                    <w:i/>
                    <w:sz w:val="20"/>
                    <w:szCs w:val="20"/>
                  </w:rPr>
                </m:ctrlPr>
              </m:den>
            </m:f>
            <m:ctrlPr>
              <w:rPr>
                <w:rFonts w:ascii="Cambria Math" w:hAnsi="Cambria Math"/>
                <w:i/>
                <w:sz w:val="20"/>
                <w:szCs w:val="20"/>
              </w:rPr>
            </m:ctrlPr>
          </m:e>
        </m:d>
        <m:r>
          <m:rPr/>
          <w:rPr>
            <w:rFonts w:ascii="Cambria Math" w:hAnsi="Cambria Math"/>
            <w:sz w:val="20"/>
            <w:szCs w:val="20"/>
          </w:rPr>
          <m:t>−2c∙</m:t>
        </m:r>
        <m:func>
          <m:funcPr>
            <m:ctrlPr>
              <w:rPr>
                <w:rFonts w:ascii="Cambria Math" w:hAnsi="Cambria Math"/>
                <w:i/>
                <w:sz w:val="20"/>
                <w:szCs w:val="20"/>
              </w:rPr>
            </m:ctrlPr>
          </m:funcPr>
          <m:fName>
            <m:r>
              <m:rPr>
                <m:sty m:val="p"/>
              </m:rPr>
              <w:rPr>
                <w:rFonts w:ascii="Cambria Math" w:hAnsi="Cambria Math"/>
                <w:sz w:val="20"/>
                <w:szCs w:val="20"/>
              </w:rPr>
              <m:t>tan</m:t>
            </m:r>
            <m:ctrlPr>
              <w:rPr>
                <w:rFonts w:ascii="Cambria Math" w:hAnsi="Cambria Math"/>
                <w:i/>
                <w:sz w:val="20"/>
                <w:szCs w:val="20"/>
              </w:rPr>
            </m:ctrlPr>
          </m:fName>
          <m:e>
            <m:r>
              <m:rPr/>
              <w:rPr>
                <w:rFonts w:ascii="Cambria Math" w:hAnsi="Cambria Math"/>
                <w:sz w:val="20"/>
                <w:szCs w:val="20"/>
              </w:rPr>
              <m:t>(</m:t>
            </m:r>
            <m:sSup>
              <m:sSupPr>
                <m:ctrlPr>
                  <w:rPr>
                    <w:rFonts w:ascii="Cambria Math" w:hAnsi="Cambria Math"/>
                    <w:i/>
                    <w:sz w:val="20"/>
                    <w:szCs w:val="20"/>
                  </w:rPr>
                </m:ctrlPr>
              </m:sSupPr>
              <m:e>
                <m:r>
                  <m:rPr/>
                  <w:rPr>
                    <w:rFonts w:ascii="Cambria Math" w:hAnsi="Cambria Math"/>
                    <w:sz w:val="20"/>
                    <w:szCs w:val="20"/>
                  </w:rPr>
                  <m:t>45</m:t>
                </m:r>
                <m:ctrlPr>
                  <w:rPr>
                    <w:rFonts w:ascii="Cambria Math" w:hAnsi="Cambria Math"/>
                    <w:i/>
                    <w:sz w:val="20"/>
                    <w:szCs w:val="20"/>
                  </w:rPr>
                </m:ctrlPr>
              </m:e>
              <m:sup>
                <m:r>
                  <m:rPr/>
                  <w:rPr>
                    <w:rFonts w:ascii="Cambria Math" w:hAnsi="Cambria Math"/>
                    <w:sz w:val="20"/>
                    <w:szCs w:val="20"/>
                  </w:rPr>
                  <m:t>°</m:t>
                </m:r>
                <m:ctrlPr>
                  <w:rPr>
                    <w:rFonts w:ascii="Cambria Math" w:hAnsi="Cambria Math"/>
                    <w:i/>
                    <w:sz w:val="20"/>
                    <w:szCs w:val="20"/>
                  </w:rPr>
                </m:ctrlPr>
              </m:sup>
            </m:sSup>
            <m:r>
              <m:rPr/>
              <w:rPr>
                <w:rFonts w:ascii="Cambria Math" w:hAnsi="Cambria Math"/>
                <w:sz w:val="20"/>
                <w:szCs w:val="20"/>
              </w:rPr>
              <m:t>−</m:t>
            </m:r>
            <m:f>
              <m:fPr>
                <m:type m:val="skw"/>
                <m:ctrlPr>
                  <w:rPr>
                    <w:rFonts w:ascii="Cambria Math" w:hAnsi="Cambria Math"/>
                    <w:i/>
                    <w:sz w:val="20"/>
                    <w:szCs w:val="20"/>
                  </w:rPr>
                </m:ctrlPr>
              </m:fPr>
              <m:num>
                <m:r>
                  <m:rPr/>
                  <w:rPr>
                    <w:rFonts w:ascii="Cambria Math" w:hAnsi="Cambria Math"/>
                    <w:sz w:val="20"/>
                    <w:szCs w:val="20"/>
                  </w:rPr>
                  <m:t>φ</m:t>
                </m:r>
                <m:ctrlPr>
                  <w:rPr>
                    <w:rFonts w:ascii="Cambria Math" w:hAnsi="Cambria Math"/>
                    <w:i/>
                    <w:sz w:val="20"/>
                    <w:szCs w:val="20"/>
                  </w:rPr>
                </m:ctrlPr>
              </m:num>
              <m:den>
                <m:r>
                  <m:rPr/>
                  <w:rPr>
                    <w:rFonts w:ascii="Cambria Math" w:hAnsi="Cambria Math"/>
                    <w:sz w:val="20"/>
                    <w:szCs w:val="20"/>
                  </w:rPr>
                  <m:t>2</m:t>
                </m:r>
                <m:ctrlPr>
                  <w:rPr>
                    <w:rFonts w:ascii="Cambria Math" w:hAnsi="Cambria Math"/>
                    <w:i/>
                    <w:sz w:val="20"/>
                    <w:szCs w:val="20"/>
                  </w:rPr>
                </m:ctrlPr>
              </m:den>
            </m:f>
            <m:r>
              <m:rPr/>
              <w:rPr>
                <w:rFonts w:ascii="Cambria Math" w:hAnsi="Cambria Math"/>
                <w:sz w:val="20"/>
                <w:szCs w:val="20"/>
              </w:rPr>
              <m:t>)</m:t>
            </m:r>
            <m:ctrlPr>
              <w:rPr>
                <w:rFonts w:ascii="Cambria Math" w:hAnsi="Cambria Math"/>
                <w:i/>
                <w:sz w:val="20"/>
                <w:szCs w:val="20"/>
              </w:rPr>
            </m:ctrlPr>
          </m:e>
        </m:func>
      </m:oMath>
      <w:r>
        <w:rPr>
          <w:sz w:val="20"/>
          <w:szCs w:val="20"/>
        </w:rPr>
        <w:t xml:space="preserve">                5.3.4-4 </w:t>
      </w:r>
    </w:p>
    <w:p w14:paraId="42F24AB2">
      <w:pPr>
        <w:wordWrap w:val="0"/>
        <w:snapToGrid w:val="0"/>
        <w:spacing w:line="288" w:lineRule="auto"/>
        <w:ind w:firstLine="300" w:firstLineChars="150"/>
        <w:jc w:val="right"/>
        <w:rPr>
          <w:sz w:val="20"/>
          <w:szCs w:val="20"/>
        </w:rPr>
      </w:pPr>
      <m:oMath>
        <m:sSub>
          <m:sSubPr>
            <m:ctrlPr>
              <w:rPr>
                <w:rFonts w:ascii="Cambria Math" w:hAnsi="Cambria Math"/>
                <w:sz w:val="20"/>
                <w:szCs w:val="20"/>
              </w:rPr>
            </m:ctrlPr>
          </m:sSubPr>
          <m:e>
            <m:r>
              <m:rPr/>
              <w:rPr>
                <w:rFonts w:ascii="Cambria Math" w:hAnsi="Cambria Math"/>
                <w:sz w:val="20"/>
                <w:szCs w:val="20"/>
              </w:rPr>
              <m:t>P</m:t>
            </m:r>
            <m:ctrlPr>
              <w:rPr>
                <w:rFonts w:ascii="Cambria Math" w:hAnsi="Cambria Math"/>
                <w:sz w:val="20"/>
                <w:szCs w:val="20"/>
              </w:rPr>
            </m:ctrlPr>
          </m:e>
          <m:sub>
            <m:r>
              <m:rPr/>
              <w:rPr>
                <w:rFonts w:ascii="Cambria Math" w:hAnsi="Cambria Math"/>
                <w:sz w:val="20"/>
                <w:szCs w:val="20"/>
              </w:rPr>
              <m:t>p</m:t>
            </m:r>
            <m:ctrlPr>
              <w:rPr>
                <w:rFonts w:ascii="Cambria Math" w:hAnsi="Cambria Math"/>
                <w:sz w:val="20"/>
                <w:szCs w:val="20"/>
              </w:rPr>
            </m:ctrlPr>
          </m:sub>
        </m:sSub>
        <m:r>
          <m:rPr/>
          <w:rPr>
            <w:rFonts w:ascii="Cambria Math" w:hAnsi="Cambria Math"/>
            <w:sz w:val="20"/>
            <w:szCs w:val="20"/>
          </w:rPr>
          <m:t>=γ∙</m:t>
        </m:r>
        <m:sSub>
          <m:sSubPr>
            <m:ctrlPr>
              <w:rPr>
                <w:rFonts w:ascii="Cambria Math" w:hAnsi="Cambria Math"/>
                <w:i/>
                <w:sz w:val="20"/>
                <w:szCs w:val="20"/>
              </w:rPr>
            </m:ctrlPr>
          </m:sSubPr>
          <m:e>
            <m:r>
              <m:rPr/>
              <w:rPr>
                <w:rFonts w:ascii="Cambria Math" w:hAnsi="Cambria Math"/>
                <w:sz w:val="20"/>
                <w:szCs w:val="20"/>
              </w:rPr>
              <m:t>H</m:t>
            </m:r>
            <m:ctrlPr>
              <w:rPr>
                <w:rFonts w:ascii="Cambria Math" w:hAnsi="Cambria Math"/>
                <w:i/>
                <w:sz w:val="20"/>
                <w:szCs w:val="20"/>
              </w:rPr>
            </m:ctrlPr>
          </m:e>
          <m:sub>
            <m:r>
              <m:rPr/>
              <w:rPr>
                <w:rFonts w:ascii="Cambria Math" w:hAnsi="Cambria Math"/>
                <w:sz w:val="20"/>
                <w:szCs w:val="20"/>
              </w:rPr>
              <m:t>0</m:t>
            </m:r>
            <m:ctrlPr>
              <w:rPr>
                <w:rFonts w:ascii="Cambria Math" w:hAnsi="Cambria Math"/>
                <w:i/>
                <w:sz w:val="20"/>
                <w:szCs w:val="20"/>
              </w:rPr>
            </m:ctrlPr>
          </m:sub>
        </m:sSub>
        <m:r>
          <m:rPr/>
          <w:rPr>
            <w:rFonts w:ascii="Cambria Math" w:hAnsi="Cambria Math"/>
            <w:sz w:val="20"/>
            <w:szCs w:val="20"/>
          </w:rPr>
          <m:t>∙</m:t>
        </m:r>
        <m:sSup>
          <m:sSupPr>
            <m:ctrlPr>
              <w:rPr>
                <w:rFonts w:ascii="Cambria Math" w:hAnsi="Cambria Math"/>
                <w:sz w:val="20"/>
                <w:szCs w:val="20"/>
              </w:rPr>
            </m:ctrlPr>
          </m:sSupPr>
          <m:e>
            <m:r>
              <m:rPr/>
              <w:rPr>
                <w:rFonts w:ascii="Cambria Math" w:hAnsi="Cambria Math"/>
                <w:sz w:val="20"/>
                <w:szCs w:val="20"/>
              </w:rPr>
              <m:t>tan</m:t>
            </m:r>
            <m:ctrlPr>
              <w:rPr>
                <w:rFonts w:ascii="Cambria Math" w:hAnsi="Cambria Math"/>
                <w:sz w:val="20"/>
                <w:szCs w:val="20"/>
              </w:rPr>
            </m:ctrlPr>
          </m:e>
          <m:sup>
            <m:r>
              <m:rPr/>
              <w:rPr>
                <w:rFonts w:ascii="Cambria Math" w:hAnsi="Cambria Math"/>
                <w:sz w:val="20"/>
                <w:szCs w:val="20"/>
              </w:rPr>
              <m:t>2</m:t>
            </m:r>
            <m:ctrlPr>
              <w:rPr>
                <w:rFonts w:ascii="Cambria Math" w:hAnsi="Cambria Math"/>
                <w:sz w:val="20"/>
                <w:szCs w:val="20"/>
              </w:rPr>
            </m:ctrlPr>
          </m:sup>
        </m:sSup>
        <m:d>
          <m:dPr>
            <m:ctrlPr>
              <w:rPr>
                <w:rFonts w:ascii="Cambria Math" w:hAnsi="Cambria Math"/>
                <w:i/>
                <w:sz w:val="20"/>
                <w:szCs w:val="20"/>
              </w:rPr>
            </m:ctrlPr>
          </m:dPr>
          <m:e>
            <m:sSup>
              <m:sSupPr>
                <m:ctrlPr>
                  <w:rPr>
                    <w:rFonts w:ascii="Cambria Math" w:hAnsi="Cambria Math"/>
                    <w:i/>
                    <w:sz w:val="20"/>
                    <w:szCs w:val="20"/>
                  </w:rPr>
                </m:ctrlPr>
              </m:sSupPr>
              <m:e>
                <m:r>
                  <m:rPr/>
                  <w:rPr>
                    <w:rFonts w:ascii="Cambria Math" w:hAnsi="Cambria Math"/>
                    <w:sz w:val="20"/>
                    <w:szCs w:val="20"/>
                  </w:rPr>
                  <m:t>45</m:t>
                </m:r>
                <m:ctrlPr>
                  <w:rPr>
                    <w:rFonts w:ascii="Cambria Math" w:hAnsi="Cambria Math"/>
                    <w:i/>
                    <w:sz w:val="20"/>
                    <w:szCs w:val="20"/>
                  </w:rPr>
                </m:ctrlPr>
              </m:e>
              <m:sup>
                <m:r>
                  <m:rPr/>
                  <w:rPr>
                    <w:rFonts w:ascii="Cambria Math" w:hAnsi="Cambria Math"/>
                    <w:sz w:val="20"/>
                    <w:szCs w:val="20"/>
                  </w:rPr>
                  <m:t>°</m:t>
                </m:r>
                <m:ctrlPr>
                  <w:rPr>
                    <w:rFonts w:ascii="Cambria Math" w:hAnsi="Cambria Math"/>
                    <w:i/>
                    <w:sz w:val="20"/>
                    <w:szCs w:val="20"/>
                  </w:rPr>
                </m:ctrlPr>
              </m:sup>
            </m:sSup>
            <m:r>
              <m:rPr/>
              <w:rPr>
                <w:rFonts w:ascii="Cambria Math" w:hAnsi="Cambria Math"/>
                <w:sz w:val="20"/>
                <w:szCs w:val="20"/>
              </w:rPr>
              <m:t>+</m:t>
            </m:r>
            <m:f>
              <m:fPr>
                <m:type m:val="skw"/>
                <m:ctrlPr>
                  <w:rPr>
                    <w:rFonts w:ascii="Cambria Math" w:hAnsi="Cambria Math"/>
                    <w:i/>
                    <w:sz w:val="20"/>
                    <w:szCs w:val="20"/>
                  </w:rPr>
                </m:ctrlPr>
              </m:fPr>
              <m:num>
                <m:r>
                  <m:rPr/>
                  <w:rPr>
                    <w:rFonts w:ascii="Cambria Math" w:hAnsi="Cambria Math"/>
                    <w:sz w:val="20"/>
                    <w:szCs w:val="20"/>
                  </w:rPr>
                  <m:t>φ</m:t>
                </m:r>
                <m:ctrlPr>
                  <w:rPr>
                    <w:rFonts w:ascii="Cambria Math" w:hAnsi="Cambria Math"/>
                    <w:i/>
                    <w:sz w:val="20"/>
                    <w:szCs w:val="20"/>
                  </w:rPr>
                </m:ctrlPr>
              </m:num>
              <m:den>
                <m:r>
                  <m:rPr/>
                  <w:rPr>
                    <w:rFonts w:ascii="Cambria Math" w:hAnsi="Cambria Math"/>
                    <w:sz w:val="20"/>
                    <w:szCs w:val="20"/>
                  </w:rPr>
                  <m:t>2</m:t>
                </m:r>
                <m:ctrlPr>
                  <w:rPr>
                    <w:rFonts w:ascii="Cambria Math" w:hAnsi="Cambria Math"/>
                    <w:i/>
                    <w:sz w:val="20"/>
                    <w:szCs w:val="20"/>
                  </w:rPr>
                </m:ctrlPr>
              </m:den>
            </m:f>
            <m:ctrlPr>
              <w:rPr>
                <w:rFonts w:ascii="Cambria Math" w:hAnsi="Cambria Math"/>
                <w:i/>
                <w:sz w:val="20"/>
                <w:szCs w:val="20"/>
              </w:rPr>
            </m:ctrlPr>
          </m:e>
        </m:d>
        <m:r>
          <m:rPr/>
          <w:rPr>
            <w:rFonts w:ascii="Cambria Math" w:hAnsi="Cambria Math"/>
            <w:sz w:val="20"/>
            <w:szCs w:val="20"/>
          </w:rPr>
          <m:t>+2c∙</m:t>
        </m:r>
        <m:func>
          <m:funcPr>
            <m:ctrlPr>
              <w:rPr>
                <w:rFonts w:ascii="Cambria Math" w:hAnsi="Cambria Math"/>
                <w:i/>
                <w:sz w:val="20"/>
                <w:szCs w:val="20"/>
              </w:rPr>
            </m:ctrlPr>
          </m:funcPr>
          <m:fName>
            <m:r>
              <m:rPr>
                <m:sty m:val="p"/>
              </m:rPr>
              <w:rPr>
                <w:rFonts w:ascii="Cambria Math" w:hAnsi="Cambria Math"/>
                <w:sz w:val="20"/>
                <w:szCs w:val="20"/>
              </w:rPr>
              <m:t>tan</m:t>
            </m:r>
            <m:ctrlPr>
              <w:rPr>
                <w:rFonts w:ascii="Cambria Math" w:hAnsi="Cambria Math"/>
                <w:i/>
                <w:sz w:val="20"/>
                <w:szCs w:val="20"/>
              </w:rPr>
            </m:ctrlPr>
          </m:fName>
          <m:e>
            <m:r>
              <m:rPr/>
              <w:rPr>
                <w:rFonts w:ascii="Cambria Math" w:hAnsi="Cambria Math"/>
                <w:sz w:val="20"/>
                <w:szCs w:val="20"/>
              </w:rPr>
              <m:t>(</m:t>
            </m:r>
            <m:sSup>
              <m:sSupPr>
                <m:ctrlPr>
                  <w:rPr>
                    <w:rFonts w:ascii="Cambria Math" w:hAnsi="Cambria Math"/>
                    <w:i/>
                    <w:sz w:val="20"/>
                    <w:szCs w:val="20"/>
                  </w:rPr>
                </m:ctrlPr>
              </m:sSupPr>
              <m:e>
                <m:r>
                  <m:rPr/>
                  <w:rPr>
                    <w:rFonts w:ascii="Cambria Math" w:hAnsi="Cambria Math"/>
                    <w:sz w:val="20"/>
                    <w:szCs w:val="20"/>
                  </w:rPr>
                  <m:t>45</m:t>
                </m:r>
                <m:ctrlPr>
                  <w:rPr>
                    <w:rFonts w:ascii="Cambria Math" w:hAnsi="Cambria Math"/>
                    <w:i/>
                    <w:sz w:val="20"/>
                    <w:szCs w:val="20"/>
                  </w:rPr>
                </m:ctrlPr>
              </m:e>
              <m:sup>
                <m:r>
                  <m:rPr/>
                  <w:rPr>
                    <w:rFonts w:ascii="Cambria Math" w:hAnsi="Cambria Math"/>
                    <w:sz w:val="20"/>
                    <w:szCs w:val="20"/>
                  </w:rPr>
                  <m:t>°</m:t>
                </m:r>
                <m:ctrlPr>
                  <w:rPr>
                    <w:rFonts w:ascii="Cambria Math" w:hAnsi="Cambria Math"/>
                    <w:i/>
                    <w:sz w:val="20"/>
                    <w:szCs w:val="20"/>
                  </w:rPr>
                </m:ctrlPr>
              </m:sup>
            </m:sSup>
            <m:r>
              <m:rPr/>
              <w:rPr>
                <w:rFonts w:ascii="Cambria Math" w:hAnsi="Cambria Math"/>
                <w:sz w:val="20"/>
                <w:szCs w:val="20"/>
              </w:rPr>
              <m:t>+</m:t>
            </m:r>
            <m:f>
              <m:fPr>
                <m:type m:val="skw"/>
                <m:ctrlPr>
                  <w:rPr>
                    <w:rFonts w:ascii="Cambria Math" w:hAnsi="Cambria Math"/>
                    <w:i/>
                    <w:sz w:val="20"/>
                    <w:szCs w:val="20"/>
                  </w:rPr>
                </m:ctrlPr>
              </m:fPr>
              <m:num>
                <m:r>
                  <m:rPr/>
                  <w:rPr>
                    <w:rFonts w:ascii="Cambria Math" w:hAnsi="Cambria Math"/>
                    <w:sz w:val="20"/>
                    <w:szCs w:val="20"/>
                  </w:rPr>
                  <m:t>φ</m:t>
                </m:r>
                <m:ctrlPr>
                  <w:rPr>
                    <w:rFonts w:ascii="Cambria Math" w:hAnsi="Cambria Math"/>
                    <w:i/>
                    <w:sz w:val="20"/>
                    <w:szCs w:val="20"/>
                  </w:rPr>
                </m:ctrlPr>
              </m:num>
              <m:den>
                <m:r>
                  <m:rPr/>
                  <w:rPr>
                    <w:rFonts w:ascii="Cambria Math" w:hAnsi="Cambria Math"/>
                    <w:sz w:val="20"/>
                    <w:szCs w:val="20"/>
                  </w:rPr>
                  <m:t>2</m:t>
                </m:r>
                <m:ctrlPr>
                  <w:rPr>
                    <w:rFonts w:ascii="Cambria Math" w:hAnsi="Cambria Math"/>
                    <w:i/>
                    <w:sz w:val="20"/>
                    <w:szCs w:val="20"/>
                  </w:rPr>
                </m:ctrlPr>
              </m:den>
            </m:f>
            <m:r>
              <m:rPr/>
              <w:rPr>
                <w:rFonts w:ascii="Cambria Math" w:hAnsi="Cambria Math"/>
                <w:sz w:val="20"/>
                <w:szCs w:val="20"/>
              </w:rPr>
              <m:t>)</m:t>
            </m:r>
            <m:ctrlPr>
              <w:rPr>
                <w:rFonts w:ascii="Cambria Math" w:hAnsi="Cambria Math"/>
                <w:i/>
                <w:sz w:val="20"/>
                <w:szCs w:val="20"/>
              </w:rPr>
            </m:ctrlPr>
          </m:e>
        </m:func>
      </m:oMath>
      <w:r>
        <w:rPr>
          <w:sz w:val="20"/>
          <w:szCs w:val="20"/>
        </w:rPr>
        <w:t xml:space="preserve">                5.3.4-5 </w:t>
      </w:r>
    </w:p>
    <w:p w14:paraId="3472846D">
      <w:pPr>
        <w:snapToGrid w:val="0"/>
        <w:spacing w:line="288" w:lineRule="auto"/>
        <w:ind w:firstLine="300" w:firstLineChars="150"/>
        <w:rPr>
          <w:sz w:val="20"/>
          <w:szCs w:val="20"/>
        </w:rPr>
      </w:pPr>
      <w:r>
        <w:rPr>
          <w:rFonts w:hint="eastAsia"/>
          <w:sz w:val="20"/>
          <w:szCs w:val="20"/>
        </w:rPr>
        <w:t>式中：</w:t>
      </w:r>
      <m:oMath>
        <m:sSub>
          <m:sSubPr>
            <m:ctrlPr>
              <w:rPr>
                <w:rFonts w:ascii="Cambria Math" w:hAnsi="Cambria Math"/>
                <w:sz w:val="20"/>
                <w:szCs w:val="20"/>
              </w:rPr>
            </m:ctrlPr>
          </m:sSubPr>
          <m:e>
            <m:r>
              <m:rPr/>
              <w:rPr>
                <w:rFonts w:ascii="Cambria Math" w:hAnsi="Cambria Math"/>
                <w:sz w:val="20"/>
                <w:szCs w:val="20"/>
              </w:rPr>
              <m:t>P</m:t>
            </m:r>
            <m:ctrlPr>
              <w:rPr>
                <w:rFonts w:ascii="Cambria Math" w:hAnsi="Cambria Math"/>
                <w:sz w:val="20"/>
                <w:szCs w:val="20"/>
              </w:rPr>
            </m:ctrlPr>
          </m:e>
          <m:sub>
            <m:r>
              <m:rPr/>
              <w:rPr>
                <w:rFonts w:ascii="Cambria Math" w:hAnsi="Cambria Math"/>
                <w:sz w:val="20"/>
                <w:szCs w:val="20"/>
              </w:rPr>
              <m:t>a</m:t>
            </m:r>
            <m:ctrlPr>
              <w:rPr>
                <w:rFonts w:ascii="Cambria Math" w:hAnsi="Cambria Math"/>
                <w:sz w:val="20"/>
                <w:szCs w:val="20"/>
              </w:rPr>
            </m:ctrlPr>
          </m:sub>
        </m:sSub>
      </m:oMath>
      <w:r>
        <w:rPr>
          <w:sz w:val="20"/>
          <w:szCs w:val="20"/>
        </w:rPr>
        <w:t>—</w:t>
      </w:r>
      <w:r>
        <w:rPr>
          <w:rFonts w:hint="eastAsia"/>
          <w:sz w:val="20"/>
          <w:szCs w:val="20"/>
        </w:rPr>
        <w:t>主动土压力（</w:t>
      </w:r>
      <w:r>
        <w:rPr>
          <w:sz w:val="20"/>
          <w:szCs w:val="20"/>
        </w:rPr>
        <w:t>kPa</w:t>
      </w:r>
      <w:r>
        <w:rPr>
          <w:rFonts w:hint="eastAsia"/>
          <w:sz w:val="20"/>
          <w:szCs w:val="20"/>
        </w:rPr>
        <w:t>）；</w:t>
      </w:r>
    </w:p>
    <w:p w14:paraId="174821BB">
      <w:pPr>
        <w:snapToGrid w:val="0"/>
        <w:spacing w:line="288" w:lineRule="auto"/>
        <w:ind w:firstLine="900" w:firstLineChars="450"/>
        <w:rPr>
          <w:sz w:val="20"/>
          <w:szCs w:val="20"/>
        </w:rPr>
      </w:pPr>
      <m:oMath>
        <m:r>
          <m:rPr>
            <m:sty m:val="p"/>
          </m:rPr>
          <w:rPr>
            <w:rFonts w:ascii="Cambria Math" w:hAnsi="Cambria Math"/>
            <w:sz w:val="20"/>
            <w:szCs w:val="20"/>
          </w:rPr>
          <m:t>P</m:t>
        </m:r>
      </m:oMath>
      <w:r>
        <w:rPr>
          <w:sz w:val="20"/>
          <w:szCs w:val="20"/>
        </w:rPr>
        <w:t>—</w:t>
      </w:r>
      <w:r>
        <w:rPr>
          <w:rFonts w:hint="eastAsia"/>
          <w:sz w:val="20"/>
          <w:szCs w:val="20"/>
        </w:rPr>
        <w:t>控制土压力（</w:t>
      </w:r>
      <w:r>
        <w:rPr>
          <w:sz w:val="20"/>
          <w:szCs w:val="20"/>
        </w:rPr>
        <w:t>kPa</w:t>
      </w:r>
      <w:r>
        <w:rPr>
          <w:rFonts w:hint="eastAsia"/>
          <w:sz w:val="20"/>
          <w:szCs w:val="20"/>
        </w:rPr>
        <w:t>）；</w:t>
      </w:r>
    </w:p>
    <w:p w14:paraId="56F5B1A9">
      <w:pPr>
        <w:snapToGrid w:val="0"/>
        <w:spacing w:line="288" w:lineRule="auto"/>
        <w:ind w:firstLine="900" w:firstLineChars="450"/>
        <w:rPr>
          <w:rFonts w:ascii="Cambria Math" w:hAnsi="Cambria Math"/>
          <w:sz w:val="20"/>
          <w:szCs w:val="20"/>
        </w:rPr>
      </w:pPr>
      <m:oMath>
        <m:sSub>
          <m:sSubPr>
            <m:ctrlPr>
              <w:rPr>
                <w:rFonts w:ascii="Cambria Math" w:hAnsi="Cambria Math"/>
                <w:sz w:val="20"/>
                <w:szCs w:val="20"/>
              </w:rPr>
            </m:ctrlPr>
          </m:sSubPr>
          <m:e>
            <m:r>
              <m:rPr>
                <m:sty m:val="p"/>
              </m:rPr>
              <w:rPr>
                <w:rFonts w:ascii="Cambria Math" w:hAnsi="Cambria Math"/>
                <w:sz w:val="20"/>
                <w:szCs w:val="20"/>
              </w:rPr>
              <m:t>P</m:t>
            </m:r>
            <m:ctrlPr>
              <w:rPr>
                <w:rFonts w:ascii="Cambria Math" w:hAnsi="Cambria Math"/>
                <w:sz w:val="20"/>
                <w:szCs w:val="20"/>
              </w:rPr>
            </m:ctrlPr>
          </m:e>
          <m:sub>
            <m:r>
              <m:rPr>
                <m:sty m:val="p"/>
              </m:rPr>
              <w:rPr>
                <w:rFonts w:ascii="Cambria Math" w:hAnsi="Cambria Math"/>
                <w:sz w:val="20"/>
                <w:szCs w:val="20"/>
              </w:rPr>
              <m:t>P</m:t>
            </m:r>
            <m:ctrlPr>
              <w:rPr>
                <w:rFonts w:ascii="Cambria Math" w:hAnsi="Cambria Math"/>
                <w:sz w:val="20"/>
                <w:szCs w:val="20"/>
              </w:rPr>
            </m:ctrlPr>
          </m:sub>
        </m:sSub>
      </m:oMath>
      <w:r>
        <w:rPr>
          <w:rFonts w:ascii="Cambria Math" w:hAnsi="Cambria Math"/>
          <w:sz w:val="20"/>
          <w:szCs w:val="20"/>
        </w:rPr>
        <w:t>—</w:t>
      </w:r>
      <w:r>
        <w:rPr>
          <w:rFonts w:hint="eastAsia" w:ascii="Cambria Math" w:hAnsi="Cambria Math"/>
          <w:sz w:val="20"/>
          <w:szCs w:val="20"/>
        </w:rPr>
        <w:t>被动土压力（</w:t>
      </w:r>
      <w:r>
        <w:rPr>
          <w:rFonts w:ascii="Cambria Math" w:hAnsi="Cambria Math"/>
          <w:sz w:val="20"/>
          <w:szCs w:val="20"/>
        </w:rPr>
        <w:t>kPa</w:t>
      </w:r>
      <w:r>
        <w:rPr>
          <w:rFonts w:hint="eastAsia" w:ascii="Cambria Math" w:hAnsi="Cambria Math"/>
          <w:sz w:val="20"/>
          <w:szCs w:val="20"/>
        </w:rPr>
        <w:t>）；</w:t>
      </w:r>
    </w:p>
    <w:p w14:paraId="67852793">
      <w:pPr>
        <w:snapToGrid w:val="0"/>
        <w:spacing w:line="288" w:lineRule="auto"/>
        <w:ind w:firstLine="900" w:firstLineChars="450"/>
        <w:rPr>
          <w:rFonts w:ascii="Cambria Math" w:hAnsi="Cambria Math"/>
          <w:sz w:val="20"/>
          <w:szCs w:val="20"/>
        </w:rPr>
      </w:pPr>
      <m:oMath>
        <m:sSub>
          <m:sSubPr>
            <m:ctrlPr>
              <w:rPr>
                <w:rFonts w:ascii="Cambria Math" w:hAnsi="Cambria Math"/>
                <w:sz w:val="20"/>
                <w:szCs w:val="20"/>
              </w:rPr>
            </m:ctrlPr>
          </m:sSubPr>
          <m:e>
            <m:r>
              <m:rPr>
                <m:sty m:val="p"/>
              </m:rPr>
              <w:rPr>
                <w:rFonts w:ascii="Cambria Math" w:hAnsi="Cambria Math"/>
                <w:sz w:val="20"/>
                <w:szCs w:val="20"/>
              </w:rPr>
              <m:t>K</m:t>
            </m:r>
            <m:ctrlPr>
              <w:rPr>
                <w:rFonts w:ascii="Cambria Math" w:hAnsi="Cambria Math"/>
                <w:sz w:val="20"/>
                <w:szCs w:val="20"/>
              </w:rPr>
            </m:ctrlPr>
          </m:e>
          <m:sub>
            <m:r>
              <m:rPr>
                <m:sty m:val="p"/>
              </m:rPr>
              <w:rPr>
                <w:rFonts w:ascii="Cambria Math" w:hAnsi="Cambria Math"/>
                <w:sz w:val="20"/>
                <w:szCs w:val="20"/>
              </w:rPr>
              <m:t>0</m:t>
            </m:r>
            <m:ctrlPr>
              <w:rPr>
                <w:rFonts w:ascii="Cambria Math" w:hAnsi="Cambria Math"/>
                <w:sz w:val="20"/>
                <w:szCs w:val="20"/>
              </w:rPr>
            </m:ctrlPr>
          </m:sub>
        </m:sSub>
      </m:oMath>
      <w:r>
        <w:rPr>
          <w:rFonts w:ascii="Cambria Math" w:hAnsi="Cambria Math"/>
          <w:sz w:val="20"/>
          <w:szCs w:val="20"/>
        </w:rPr>
        <w:t>—</w:t>
      </w:r>
      <w:r>
        <w:rPr>
          <w:rFonts w:hint="eastAsia" w:ascii="Cambria Math" w:hAnsi="Cambria Math"/>
          <w:sz w:val="20"/>
          <w:szCs w:val="20"/>
        </w:rPr>
        <w:t>静止土压力系数，砂性土取</w:t>
      </w:r>
      <w:r>
        <w:rPr>
          <w:rFonts w:ascii="Cambria Math" w:hAnsi="Cambria Math"/>
          <w:sz w:val="20"/>
          <w:szCs w:val="20"/>
        </w:rPr>
        <w:t>0.25~0.33</w:t>
      </w:r>
      <w:r>
        <w:rPr>
          <w:rFonts w:hint="eastAsia" w:ascii="Cambria Math" w:hAnsi="Cambria Math"/>
          <w:sz w:val="20"/>
          <w:szCs w:val="20"/>
        </w:rPr>
        <w:t>，黏性土取</w:t>
      </w:r>
      <w:r>
        <w:rPr>
          <w:rFonts w:ascii="Cambria Math" w:hAnsi="Cambria Math"/>
          <w:sz w:val="20"/>
          <w:szCs w:val="20"/>
        </w:rPr>
        <w:t>0.33~0.7</w:t>
      </w:r>
      <w:r>
        <w:rPr>
          <w:rFonts w:hint="eastAsia" w:ascii="Cambria Math" w:hAnsi="Cambria Math"/>
          <w:sz w:val="20"/>
          <w:szCs w:val="20"/>
        </w:rPr>
        <w:t>；</w:t>
      </w:r>
    </w:p>
    <w:p w14:paraId="35C4840C">
      <w:pPr>
        <w:snapToGrid w:val="0"/>
        <w:spacing w:line="288" w:lineRule="auto"/>
        <w:ind w:firstLine="900" w:firstLineChars="450"/>
        <w:rPr>
          <w:rFonts w:ascii="Cambria Math" w:hAnsi="Cambria Math"/>
          <w:sz w:val="20"/>
          <w:szCs w:val="20"/>
        </w:rPr>
      </w:pPr>
      <m:oMath>
        <m:sSub>
          <m:sSubPr>
            <m:ctrlPr>
              <w:rPr>
                <w:rFonts w:ascii="Cambria Math" w:hAnsi="Cambria Math"/>
                <w:sz w:val="20"/>
                <w:szCs w:val="20"/>
              </w:rPr>
            </m:ctrlPr>
          </m:sSubPr>
          <m:e>
            <m:r>
              <m:rPr>
                <m:sty m:val="p"/>
              </m:rPr>
              <w:rPr>
                <w:rFonts w:ascii="Cambria Math" w:hAnsi="Cambria Math"/>
                <w:sz w:val="20"/>
                <w:szCs w:val="20"/>
              </w:rPr>
              <m:t>P</m:t>
            </m:r>
            <m:ctrlPr>
              <w:rPr>
                <w:rFonts w:ascii="Cambria Math" w:hAnsi="Cambria Math"/>
                <w:sz w:val="20"/>
                <w:szCs w:val="20"/>
              </w:rPr>
            </m:ctrlPr>
          </m:e>
          <m:sub>
            <m:r>
              <m:rPr>
                <m:sty m:val="p"/>
              </m:rPr>
              <w:rPr>
                <w:rFonts w:ascii="Cambria Math" w:hAnsi="Cambria Math"/>
                <w:sz w:val="20"/>
                <w:szCs w:val="20"/>
              </w:rPr>
              <m:t>0</m:t>
            </m:r>
            <m:ctrlPr>
              <w:rPr>
                <w:rFonts w:ascii="Cambria Math" w:hAnsi="Cambria Math"/>
                <w:sz w:val="20"/>
                <w:szCs w:val="20"/>
              </w:rPr>
            </m:ctrlPr>
          </m:sub>
        </m:sSub>
      </m:oMath>
      <w:r>
        <w:rPr>
          <w:rFonts w:ascii="Cambria Math" w:hAnsi="Cambria Math"/>
          <w:sz w:val="20"/>
          <w:szCs w:val="20"/>
        </w:rPr>
        <w:t>—</w:t>
      </w:r>
      <w:r>
        <w:rPr>
          <w:rFonts w:hint="eastAsia" w:ascii="Cambria Math" w:hAnsi="Cambria Math"/>
          <w:sz w:val="20"/>
          <w:szCs w:val="20"/>
        </w:rPr>
        <w:t>静止土压力（</w:t>
      </w:r>
      <w:r>
        <w:rPr>
          <w:rFonts w:ascii="Cambria Math" w:hAnsi="Cambria Math"/>
          <w:sz w:val="20"/>
          <w:szCs w:val="20"/>
        </w:rPr>
        <w:t>kPa</w:t>
      </w:r>
      <w:r>
        <w:rPr>
          <w:rFonts w:hint="eastAsia" w:ascii="Cambria Math" w:hAnsi="Cambria Math"/>
          <w:sz w:val="20"/>
          <w:szCs w:val="20"/>
        </w:rPr>
        <w:t>）；</w:t>
      </w:r>
    </w:p>
    <w:p w14:paraId="29CF8CB8">
      <w:pPr>
        <w:snapToGrid w:val="0"/>
        <w:spacing w:line="288" w:lineRule="auto"/>
        <w:ind w:firstLine="900" w:firstLineChars="450"/>
        <w:rPr>
          <w:rFonts w:ascii="Cambria Math" w:hAnsi="Cambria Math"/>
          <w:sz w:val="20"/>
          <w:szCs w:val="20"/>
        </w:rPr>
      </w:pPr>
      <m:oMath>
        <m:r>
          <m:rPr>
            <m:sty m:val="p"/>
          </m:rPr>
          <w:rPr>
            <w:rFonts w:ascii="Cambria Math" w:hAnsi="Cambria Math"/>
            <w:sz w:val="20"/>
            <w:szCs w:val="20"/>
          </w:rPr>
          <m:t>γ</m:t>
        </m:r>
      </m:oMath>
      <w:r>
        <w:rPr>
          <w:rFonts w:ascii="Cambria Math" w:hAnsi="Cambria Math"/>
          <w:sz w:val="20"/>
          <w:szCs w:val="20"/>
        </w:rPr>
        <w:t>—</w:t>
      </w:r>
      <w:r>
        <w:rPr>
          <w:rFonts w:hint="eastAsia" w:ascii="Cambria Math" w:hAnsi="Cambria Math"/>
          <w:sz w:val="20"/>
          <w:szCs w:val="20"/>
        </w:rPr>
        <w:t>土的重度（</w:t>
      </w:r>
      <w:r>
        <w:rPr>
          <w:rFonts w:ascii="Cambria Math" w:hAnsi="Cambria Math"/>
          <w:sz w:val="20"/>
          <w:szCs w:val="20"/>
        </w:rPr>
        <w:t>kN/m</w:t>
      </w:r>
      <w:r>
        <w:rPr>
          <w:rFonts w:ascii="Cambria Math" w:hAnsi="Cambria Math"/>
          <w:sz w:val="20"/>
          <w:szCs w:val="20"/>
          <w:vertAlign w:val="superscript"/>
        </w:rPr>
        <w:t>3</w:t>
      </w:r>
      <w:r>
        <w:rPr>
          <w:rFonts w:hint="eastAsia" w:ascii="Cambria Math" w:hAnsi="Cambria Math"/>
          <w:sz w:val="20"/>
          <w:szCs w:val="20"/>
        </w:rPr>
        <w:t>）；</w:t>
      </w:r>
    </w:p>
    <w:p w14:paraId="3D288D96">
      <w:pPr>
        <w:snapToGrid w:val="0"/>
        <w:spacing w:line="288" w:lineRule="auto"/>
        <w:ind w:firstLine="900" w:firstLineChars="450"/>
        <w:rPr>
          <w:rFonts w:ascii="Cambria Math" w:hAnsi="Cambria Math"/>
          <w:sz w:val="20"/>
          <w:szCs w:val="20"/>
        </w:rPr>
      </w:pPr>
      <m:oMath>
        <m:sSub>
          <m:sSubPr>
            <m:ctrlPr>
              <w:rPr>
                <w:rFonts w:ascii="Cambria Math" w:hAnsi="Cambria Math"/>
                <w:sz w:val="20"/>
                <w:szCs w:val="20"/>
              </w:rPr>
            </m:ctrlPr>
          </m:sSubPr>
          <m:e>
            <m:r>
              <m:rPr>
                <m:sty m:val="p"/>
              </m:rPr>
              <w:rPr>
                <w:rFonts w:ascii="Cambria Math" w:hAnsi="Cambria Math"/>
                <w:sz w:val="20"/>
                <w:szCs w:val="20"/>
              </w:rPr>
              <m:t>H</m:t>
            </m:r>
            <m:ctrlPr>
              <w:rPr>
                <w:rFonts w:ascii="Cambria Math" w:hAnsi="Cambria Math"/>
                <w:sz w:val="20"/>
                <w:szCs w:val="20"/>
              </w:rPr>
            </m:ctrlPr>
          </m:e>
          <m:sub>
            <m:r>
              <m:rPr>
                <m:sty m:val="p"/>
              </m:rPr>
              <w:rPr>
                <w:rFonts w:ascii="Cambria Math" w:hAnsi="Cambria Math"/>
                <w:sz w:val="20"/>
                <w:szCs w:val="20"/>
              </w:rPr>
              <m:t>0</m:t>
            </m:r>
            <m:ctrlPr>
              <w:rPr>
                <w:rFonts w:ascii="Cambria Math" w:hAnsi="Cambria Math"/>
                <w:sz w:val="20"/>
                <w:szCs w:val="20"/>
              </w:rPr>
            </m:ctrlPr>
          </m:sub>
        </m:sSub>
      </m:oMath>
      <w:r>
        <w:rPr>
          <w:rFonts w:ascii="Cambria Math" w:hAnsi="Cambria Math"/>
          <w:sz w:val="20"/>
          <w:szCs w:val="20"/>
        </w:rPr>
        <w:t>—</w:t>
      </w:r>
      <w:r>
        <w:rPr>
          <w:rFonts w:hint="eastAsia" w:ascii="Cambria Math" w:hAnsi="Cambria Math"/>
          <w:sz w:val="20"/>
          <w:szCs w:val="20"/>
        </w:rPr>
        <w:t>管顶至原状土地面覆土层厚度（</w:t>
      </w:r>
      <w:r>
        <w:rPr>
          <w:rFonts w:ascii="Cambria Math" w:hAnsi="Cambria Math"/>
          <w:sz w:val="20"/>
          <w:szCs w:val="20"/>
        </w:rPr>
        <w:t>m</w:t>
      </w:r>
      <w:r>
        <w:rPr>
          <w:rFonts w:hint="eastAsia" w:ascii="Cambria Math" w:hAnsi="Cambria Math"/>
          <w:sz w:val="20"/>
          <w:szCs w:val="20"/>
        </w:rPr>
        <w:t>）；</w:t>
      </w:r>
    </w:p>
    <w:p w14:paraId="2F63CD33">
      <w:pPr>
        <w:snapToGrid w:val="0"/>
        <w:spacing w:line="288" w:lineRule="auto"/>
        <w:ind w:firstLine="900" w:firstLineChars="450"/>
        <w:rPr>
          <w:rFonts w:ascii="Cambria Math" w:hAnsi="Cambria Math"/>
          <w:sz w:val="20"/>
          <w:szCs w:val="20"/>
        </w:rPr>
      </w:pPr>
      <m:oMath>
        <m:r>
          <m:rPr>
            <m:sty m:val="p"/>
          </m:rPr>
          <w:rPr>
            <w:rFonts w:ascii="Cambria Math" w:hAnsi="Cambria Math"/>
            <w:sz w:val="20"/>
            <w:szCs w:val="20"/>
          </w:rPr>
          <m:t>φ</m:t>
        </m:r>
      </m:oMath>
      <w:r>
        <w:rPr>
          <w:rFonts w:ascii="Cambria Math" w:hAnsi="Cambria Math"/>
          <w:sz w:val="20"/>
          <w:szCs w:val="20"/>
        </w:rPr>
        <w:t>—</w:t>
      </w:r>
      <w:r>
        <w:rPr>
          <w:rFonts w:hint="eastAsia" w:ascii="Cambria Math" w:hAnsi="Cambria Math"/>
          <w:sz w:val="20"/>
          <w:szCs w:val="20"/>
        </w:rPr>
        <w:t>土的内摩擦角（°）；</w:t>
      </w:r>
    </w:p>
    <w:p w14:paraId="3FF1B5C7">
      <w:pPr>
        <w:snapToGrid w:val="0"/>
        <w:spacing w:line="288" w:lineRule="auto"/>
        <w:ind w:firstLine="900" w:firstLineChars="450"/>
        <w:rPr>
          <w:rFonts w:ascii="Cambria Math" w:hAnsi="Cambria Math"/>
          <w:sz w:val="20"/>
          <w:szCs w:val="20"/>
        </w:rPr>
      </w:pPr>
      <m:oMath>
        <m:r>
          <m:rPr>
            <m:sty m:val="p"/>
          </m:rPr>
          <w:rPr>
            <w:rFonts w:ascii="Cambria Math" w:hAnsi="Cambria Math"/>
            <w:sz w:val="20"/>
            <w:szCs w:val="20"/>
          </w:rPr>
          <m:t>c</m:t>
        </m:r>
      </m:oMath>
      <w:r>
        <w:rPr>
          <w:rFonts w:ascii="Cambria Math" w:hAnsi="Cambria Math"/>
          <w:sz w:val="20"/>
          <w:szCs w:val="20"/>
        </w:rPr>
        <w:t>—</w:t>
      </w:r>
      <w:r>
        <w:rPr>
          <w:rFonts w:hint="eastAsia" w:ascii="Cambria Math" w:hAnsi="Cambria Math"/>
          <w:sz w:val="20"/>
          <w:szCs w:val="20"/>
        </w:rPr>
        <w:t>土的粘聚力（</w:t>
      </w:r>
      <w:r>
        <w:rPr>
          <w:rFonts w:ascii="Cambria Math" w:hAnsi="Cambria Math"/>
          <w:sz w:val="20"/>
          <w:szCs w:val="20"/>
        </w:rPr>
        <w:t>kPa</w:t>
      </w:r>
      <w:r>
        <w:rPr>
          <w:rFonts w:hint="eastAsia" w:ascii="Cambria Math" w:hAnsi="Cambria Math"/>
          <w:sz w:val="20"/>
          <w:szCs w:val="20"/>
        </w:rPr>
        <w:t>）。</w:t>
      </w:r>
    </w:p>
    <w:p w14:paraId="72214B61">
      <w:pPr>
        <w:pStyle w:val="3"/>
        <w:snapToGrid w:val="0"/>
        <w:spacing w:before="240" w:beforeLines="100" w:after="0" w:line="288" w:lineRule="auto"/>
        <w:jc w:val="center"/>
        <w:rPr>
          <w:rFonts w:ascii="Times New Roman" w:hAnsi="Times New Roman"/>
          <w:sz w:val="20"/>
          <w:szCs w:val="21"/>
        </w:rPr>
      </w:pPr>
      <w:bookmarkStart w:id="448" w:name="_Toc188798584"/>
      <w:r>
        <w:rPr>
          <w:rFonts w:ascii="Times New Roman" w:hAnsi="Times New Roman"/>
          <w:sz w:val="20"/>
          <w:szCs w:val="21"/>
        </w:rPr>
        <w:t>5.5  注浆减阻</w:t>
      </w:r>
      <w:bookmarkEnd w:id="448"/>
    </w:p>
    <w:p w14:paraId="7DE3C69F">
      <w:pPr>
        <w:snapToGrid w:val="0"/>
        <w:spacing w:line="288" w:lineRule="auto"/>
        <w:outlineLvl w:val="2"/>
        <w:rPr>
          <w:sz w:val="20"/>
          <w:szCs w:val="20"/>
        </w:rPr>
      </w:pPr>
      <w:r>
        <w:rPr>
          <w:rFonts w:hint="eastAsia" w:hAnsi="Cambria Math"/>
          <w:b/>
          <w:sz w:val="20"/>
          <w:szCs w:val="20"/>
        </w:rPr>
        <w:t>5.5.1</w:t>
      </w:r>
      <w:r>
        <w:rPr>
          <w:rFonts w:hAnsi="Cambria Math"/>
          <w:b/>
          <w:sz w:val="20"/>
          <w:szCs w:val="20"/>
        </w:rPr>
        <w:t xml:space="preserve">  </w:t>
      </w:r>
      <w:r>
        <w:rPr>
          <w:sz w:val="20"/>
          <w:szCs w:val="20"/>
        </w:rPr>
        <w:t xml:space="preserve">1 </w:t>
      </w:r>
      <w:r>
        <w:rPr>
          <w:rFonts w:hint="eastAsia"/>
          <w:sz w:val="20"/>
          <w:szCs w:val="20"/>
        </w:rPr>
        <w:t>随着距离的增加，通道经过不同的土质时，推力上升的很快，通常在管节周围注触变泥浆，形成一定厚度的泥浆套，将管节与地层之间的干摩擦变为湿摩擦，使顶管在泥浆套中向前滑行，达到减阻的目的。</w:t>
      </w:r>
    </w:p>
    <w:p w14:paraId="3D151D7A">
      <w:pPr>
        <w:snapToGrid w:val="0"/>
        <w:spacing w:line="288" w:lineRule="auto"/>
        <w:ind w:firstLine="300" w:firstLineChars="150"/>
        <w:rPr>
          <w:sz w:val="20"/>
          <w:szCs w:val="20"/>
        </w:rPr>
      </w:pPr>
      <w:r>
        <w:rPr>
          <w:sz w:val="20"/>
          <w:szCs w:val="20"/>
        </w:rPr>
        <w:t xml:space="preserve">2 </w:t>
      </w:r>
      <w:r>
        <w:rPr>
          <w:rFonts w:hint="eastAsia"/>
          <w:sz w:val="20"/>
          <w:szCs w:val="20"/>
        </w:rPr>
        <w:t>为使泥浆能及时灌满管壁空隙，灌浆速度要与顶进速度相适应，注意观察防止跑浆和冒浆，并保证泥浆的注浆压力及注浆量。在施工操作上必须“先压浆后顶进、边压浆边顶进、停顶进勤补浆”的办法维持泥浆套的性能。在顶管施工时，结合泥浆水分的渗透损失情况，顶管机后</w:t>
      </w:r>
      <w:r>
        <w:rPr>
          <w:sz w:val="20"/>
          <w:szCs w:val="20"/>
        </w:rPr>
        <w:t>20m</w:t>
      </w:r>
      <w:r>
        <w:rPr>
          <w:rFonts w:hint="eastAsia"/>
          <w:sz w:val="20"/>
          <w:szCs w:val="20"/>
        </w:rPr>
        <w:t>每节管节内连接注浆管并进行浆液补充，之后的管节每</w:t>
      </w:r>
      <w:r>
        <w:rPr>
          <w:sz w:val="20"/>
          <w:szCs w:val="20"/>
        </w:rPr>
        <w:t>3m</w:t>
      </w:r>
      <w:r>
        <w:rPr>
          <w:rFonts w:hint="eastAsia"/>
          <w:sz w:val="20"/>
          <w:szCs w:val="20"/>
        </w:rPr>
        <w:t>连接一道注浆管进行补浆，其他管节的注浆孔在需要时再接上注浆管注浆，另外在管节注浆孔位置设置压力表对触变泥浆压力进行监测，当触变泥浆压力下降时，需及时进行补充。</w:t>
      </w:r>
    </w:p>
    <w:p w14:paraId="536B1CD2">
      <w:pPr>
        <w:snapToGrid w:val="0"/>
        <w:spacing w:line="288" w:lineRule="auto"/>
        <w:outlineLvl w:val="2"/>
        <w:rPr>
          <w:sz w:val="20"/>
          <w:szCs w:val="20"/>
        </w:rPr>
      </w:pPr>
      <w:r>
        <w:rPr>
          <w:rFonts w:hint="eastAsia" w:hAnsi="Cambria Math"/>
          <w:b/>
          <w:bCs/>
          <w:sz w:val="20"/>
          <w:szCs w:val="20"/>
        </w:rPr>
        <w:t>5.5.</w:t>
      </w:r>
      <w:r>
        <w:rPr>
          <w:rFonts w:hAnsi="Cambria Math"/>
          <w:b/>
          <w:bCs/>
          <w:sz w:val="20"/>
          <w:szCs w:val="20"/>
        </w:rPr>
        <w:t>2</w:t>
      </w:r>
      <w:r>
        <w:rPr>
          <w:rFonts w:hint="eastAsia" w:hAnsi="Cambria Math"/>
          <w:b/>
          <w:bCs/>
          <w:sz w:val="20"/>
          <w:szCs w:val="20"/>
        </w:rPr>
        <w:t xml:space="preserve"> </w:t>
      </w:r>
      <w:r>
        <w:rPr>
          <w:rFonts w:hAnsi="Cambria Math"/>
          <w:b/>
          <w:bCs/>
          <w:sz w:val="20"/>
          <w:szCs w:val="20"/>
        </w:rPr>
        <w:t xml:space="preserve"> </w:t>
      </w:r>
      <w:r>
        <w:rPr>
          <w:rFonts w:hint="eastAsia"/>
          <w:sz w:val="20"/>
          <w:szCs w:val="20"/>
        </w:rPr>
        <w:t>触变泥浆主要材料为膨润土、水、纯碱</w:t>
      </w:r>
      <w:r>
        <w:rPr>
          <w:sz w:val="20"/>
          <w:szCs w:val="20"/>
        </w:rPr>
        <w:t>Na</w:t>
      </w:r>
      <w:r>
        <w:rPr>
          <w:sz w:val="20"/>
          <w:szCs w:val="20"/>
          <w:vertAlign w:val="subscript"/>
        </w:rPr>
        <w:t>2</w:t>
      </w:r>
      <w:r>
        <w:rPr>
          <w:sz w:val="20"/>
          <w:szCs w:val="20"/>
        </w:rPr>
        <w:t>CO</w:t>
      </w:r>
      <w:r>
        <w:rPr>
          <w:sz w:val="20"/>
          <w:szCs w:val="20"/>
          <w:vertAlign w:val="subscript"/>
        </w:rPr>
        <w:t>3</w:t>
      </w:r>
      <w:r>
        <w:rPr>
          <w:rFonts w:hint="eastAsia"/>
          <w:sz w:val="20"/>
          <w:szCs w:val="20"/>
        </w:rPr>
        <w:t>和</w:t>
      </w:r>
      <w:r>
        <w:rPr>
          <w:sz w:val="20"/>
          <w:szCs w:val="20"/>
        </w:rPr>
        <w:t>CMC</w:t>
      </w:r>
      <w:r>
        <w:rPr>
          <w:rFonts w:hint="eastAsia"/>
          <w:sz w:val="20"/>
          <w:szCs w:val="20"/>
        </w:rPr>
        <w:t>，在管道外壁压注触变泥浆，在管节四周形成一圈稳定的泥浆套，施工期间泥浆保持不失水、不沉淀、不固结；每节管节设置触变泥浆管，压浆时可根据实际需要调整压泥浆管的间距；触变泥浆充分搅拌水化，泥浆搅拌完成后宜放置</w:t>
      </w:r>
      <w:r>
        <w:rPr>
          <w:sz w:val="20"/>
          <w:szCs w:val="20"/>
        </w:rPr>
        <w:t>24h</w:t>
      </w:r>
      <w:r>
        <w:rPr>
          <w:rFonts w:hint="eastAsia"/>
          <w:sz w:val="20"/>
          <w:szCs w:val="20"/>
        </w:rPr>
        <w:t>，膨润土泥浆膨化</w:t>
      </w:r>
      <w:r>
        <w:rPr>
          <w:sz w:val="20"/>
          <w:szCs w:val="20"/>
        </w:rPr>
        <w:t>24h</w:t>
      </w:r>
      <w:r>
        <w:rPr>
          <w:rFonts w:hint="eastAsia"/>
          <w:sz w:val="20"/>
          <w:szCs w:val="20"/>
        </w:rPr>
        <w:t>；</w:t>
      </w:r>
      <w:r>
        <w:rPr>
          <w:sz w:val="20"/>
          <w:szCs w:val="20"/>
        </w:rPr>
        <w:t xml:space="preserve">4 </w:t>
      </w:r>
      <w:r>
        <w:rPr>
          <w:rFonts w:hint="eastAsia"/>
          <w:sz w:val="20"/>
          <w:szCs w:val="20"/>
        </w:rPr>
        <w:t>膨润土的储藏及浆液配制、搅拌、水化时间按照产品的性能要求进行，使用前先进行试验。</w:t>
      </w:r>
    </w:p>
    <w:p w14:paraId="020479B2">
      <w:pPr>
        <w:snapToGrid w:val="0"/>
        <w:spacing w:line="288" w:lineRule="auto"/>
        <w:outlineLvl w:val="2"/>
        <w:rPr>
          <w:sz w:val="20"/>
          <w:szCs w:val="20"/>
        </w:rPr>
      </w:pPr>
      <w:r>
        <w:rPr>
          <w:rFonts w:hint="eastAsia" w:hAnsi="Cambria Math"/>
          <w:b/>
          <w:bCs/>
          <w:sz w:val="20"/>
          <w:szCs w:val="20"/>
        </w:rPr>
        <w:t>5.5.</w:t>
      </w:r>
      <w:r>
        <w:rPr>
          <w:rFonts w:hAnsi="Cambria Math"/>
          <w:b/>
          <w:bCs/>
          <w:sz w:val="20"/>
          <w:szCs w:val="20"/>
        </w:rPr>
        <w:t>4</w:t>
      </w:r>
      <w:r>
        <w:rPr>
          <w:rFonts w:hint="eastAsia" w:hAnsi="Cambria Math"/>
          <w:b/>
          <w:bCs/>
          <w:sz w:val="20"/>
          <w:szCs w:val="20"/>
        </w:rPr>
        <w:t xml:space="preserve">  </w:t>
      </w:r>
      <w:r>
        <w:rPr>
          <w:rFonts w:hint="eastAsia"/>
          <w:sz w:val="20"/>
          <w:szCs w:val="20"/>
        </w:rPr>
        <w:t>采用重力式减阻注浆技术，在工作井地面设置一定高度的储浆罐，储浆罐的液面高度由计算而得，减阻注浆的管路连接到储浆罐，注浆压力由储浆罐液面决定，压力值相对恒定并不受停电、注浆泵故障的影响，管节外的泥浆套保持完整和持续稳定的充盈状态。随着顶管距离增加，根据顶管过程中顶力数据实时监测、注浆压力表、流量表以及工程地下水条件等来动态调整用浆量及配合比，要求顶管过程中使用的泥浆无离析水，以达到最优触变泥浆配合比及最小摩阻力的目的。</w:t>
      </w:r>
    </w:p>
    <w:p w14:paraId="11A913EC">
      <w:pPr>
        <w:snapToGrid w:val="0"/>
        <w:spacing w:line="288" w:lineRule="auto"/>
        <w:ind w:firstLine="300" w:firstLineChars="150"/>
        <w:rPr>
          <w:sz w:val="20"/>
          <w:szCs w:val="20"/>
        </w:rPr>
      </w:pPr>
      <w:r>
        <w:rPr>
          <w:rFonts w:hint="eastAsia"/>
          <w:sz w:val="20"/>
          <w:szCs w:val="20"/>
        </w:rPr>
        <w:t>注浆压力控制在主动土压力和被动土压力之间，且注浆管出口压力是地下水压力的</w:t>
      </w:r>
      <w:r>
        <w:rPr>
          <w:sz w:val="20"/>
          <w:szCs w:val="20"/>
        </w:rPr>
        <w:t>1.1</w:t>
      </w:r>
      <w:r>
        <w:rPr>
          <w:rFonts w:hint="eastAsia"/>
          <w:sz w:val="20"/>
          <w:szCs w:val="20"/>
        </w:rPr>
        <w:t>倍～</w:t>
      </w:r>
      <w:r>
        <w:rPr>
          <w:sz w:val="20"/>
          <w:szCs w:val="20"/>
        </w:rPr>
        <w:t>1.2</w:t>
      </w:r>
      <w:r>
        <w:rPr>
          <w:rFonts w:hint="eastAsia"/>
          <w:sz w:val="20"/>
          <w:szCs w:val="20"/>
        </w:rPr>
        <w:t>倍。</w:t>
      </w:r>
    </w:p>
    <w:p w14:paraId="7B301C3E">
      <w:pPr>
        <w:snapToGrid w:val="0"/>
        <w:spacing w:line="288" w:lineRule="auto"/>
        <w:ind w:firstLine="300" w:firstLineChars="150"/>
        <w:rPr>
          <w:sz w:val="20"/>
          <w:szCs w:val="20"/>
        </w:rPr>
      </w:pPr>
      <w:r>
        <w:rPr>
          <w:rFonts w:hint="eastAsia"/>
          <w:sz w:val="20"/>
          <w:szCs w:val="20"/>
        </w:rPr>
        <w:t>触变泥浆实际注浆量，对于粘性土和粉土为理论注浆量的</w:t>
      </w:r>
      <w:r>
        <w:rPr>
          <w:sz w:val="20"/>
          <w:szCs w:val="20"/>
        </w:rPr>
        <w:t xml:space="preserve"> 1.5</w:t>
      </w:r>
      <w:r>
        <w:rPr>
          <w:rFonts w:hint="eastAsia"/>
          <w:sz w:val="20"/>
          <w:szCs w:val="20"/>
        </w:rPr>
        <w:t>～</w:t>
      </w:r>
      <w:r>
        <w:rPr>
          <w:sz w:val="20"/>
          <w:szCs w:val="20"/>
        </w:rPr>
        <w:t>3</w:t>
      </w:r>
      <w:r>
        <w:rPr>
          <w:rFonts w:hint="eastAsia"/>
          <w:sz w:val="20"/>
          <w:szCs w:val="20"/>
        </w:rPr>
        <w:t>倍，对于粉细砂、中粗砂、卵砾石等渗透系数较大的地层大于理论压浆量的</w:t>
      </w:r>
      <w:r>
        <w:rPr>
          <w:sz w:val="20"/>
          <w:szCs w:val="20"/>
        </w:rPr>
        <w:t xml:space="preserve"> 3 </w:t>
      </w:r>
      <w:r>
        <w:rPr>
          <w:rFonts w:hint="eastAsia"/>
          <w:sz w:val="20"/>
          <w:szCs w:val="20"/>
        </w:rPr>
        <w:t>倍以上。</w:t>
      </w:r>
    </w:p>
    <w:p w14:paraId="4D014889">
      <w:pPr>
        <w:pStyle w:val="3"/>
        <w:snapToGrid w:val="0"/>
        <w:spacing w:before="240" w:beforeLines="100" w:after="0" w:line="288" w:lineRule="auto"/>
        <w:jc w:val="center"/>
        <w:rPr>
          <w:rFonts w:ascii="Times New Roman" w:hAnsi="Times New Roman"/>
          <w:sz w:val="20"/>
          <w:szCs w:val="21"/>
        </w:rPr>
      </w:pPr>
      <w:bookmarkStart w:id="449" w:name="_Toc188798585"/>
      <w:r>
        <w:rPr>
          <w:rFonts w:ascii="Times New Roman" w:hAnsi="Times New Roman"/>
          <w:sz w:val="20"/>
          <w:szCs w:val="21"/>
        </w:rPr>
        <w:t xml:space="preserve">5.6 </w:t>
      </w:r>
      <w:r>
        <w:rPr>
          <w:rFonts w:hint="eastAsia" w:ascii="Times New Roman" w:hAnsi="Times New Roman"/>
          <w:sz w:val="20"/>
          <w:szCs w:val="21"/>
        </w:rPr>
        <w:t xml:space="preserve"> </w:t>
      </w:r>
      <w:r>
        <w:rPr>
          <w:rFonts w:ascii="Times New Roman" w:hAnsi="Times New Roman"/>
          <w:sz w:val="20"/>
          <w:szCs w:val="21"/>
        </w:rPr>
        <w:t>浓泥注入</w:t>
      </w:r>
      <w:bookmarkEnd w:id="449"/>
    </w:p>
    <w:p w14:paraId="16A6CC74">
      <w:pPr>
        <w:snapToGrid w:val="0"/>
        <w:spacing w:line="288" w:lineRule="auto"/>
        <w:outlineLvl w:val="2"/>
        <w:rPr>
          <w:rFonts w:hAnsi="Cambria Math"/>
          <w:bCs/>
          <w:sz w:val="20"/>
          <w:szCs w:val="20"/>
        </w:rPr>
      </w:pPr>
      <w:r>
        <w:rPr>
          <w:rFonts w:hint="eastAsia" w:hAnsi="Cambria Math"/>
          <w:b/>
          <w:sz w:val="20"/>
          <w:szCs w:val="20"/>
        </w:rPr>
        <w:t xml:space="preserve">5.6.1  </w:t>
      </w:r>
      <w:r>
        <w:rPr>
          <w:rFonts w:hint="eastAsia"/>
          <w:sz w:val="20"/>
          <w:szCs w:val="20"/>
        </w:rPr>
        <w:t>根据矩形顶管在北京市轨道交通工程中的应用，一般矩形顶管施工都会穿越一些现况道路、管线及建（构）筑物等，变形控制要求高，通过浓泥</w:t>
      </w:r>
      <w:r>
        <w:rPr>
          <w:sz w:val="20"/>
          <w:szCs w:val="20"/>
        </w:rPr>
        <w:t>注入</w:t>
      </w:r>
      <w:r>
        <w:rPr>
          <w:rFonts w:hint="eastAsia"/>
          <w:sz w:val="20"/>
          <w:szCs w:val="20"/>
        </w:rPr>
        <w:t>抬升管壁外地层，可达到平抑沉降的目的。根据北京地铁昌平线南延和</w:t>
      </w:r>
      <w:r>
        <w:rPr>
          <w:sz w:val="20"/>
          <w:szCs w:val="20"/>
        </w:rPr>
        <w:t>17</w:t>
      </w:r>
      <w:r>
        <w:rPr>
          <w:rFonts w:hint="eastAsia"/>
          <w:sz w:val="20"/>
          <w:szCs w:val="20"/>
        </w:rPr>
        <w:t>号线工程实践，浓泥可从结构内随时压注，不会影响顶管正常顶进，沉降</w:t>
      </w:r>
      <w:r>
        <w:rPr>
          <w:sz w:val="20"/>
          <w:szCs w:val="20"/>
        </w:rPr>
        <w:t>控制</w:t>
      </w:r>
      <w:r>
        <w:rPr>
          <w:rFonts w:hint="eastAsia"/>
          <w:sz w:val="20"/>
          <w:szCs w:val="20"/>
        </w:rPr>
        <w:t>见效较快，且持续时间长，不会因膨润土失水而干缩失去效用。另外</w:t>
      </w:r>
      <w:r>
        <w:rPr>
          <w:sz w:val="20"/>
          <w:szCs w:val="20"/>
        </w:rPr>
        <w:t>，</w:t>
      </w:r>
      <w:r>
        <w:rPr>
          <w:rFonts w:hint="eastAsia"/>
          <w:sz w:val="20"/>
          <w:szCs w:val="20"/>
        </w:rPr>
        <w:t>浓泥注入的</w:t>
      </w:r>
      <w:r>
        <w:rPr>
          <w:sz w:val="20"/>
          <w:szCs w:val="20"/>
        </w:rPr>
        <w:t>另一个</w:t>
      </w:r>
      <w:r>
        <w:rPr>
          <w:rFonts w:hint="eastAsia"/>
          <w:sz w:val="20"/>
          <w:szCs w:val="20"/>
        </w:rPr>
        <w:t>作用可以对顶管机姿态进行精确</w:t>
      </w:r>
      <w:r>
        <w:rPr>
          <w:sz w:val="20"/>
          <w:szCs w:val="20"/>
        </w:rPr>
        <w:t>调整</w:t>
      </w:r>
      <w:r>
        <w:rPr>
          <w:rFonts w:hint="eastAsia"/>
          <w:sz w:val="20"/>
          <w:szCs w:val="20"/>
        </w:rPr>
        <w:t>。</w:t>
      </w:r>
    </w:p>
    <w:p w14:paraId="62E1DB32">
      <w:pPr>
        <w:snapToGrid w:val="0"/>
        <w:spacing w:line="288" w:lineRule="auto"/>
        <w:outlineLvl w:val="2"/>
        <w:rPr>
          <w:rFonts w:hAnsi="Cambria Math"/>
          <w:bCs/>
          <w:sz w:val="20"/>
          <w:szCs w:val="20"/>
        </w:rPr>
      </w:pPr>
      <w:r>
        <w:rPr>
          <w:rFonts w:hint="eastAsia" w:hAnsi="Cambria Math"/>
          <w:b/>
          <w:sz w:val="20"/>
          <w:szCs w:val="20"/>
        </w:rPr>
        <w:t>5.6.</w:t>
      </w:r>
      <w:r>
        <w:rPr>
          <w:rFonts w:hAnsi="Cambria Math"/>
          <w:b/>
          <w:sz w:val="20"/>
          <w:szCs w:val="20"/>
        </w:rPr>
        <w:t>3</w:t>
      </w:r>
      <w:r>
        <w:rPr>
          <w:rFonts w:hAnsi="Cambria Math"/>
          <w:bCs/>
          <w:sz w:val="20"/>
          <w:szCs w:val="20"/>
        </w:rPr>
        <w:t xml:space="preserve"> </w:t>
      </w:r>
      <w:r>
        <w:rPr>
          <w:rFonts w:hint="eastAsia" w:hAnsi="Cambria Math"/>
          <w:b/>
          <w:bCs/>
          <w:sz w:val="20"/>
          <w:szCs w:val="20"/>
        </w:rPr>
        <w:t xml:space="preserve"> </w:t>
      </w:r>
      <w:r>
        <w:rPr>
          <w:rFonts w:hint="eastAsia"/>
          <w:sz w:val="20"/>
          <w:szCs w:val="20"/>
        </w:rPr>
        <w:t>主要针对沉降较大的部位进行浓泥注入，采用注泥泵将浓泥通过预留的注浆孔挤入管壁外侧，并采取分阶段、分批次、勤注、少注的方式，主动充填管壁外空隙，起到抬升地面的作用，平抑地面沉降曲线的峰谷，同时为避免压注浓泥量及压力过大而导致地层隆起，浓泥压注配合动态监测进行。</w:t>
      </w:r>
    </w:p>
    <w:p w14:paraId="746B23F6">
      <w:pPr>
        <w:snapToGrid w:val="0"/>
        <w:spacing w:line="288" w:lineRule="auto"/>
        <w:outlineLvl w:val="2"/>
        <w:rPr>
          <w:rFonts w:hAnsi="Cambria Math"/>
          <w:bCs/>
          <w:sz w:val="20"/>
          <w:szCs w:val="20"/>
        </w:rPr>
      </w:pPr>
      <w:r>
        <w:rPr>
          <w:rFonts w:hint="eastAsia" w:hAnsi="Cambria Math"/>
          <w:b/>
          <w:sz w:val="20"/>
          <w:szCs w:val="20"/>
        </w:rPr>
        <w:t>5.6.</w:t>
      </w:r>
      <w:r>
        <w:rPr>
          <w:rFonts w:hAnsi="Cambria Math"/>
          <w:b/>
          <w:sz w:val="20"/>
          <w:szCs w:val="20"/>
        </w:rPr>
        <w:t>4</w:t>
      </w:r>
      <w:r>
        <w:rPr>
          <w:rFonts w:hint="eastAsia" w:hAnsi="Cambria Math"/>
          <w:bCs/>
          <w:sz w:val="20"/>
          <w:szCs w:val="20"/>
        </w:rPr>
        <w:t xml:space="preserve"> </w:t>
      </w:r>
      <w:r>
        <w:rPr>
          <w:rFonts w:hAnsi="Cambria Math"/>
          <w:bCs/>
          <w:sz w:val="20"/>
          <w:szCs w:val="20"/>
        </w:rPr>
        <w:t xml:space="preserve"> </w:t>
      </w:r>
      <w:r>
        <w:rPr>
          <w:rFonts w:hint="eastAsia"/>
          <w:sz w:val="20"/>
          <w:szCs w:val="20"/>
        </w:rPr>
        <w:t>浓泥注入压力值应配合动态监测确定</w:t>
      </w:r>
      <w:r>
        <w:rPr>
          <w:rFonts w:hint="eastAsia" w:hAnsi="Cambria Math"/>
          <w:sz w:val="20"/>
          <w:szCs w:val="20"/>
        </w:rPr>
        <w:t>，不宜低于0.8MPa。</w:t>
      </w:r>
      <w:r>
        <w:rPr>
          <w:rFonts w:hint="eastAsia"/>
          <w:sz w:val="20"/>
          <w:szCs w:val="20"/>
        </w:rPr>
        <w:t>实际施工中，根据土质情况以及土壤含水率的大小来决定注浆时间及注浆压力。</w:t>
      </w:r>
    </w:p>
    <w:p w14:paraId="1BF6EAF3">
      <w:pPr>
        <w:snapToGrid w:val="0"/>
        <w:spacing w:line="288" w:lineRule="auto"/>
        <w:outlineLvl w:val="2"/>
        <w:rPr>
          <w:sz w:val="20"/>
          <w:szCs w:val="20"/>
        </w:rPr>
      </w:pPr>
      <w:r>
        <w:rPr>
          <w:rFonts w:hint="eastAsia"/>
          <w:b/>
          <w:sz w:val="20"/>
          <w:szCs w:val="20"/>
        </w:rPr>
        <w:t>5.</w:t>
      </w:r>
      <w:r>
        <w:rPr>
          <w:b/>
          <w:sz w:val="20"/>
          <w:szCs w:val="20"/>
        </w:rPr>
        <w:t>6</w:t>
      </w:r>
      <w:r>
        <w:rPr>
          <w:rFonts w:hint="eastAsia"/>
          <w:b/>
          <w:sz w:val="20"/>
          <w:szCs w:val="20"/>
        </w:rPr>
        <w:t>.</w:t>
      </w:r>
      <w:r>
        <w:rPr>
          <w:b/>
          <w:sz w:val="20"/>
          <w:szCs w:val="20"/>
        </w:rPr>
        <w:t>6</w:t>
      </w:r>
      <w:r>
        <w:rPr>
          <w:sz w:val="20"/>
          <w:szCs w:val="20"/>
        </w:rPr>
        <w:t xml:space="preserve">  </w:t>
      </w:r>
      <w:r>
        <w:rPr>
          <w:rFonts w:hint="eastAsia"/>
          <w:sz w:val="20"/>
          <w:szCs w:val="20"/>
        </w:rPr>
        <w:t>浓泥采用搅拌机拌制，所有材料放入搅拌桶后使浓泥搅拌充分、均匀，根据北京市搅拌时间</w:t>
      </w:r>
      <w:r>
        <w:rPr>
          <w:sz w:val="20"/>
          <w:szCs w:val="20"/>
        </w:rPr>
        <w:t>2min</w:t>
      </w:r>
      <w:r>
        <w:rPr>
          <w:rFonts w:hint="eastAsia"/>
          <w:sz w:val="20"/>
          <w:szCs w:val="20"/>
        </w:rPr>
        <w:t>左右。</w:t>
      </w:r>
    </w:p>
    <w:p w14:paraId="320DDD52">
      <w:pPr>
        <w:pStyle w:val="3"/>
        <w:snapToGrid w:val="0"/>
        <w:spacing w:before="240" w:beforeLines="100" w:after="0" w:line="288" w:lineRule="auto"/>
        <w:jc w:val="center"/>
        <w:rPr>
          <w:rFonts w:ascii="Times New Roman" w:hAnsi="Times New Roman"/>
          <w:sz w:val="20"/>
          <w:szCs w:val="21"/>
        </w:rPr>
      </w:pPr>
      <w:bookmarkStart w:id="450" w:name="_Toc188798586"/>
      <w:r>
        <w:rPr>
          <w:rFonts w:ascii="Times New Roman" w:hAnsi="Times New Roman"/>
          <w:sz w:val="20"/>
          <w:szCs w:val="21"/>
        </w:rPr>
        <w:t>5.</w:t>
      </w:r>
      <w:r>
        <w:rPr>
          <w:rFonts w:hint="eastAsia" w:ascii="Times New Roman" w:hAnsi="Times New Roman"/>
          <w:sz w:val="20"/>
          <w:szCs w:val="21"/>
        </w:rPr>
        <w:t>7</w:t>
      </w:r>
      <w:r>
        <w:rPr>
          <w:rFonts w:ascii="Times New Roman" w:hAnsi="Times New Roman"/>
          <w:sz w:val="20"/>
          <w:szCs w:val="21"/>
        </w:rPr>
        <w:t xml:space="preserve"> </w:t>
      </w:r>
      <w:r>
        <w:rPr>
          <w:rFonts w:hint="eastAsia" w:ascii="Times New Roman" w:hAnsi="Times New Roman"/>
          <w:sz w:val="20"/>
          <w:szCs w:val="21"/>
        </w:rPr>
        <w:t xml:space="preserve"> </w:t>
      </w:r>
      <w:r>
        <w:rPr>
          <w:rFonts w:ascii="Times New Roman" w:hAnsi="Times New Roman"/>
          <w:sz w:val="20"/>
          <w:szCs w:val="21"/>
        </w:rPr>
        <w:t>纠</w:t>
      </w:r>
      <w:r>
        <w:rPr>
          <w:rFonts w:hint="eastAsia" w:ascii="Times New Roman" w:hAnsi="Times New Roman"/>
          <w:sz w:val="20"/>
          <w:szCs w:val="21"/>
        </w:rPr>
        <w:t xml:space="preserve"> </w:t>
      </w:r>
      <w:r>
        <w:rPr>
          <w:rFonts w:ascii="Times New Roman" w:hAnsi="Times New Roman"/>
          <w:sz w:val="20"/>
          <w:szCs w:val="21"/>
        </w:rPr>
        <w:t xml:space="preserve"> 偏</w:t>
      </w:r>
      <w:bookmarkEnd w:id="450"/>
    </w:p>
    <w:p w14:paraId="657AE7B5">
      <w:pPr>
        <w:snapToGrid w:val="0"/>
        <w:spacing w:line="288" w:lineRule="auto"/>
        <w:outlineLvl w:val="2"/>
        <w:rPr>
          <w:sz w:val="20"/>
          <w:szCs w:val="20"/>
        </w:rPr>
      </w:pPr>
      <w:r>
        <w:rPr>
          <w:b/>
          <w:sz w:val="20"/>
          <w:szCs w:val="20"/>
        </w:rPr>
        <w:t xml:space="preserve">5.7.1 </w:t>
      </w:r>
      <w:r>
        <w:rPr>
          <w:rFonts w:hint="eastAsia"/>
          <w:sz w:val="20"/>
          <w:szCs w:val="20"/>
        </w:rPr>
        <w:t>矩形顶管顶进过程中，应遵循“勤测量、勤纠偏、微纠偏”的原则，控制矩形顶管机前进方向和姿态，并应根据测量结果分析偏差产生的原因和发展趋势，确定纠偏措施。顶进施工过程中对顶管水平轴线、高程、偏转、顶管机姿态等进行测量，并预测顶管发展趋势，发生偏差时立即纠正或制定纠偏措施，可采取调整铰接油缸的行程差、机壳外侧压注浓泥的方式进行矩形顶管机姿态纠偏。</w:t>
      </w:r>
    </w:p>
    <w:p w14:paraId="7A113CDB">
      <w:pPr>
        <w:pStyle w:val="3"/>
        <w:snapToGrid w:val="0"/>
        <w:spacing w:before="240" w:beforeLines="100" w:after="0" w:line="288" w:lineRule="auto"/>
        <w:jc w:val="center"/>
        <w:rPr>
          <w:rFonts w:ascii="Times New Roman" w:hAnsi="Times New Roman"/>
          <w:sz w:val="20"/>
          <w:szCs w:val="21"/>
        </w:rPr>
      </w:pPr>
      <w:bookmarkStart w:id="451" w:name="_Toc188798587"/>
      <w:r>
        <w:rPr>
          <w:rFonts w:ascii="Times New Roman" w:hAnsi="Times New Roman"/>
          <w:sz w:val="20"/>
          <w:szCs w:val="21"/>
        </w:rPr>
        <w:t>5.</w:t>
      </w:r>
      <w:r>
        <w:rPr>
          <w:rFonts w:hint="eastAsia" w:ascii="Times New Roman" w:hAnsi="Times New Roman"/>
          <w:sz w:val="20"/>
          <w:szCs w:val="21"/>
        </w:rPr>
        <w:t>8</w:t>
      </w:r>
      <w:r>
        <w:rPr>
          <w:rFonts w:ascii="Times New Roman" w:hAnsi="Times New Roman"/>
          <w:sz w:val="20"/>
          <w:szCs w:val="21"/>
        </w:rPr>
        <w:t xml:space="preserve">  </w:t>
      </w:r>
      <w:r>
        <w:rPr>
          <w:rFonts w:hint="eastAsia" w:ascii="Times New Roman" w:hAnsi="Times New Roman"/>
          <w:sz w:val="20"/>
          <w:szCs w:val="21"/>
        </w:rPr>
        <w:t>渣土</w:t>
      </w:r>
      <w:r>
        <w:rPr>
          <w:rFonts w:ascii="Times New Roman" w:hAnsi="Times New Roman"/>
          <w:sz w:val="20"/>
          <w:szCs w:val="21"/>
        </w:rPr>
        <w:t>改良</w:t>
      </w:r>
      <w:bookmarkEnd w:id="451"/>
    </w:p>
    <w:p w14:paraId="3EC09C3C">
      <w:pPr>
        <w:snapToGrid w:val="0"/>
        <w:spacing w:line="288" w:lineRule="auto"/>
        <w:outlineLvl w:val="2"/>
        <w:rPr>
          <w:sz w:val="20"/>
          <w:szCs w:val="20"/>
        </w:rPr>
      </w:pPr>
      <w:r>
        <w:rPr>
          <w:rFonts w:hint="eastAsia" w:hAnsi="Cambria Math"/>
          <w:b/>
          <w:bCs/>
          <w:sz w:val="20"/>
          <w:szCs w:val="20"/>
        </w:rPr>
        <w:t>5.</w:t>
      </w:r>
      <w:r>
        <w:rPr>
          <w:rFonts w:hAnsi="Cambria Math"/>
          <w:b/>
          <w:bCs/>
          <w:sz w:val="20"/>
          <w:szCs w:val="20"/>
        </w:rPr>
        <w:t>8</w:t>
      </w:r>
      <w:r>
        <w:rPr>
          <w:rFonts w:hint="eastAsia" w:hAnsi="Cambria Math"/>
          <w:b/>
          <w:bCs/>
          <w:sz w:val="20"/>
          <w:szCs w:val="20"/>
        </w:rPr>
        <w:t xml:space="preserve">.1  </w:t>
      </w:r>
      <w:r>
        <w:rPr>
          <w:rFonts w:hint="eastAsia"/>
          <w:sz w:val="20"/>
          <w:szCs w:val="20"/>
        </w:rPr>
        <w:t>渣土改良应通过注浆孔向刀盘前方及土仓内注入添加剂</w:t>
      </w:r>
      <w:r>
        <w:rPr>
          <w:rFonts w:hint="eastAsia" w:hAnsi="Cambria Math"/>
          <w:bCs/>
          <w:sz w:val="20"/>
          <w:szCs w:val="20"/>
        </w:rPr>
        <w:t>，应根据不同的地层确定添加剂种类及注入量。</w:t>
      </w:r>
      <w:r>
        <w:rPr>
          <w:rFonts w:hint="eastAsia"/>
          <w:sz w:val="20"/>
          <w:szCs w:val="20"/>
        </w:rPr>
        <w:t>大量施工经验得出，粘土地层使用泡沫或水就能达到较好的改良效果，泡沫的注入比宜控制在渣土体积的</w:t>
      </w:r>
      <w:r>
        <w:rPr>
          <w:sz w:val="20"/>
          <w:szCs w:val="20"/>
        </w:rPr>
        <w:t>30%</w:t>
      </w:r>
      <w:r>
        <w:rPr>
          <w:rFonts w:hint="eastAsia"/>
          <w:sz w:val="20"/>
          <w:szCs w:val="20"/>
        </w:rPr>
        <w:t>～</w:t>
      </w:r>
      <w:r>
        <w:rPr>
          <w:sz w:val="20"/>
          <w:szCs w:val="20"/>
        </w:rPr>
        <w:t>50%</w:t>
      </w:r>
      <w:r>
        <w:rPr>
          <w:rFonts w:hint="eastAsia"/>
          <w:sz w:val="20"/>
          <w:szCs w:val="20"/>
        </w:rPr>
        <w:t>之间，当为中粗砂、卵石地层时需使用泡沫和膨润土泥浆符合添加剂能达到较好的改良效果，泡沫的注入比宜控制在渣土体积的</w:t>
      </w:r>
      <w:r>
        <w:rPr>
          <w:sz w:val="20"/>
          <w:szCs w:val="20"/>
        </w:rPr>
        <w:t>30%</w:t>
      </w:r>
      <w:r>
        <w:rPr>
          <w:rFonts w:hint="eastAsia"/>
          <w:sz w:val="20"/>
          <w:szCs w:val="20"/>
        </w:rPr>
        <w:t>～</w:t>
      </w:r>
      <w:r>
        <w:rPr>
          <w:sz w:val="20"/>
          <w:szCs w:val="20"/>
        </w:rPr>
        <w:t>50%</w:t>
      </w:r>
      <w:r>
        <w:rPr>
          <w:rFonts w:hint="eastAsia"/>
          <w:sz w:val="20"/>
          <w:szCs w:val="20"/>
        </w:rPr>
        <w:t>之间，膨润土泥浆的注入量宜控制在渣土体积的</w:t>
      </w:r>
      <w:r>
        <w:rPr>
          <w:sz w:val="20"/>
          <w:szCs w:val="20"/>
        </w:rPr>
        <w:t>15%</w:t>
      </w:r>
      <w:r>
        <w:rPr>
          <w:rFonts w:hint="eastAsia"/>
          <w:sz w:val="20"/>
          <w:szCs w:val="20"/>
        </w:rPr>
        <w:t>～</w:t>
      </w:r>
      <w:r>
        <w:rPr>
          <w:sz w:val="20"/>
          <w:szCs w:val="20"/>
        </w:rPr>
        <w:t>30%</w:t>
      </w:r>
      <w:r>
        <w:rPr>
          <w:rFonts w:hint="eastAsia"/>
          <w:sz w:val="20"/>
          <w:szCs w:val="20"/>
        </w:rPr>
        <w:t>之间，同时根据土层变化随时调整添加剂的配比和注入量，同时通过大小刀盘的不同旋转方向进行土仓内渣土改良。为保证渣土改良效果，需先进行渣土改良试验，根据渣土改良尝试及效果分析，确定改良剂的材料、配比及注入量。</w:t>
      </w:r>
    </w:p>
    <w:p w14:paraId="5ACE570E">
      <w:pPr>
        <w:pStyle w:val="3"/>
        <w:snapToGrid w:val="0"/>
        <w:spacing w:before="240" w:beforeLines="100" w:after="0" w:line="288" w:lineRule="auto"/>
        <w:jc w:val="center"/>
        <w:rPr>
          <w:rFonts w:ascii="Times New Roman" w:hAnsi="Times New Roman"/>
          <w:sz w:val="20"/>
          <w:szCs w:val="21"/>
        </w:rPr>
      </w:pPr>
      <w:bookmarkStart w:id="452" w:name="_Toc188798588"/>
      <w:r>
        <w:rPr>
          <w:rFonts w:ascii="Times New Roman" w:hAnsi="Times New Roman"/>
          <w:sz w:val="20"/>
          <w:szCs w:val="21"/>
        </w:rPr>
        <w:t>5.</w:t>
      </w:r>
      <w:r>
        <w:rPr>
          <w:rFonts w:hint="eastAsia" w:ascii="Times New Roman" w:hAnsi="Times New Roman"/>
          <w:sz w:val="20"/>
          <w:szCs w:val="21"/>
        </w:rPr>
        <w:t>9</w:t>
      </w:r>
      <w:r>
        <w:rPr>
          <w:rFonts w:ascii="Times New Roman" w:hAnsi="Times New Roman"/>
          <w:sz w:val="20"/>
          <w:szCs w:val="21"/>
        </w:rPr>
        <w:t xml:space="preserve">  泥浆置换</w:t>
      </w:r>
      <w:bookmarkEnd w:id="452"/>
    </w:p>
    <w:p w14:paraId="55F27A05">
      <w:pPr>
        <w:snapToGrid w:val="0"/>
        <w:spacing w:line="288" w:lineRule="auto"/>
        <w:outlineLvl w:val="2"/>
        <w:rPr>
          <w:sz w:val="20"/>
          <w:szCs w:val="20"/>
        </w:rPr>
      </w:pPr>
      <w:r>
        <w:rPr>
          <w:rFonts w:hint="eastAsia" w:hAnsi="Cambria Math"/>
          <w:b/>
          <w:bCs/>
          <w:sz w:val="20"/>
          <w:szCs w:val="20"/>
        </w:rPr>
        <w:t>5.</w:t>
      </w:r>
      <w:r>
        <w:rPr>
          <w:rFonts w:hAnsi="Cambria Math"/>
          <w:b/>
          <w:bCs/>
          <w:sz w:val="20"/>
          <w:szCs w:val="20"/>
        </w:rPr>
        <w:t>9</w:t>
      </w:r>
      <w:r>
        <w:rPr>
          <w:rFonts w:hint="eastAsia" w:hAnsi="Cambria Math"/>
          <w:b/>
          <w:bCs/>
          <w:sz w:val="20"/>
          <w:szCs w:val="20"/>
        </w:rPr>
        <w:t xml:space="preserve">.1  </w:t>
      </w:r>
      <w:r>
        <w:rPr>
          <w:rFonts w:hint="eastAsia"/>
          <w:sz w:val="20"/>
          <w:szCs w:val="20"/>
        </w:rPr>
        <w:t>顶管机完成接收后，使用</w:t>
      </w:r>
      <w:r>
        <w:rPr>
          <w:sz w:val="20"/>
          <w:szCs w:val="20"/>
        </w:rPr>
        <w:t>水泥浆</w:t>
      </w:r>
      <w:r>
        <w:rPr>
          <w:rFonts w:hint="eastAsia"/>
          <w:sz w:val="20"/>
          <w:szCs w:val="20"/>
        </w:rPr>
        <w:t>置换触变泥浆，同时充填管节外侧由于超挖或塌落等造成的空隙，减少因触变泥浆</w:t>
      </w:r>
      <w:r>
        <w:rPr>
          <w:sz w:val="20"/>
          <w:szCs w:val="20"/>
        </w:rPr>
        <w:t>固结引起</w:t>
      </w:r>
      <w:r>
        <w:rPr>
          <w:rFonts w:hint="eastAsia"/>
          <w:sz w:val="20"/>
          <w:szCs w:val="20"/>
        </w:rPr>
        <w:t>的土层后期沉降，同时</w:t>
      </w:r>
      <w:r>
        <w:rPr>
          <w:sz w:val="20"/>
          <w:szCs w:val="20"/>
        </w:rPr>
        <w:t>，可固定</w:t>
      </w:r>
      <w:r>
        <w:rPr>
          <w:rFonts w:hint="eastAsia"/>
          <w:sz w:val="20"/>
          <w:szCs w:val="20"/>
        </w:rPr>
        <w:t>成型</w:t>
      </w:r>
      <w:r>
        <w:rPr>
          <w:sz w:val="20"/>
          <w:szCs w:val="20"/>
        </w:rPr>
        <w:t>管节</w:t>
      </w:r>
      <w:r>
        <w:rPr>
          <w:rFonts w:hint="eastAsia"/>
          <w:sz w:val="20"/>
          <w:szCs w:val="20"/>
        </w:rPr>
        <w:t>结构，加强管节整体防水性能。</w:t>
      </w:r>
    </w:p>
    <w:p w14:paraId="21B1382E">
      <w:pPr>
        <w:snapToGrid w:val="0"/>
        <w:spacing w:line="288" w:lineRule="auto"/>
        <w:outlineLvl w:val="2"/>
        <w:rPr>
          <w:sz w:val="20"/>
          <w:szCs w:val="20"/>
        </w:rPr>
      </w:pPr>
      <w:r>
        <w:rPr>
          <w:rFonts w:hint="eastAsia" w:hAnsi="Cambria Math"/>
          <w:b/>
          <w:bCs/>
          <w:sz w:val="20"/>
          <w:szCs w:val="20"/>
        </w:rPr>
        <w:t>5.</w:t>
      </w:r>
      <w:r>
        <w:rPr>
          <w:rFonts w:hAnsi="Cambria Math"/>
          <w:b/>
          <w:bCs/>
          <w:sz w:val="20"/>
          <w:szCs w:val="20"/>
        </w:rPr>
        <w:t>9</w:t>
      </w:r>
      <w:r>
        <w:rPr>
          <w:rFonts w:hint="eastAsia" w:hAnsi="Cambria Math"/>
          <w:b/>
          <w:bCs/>
          <w:sz w:val="20"/>
          <w:szCs w:val="20"/>
        </w:rPr>
        <w:t>.2</w:t>
      </w:r>
      <w:r>
        <w:rPr>
          <w:rFonts w:hAnsi="Cambria Math"/>
          <w:b/>
          <w:bCs/>
          <w:sz w:val="20"/>
          <w:szCs w:val="20"/>
        </w:rPr>
        <w:t xml:space="preserve"> </w:t>
      </w:r>
      <w:r>
        <w:rPr>
          <w:sz w:val="20"/>
          <w:szCs w:val="20"/>
        </w:rPr>
        <w:t>置换材料宜选用易于固结或稳定性好的浆液</w:t>
      </w:r>
      <w:r>
        <w:rPr>
          <w:rFonts w:hint="eastAsia" w:hAnsi="Cambria Math"/>
          <w:bCs/>
          <w:sz w:val="20"/>
          <w:szCs w:val="20"/>
        </w:rPr>
        <w:t>。</w:t>
      </w:r>
      <w:r>
        <w:rPr>
          <w:rFonts w:hint="eastAsia"/>
          <w:sz w:val="20"/>
          <w:szCs w:val="20"/>
        </w:rPr>
        <w:t>浆液根据地层情况选用水泥浆，水泥标号宜为</w:t>
      </w:r>
      <w:r>
        <w:rPr>
          <w:sz w:val="20"/>
          <w:szCs w:val="20"/>
        </w:rPr>
        <w:t>P.O42.5</w:t>
      </w:r>
      <w:r>
        <w:rPr>
          <w:rFonts w:hint="eastAsia"/>
          <w:sz w:val="20"/>
          <w:szCs w:val="20"/>
        </w:rPr>
        <w:t>，水泥浆最佳水灰比</w:t>
      </w:r>
      <w:r>
        <w:rPr>
          <w:sz w:val="20"/>
          <w:szCs w:val="20"/>
        </w:rPr>
        <w:t>0.8:1</w:t>
      </w:r>
      <w:r>
        <w:rPr>
          <w:rFonts w:hint="eastAsia"/>
          <w:sz w:val="20"/>
          <w:szCs w:val="20"/>
        </w:rPr>
        <w:t>～</w:t>
      </w:r>
      <w:r>
        <w:rPr>
          <w:sz w:val="20"/>
          <w:szCs w:val="20"/>
        </w:rPr>
        <w:t>1:1</w:t>
      </w:r>
      <w:r>
        <w:rPr>
          <w:rFonts w:hint="eastAsia"/>
          <w:sz w:val="20"/>
          <w:szCs w:val="20"/>
        </w:rPr>
        <w:t>。</w:t>
      </w:r>
    </w:p>
    <w:p w14:paraId="47F031DC">
      <w:pPr>
        <w:snapToGrid w:val="0"/>
        <w:spacing w:line="288" w:lineRule="auto"/>
        <w:outlineLvl w:val="2"/>
        <w:rPr>
          <w:sz w:val="20"/>
          <w:szCs w:val="20"/>
        </w:rPr>
      </w:pPr>
      <w:r>
        <w:rPr>
          <w:rFonts w:hint="eastAsia" w:hAnsi="Cambria Math"/>
          <w:b/>
          <w:bCs/>
          <w:sz w:val="20"/>
          <w:szCs w:val="20"/>
        </w:rPr>
        <w:t>5.</w:t>
      </w:r>
      <w:r>
        <w:rPr>
          <w:rFonts w:hAnsi="Cambria Math"/>
          <w:b/>
          <w:bCs/>
          <w:sz w:val="20"/>
          <w:szCs w:val="20"/>
        </w:rPr>
        <w:t>9</w:t>
      </w:r>
      <w:r>
        <w:rPr>
          <w:rFonts w:hint="eastAsia" w:hAnsi="Cambria Math"/>
          <w:b/>
          <w:bCs/>
          <w:sz w:val="20"/>
          <w:szCs w:val="20"/>
        </w:rPr>
        <w:t>.3</w:t>
      </w:r>
      <w:r>
        <w:rPr>
          <w:rFonts w:hAnsi="Cambria Math"/>
          <w:b/>
          <w:bCs/>
          <w:sz w:val="20"/>
          <w:szCs w:val="20"/>
        </w:rPr>
        <w:t xml:space="preserve"> </w:t>
      </w:r>
      <w:r>
        <w:rPr>
          <w:rFonts w:hint="eastAsia"/>
          <w:sz w:val="20"/>
          <w:szCs w:val="20"/>
        </w:rPr>
        <w:t>置换注浆压力及</w:t>
      </w:r>
      <w:r>
        <w:rPr>
          <w:sz w:val="20"/>
          <w:szCs w:val="20"/>
        </w:rPr>
        <w:t>注浆量</w:t>
      </w:r>
      <w:r>
        <w:rPr>
          <w:rFonts w:hint="eastAsia"/>
          <w:sz w:val="20"/>
          <w:szCs w:val="20"/>
        </w:rPr>
        <w:t>应根据覆土</w:t>
      </w:r>
      <w:r>
        <w:rPr>
          <w:sz w:val="20"/>
          <w:szCs w:val="20"/>
        </w:rPr>
        <w:t>深度</w:t>
      </w:r>
      <w:r>
        <w:rPr>
          <w:rFonts w:hAnsi="Cambria Math"/>
          <w:bCs/>
          <w:sz w:val="20"/>
          <w:szCs w:val="20"/>
        </w:rPr>
        <w:t>、地层</w:t>
      </w:r>
      <w:r>
        <w:rPr>
          <w:rFonts w:hint="eastAsia" w:hAnsi="Cambria Math"/>
          <w:bCs/>
          <w:sz w:val="20"/>
          <w:szCs w:val="20"/>
        </w:rPr>
        <w:t>及</w:t>
      </w:r>
      <w:r>
        <w:rPr>
          <w:rFonts w:hAnsi="Cambria Math"/>
          <w:bCs/>
          <w:sz w:val="20"/>
          <w:szCs w:val="20"/>
        </w:rPr>
        <w:t>地下水</w:t>
      </w:r>
      <w:r>
        <w:rPr>
          <w:rFonts w:hint="eastAsia" w:hAnsi="Cambria Math"/>
          <w:bCs/>
          <w:sz w:val="20"/>
          <w:szCs w:val="20"/>
        </w:rPr>
        <w:t>等</w:t>
      </w:r>
      <w:r>
        <w:rPr>
          <w:rFonts w:hAnsi="Cambria Math"/>
          <w:bCs/>
          <w:sz w:val="20"/>
          <w:szCs w:val="20"/>
        </w:rPr>
        <w:t>情况确定，</w:t>
      </w:r>
      <w:r>
        <w:rPr>
          <w:rFonts w:hint="eastAsia" w:hAnsi="Cambria Math"/>
          <w:bCs/>
          <w:sz w:val="20"/>
          <w:szCs w:val="20"/>
        </w:rPr>
        <w:t>注浆量宜为管壁与土体间隙的1.5倍～</w:t>
      </w:r>
      <w:r>
        <w:rPr>
          <w:rFonts w:hAnsi="Cambria Math"/>
          <w:bCs/>
          <w:sz w:val="20"/>
          <w:szCs w:val="20"/>
        </w:rPr>
        <w:t>2</w:t>
      </w:r>
      <w:r>
        <w:rPr>
          <w:rFonts w:hint="eastAsia" w:hAnsi="Cambria Math"/>
          <w:bCs/>
          <w:sz w:val="20"/>
          <w:szCs w:val="20"/>
        </w:rPr>
        <w:t>倍，</w:t>
      </w:r>
      <w:r>
        <w:rPr>
          <w:rFonts w:hint="eastAsia"/>
          <w:sz w:val="20"/>
          <w:szCs w:val="20"/>
        </w:rPr>
        <w:t>注浆压力宜为主动土压力与被动土压力之间。注浆量根据不同地层、地下水情况考虑浆液扩散系数；同时考虑注浆压力，结合地面隆沉情况最终确定注浆的用量。</w:t>
      </w:r>
    </w:p>
    <w:p w14:paraId="60F329A3">
      <w:pPr>
        <w:snapToGrid w:val="0"/>
        <w:spacing w:line="288" w:lineRule="auto"/>
        <w:outlineLvl w:val="2"/>
        <w:rPr>
          <w:sz w:val="20"/>
          <w:szCs w:val="20"/>
        </w:rPr>
      </w:pPr>
      <w:r>
        <w:rPr>
          <w:rFonts w:hint="eastAsia" w:hAnsi="Cambria Math"/>
          <w:b/>
          <w:bCs/>
          <w:sz w:val="20"/>
          <w:szCs w:val="20"/>
        </w:rPr>
        <w:t>5.</w:t>
      </w:r>
      <w:r>
        <w:rPr>
          <w:rFonts w:hAnsi="Cambria Math"/>
          <w:b/>
          <w:bCs/>
          <w:sz w:val="20"/>
          <w:szCs w:val="20"/>
        </w:rPr>
        <w:t>9</w:t>
      </w:r>
      <w:r>
        <w:rPr>
          <w:rFonts w:hint="eastAsia" w:hAnsi="Cambria Math"/>
          <w:b/>
          <w:bCs/>
          <w:sz w:val="20"/>
          <w:szCs w:val="20"/>
        </w:rPr>
        <w:t>.</w:t>
      </w:r>
      <w:r>
        <w:rPr>
          <w:rFonts w:hAnsi="Cambria Math"/>
          <w:b/>
          <w:bCs/>
          <w:sz w:val="20"/>
          <w:szCs w:val="20"/>
        </w:rPr>
        <w:t>4</w:t>
      </w:r>
      <w:r>
        <w:rPr>
          <w:rFonts w:hint="eastAsia" w:hAnsi="Cambria Math"/>
          <w:bCs/>
          <w:sz w:val="20"/>
          <w:szCs w:val="20"/>
        </w:rPr>
        <w:t xml:space="preserve">  </w:t>
      </w:r>
      <w:r>
        <w:rPr>
          <w:rFonts w:hint="eastAsia"/>
          <w:sz w:val="20"/>
          <w:szCs w:val="20"/>
        </w:rPr>
        <w:t>置换注浆应从一端开始，依次循环进行</w:t>
      </w:r>
      <w:r>
        <w:rPr>
          <w:rFonts w:hint="eastAsia"/>
          <w:sz w:val="20"/>
          <w:szCs w:val="20"/>
          <w:lang w:bidi="ar"/>
        </w:rPr>
        <w:t>，循环</w:t>
      </w:r>
      <w:r>
        <w:rPr>
          <w:rFonts w:hint="eastAsia" w:ascii="Cambria Math" w:hAnsi="Cambria Math" w:cs="Cambria Math"/>
          <w:kern w:val="0"/>
          <w:sz w:val="20"/>
          <w:szCs w:val="20"/>
          <w:lang w:bidi="ar"/>
        </w:rPr>
        <w:t>次数不宜少于三次。</w:t>
      </w:r>
      <w:r>
        <w:rPr>
          <w:rFonts w:hint="eastAsia"/>
          <w:sz w:val="20"/>
          <w:szCs w:val="20"/>
        </w:rPr>
        <w:t>第一节管节注浆孔注入水泥浆，根据浆液注入量及压力，开启第二节部分注浆孔放浆，放浆从底部开始向上依次进行。当纯水泥浆液开始流出时关闭放浆孔，开始下一循环。从第二节管节注浆管开始注浆，同时从第三节管放浆，依次类推，直到全线完成；全线注浆完成后，关闭所有注浆阀门，静态保压至固结浆初凝；浆液初凝后，进行第二次注浆，将原排浆孔作为注浆孔使用，将原注浆孔作为排浆孔使用，交替进行，注浆次数不宜少于三次，每两次的间隔时间不宜大于</w:t>
      </w:r>
      <w:r>
        <w:rPr>
          <w:sz w:val="20"/>
          <w:szCs w:val="20"/>
        </w:rPr>
        <w:t>24h</w:t>
      </w:r>
      <w:r>
        <w:rPr>
          <w:rFonts w:hint="eastAsia"/>
          <w:sz w:val="20"/>
          <w:szCs w:val="20"/>
        </w:rPr>
        <w:t>。</w:t>
      </w:r>
    </w:p>
    <w:p w14:paraId="4250172A">
      <w:pPr>
        <w:pStyle w:val="3"/>
        <w:snapToGrid w:val="0"/>
        <w:spacing w:before="240" w:beforeLines="100" w:after="0" w:line="288" w:lineRule="auto"/>
        <w:jc w:val="center"/>
        <w:rPr>
          <w:rFonts w:ascii="Times New Roman" w:hAnsi="Times New Roman"/>
          <w:sz w:val="20"/>
          <w:szCs w:val="21"/>
        </w:rPr>
      </w:pPr>
      <w:bookmarkStart w:id="453" w:name="_Toc188798589"/>
      <w:r>
        <w:rPr>
          <w:rFonts w:hint="eastAsia" w:ascii="Times New Roman" w:hAnsi="Times New Roman"/>
          <w:sz w:val="20"/>
          <w:szCs w:val="21"/>
        </w:rPr>
        <w:t>5</w:t>
      </w:r>
      <w:r>
        <w:rPr>
          <w:rFonts w:ascii="Times New Roman" w:hAnsi="Times New Roman"/>
          <w:sz w:val="20"/>
          <w:szCs w:val="21"/>
        </w:rPr>
        <w:t xml:space="preserve">.10 </w:t>
      </w:r>
      <w:r>
        <w:rPr>
          <w:rFonts w:hint="eastAsia" w:ascii="Times New Roman" w:hAnsi="Times New Roman"/>
          <w:sz w:val="20"/>
          <w:szCs w:val="21"/>
        </w:rPr>
        <w:t xml:space="preserve"> 中继间设置</w:t>
      </w:r>
      <w:bookmarkEnd w:id="453"/>
    </w:p>
    <w:p w14:paraId="0F802500">
      <w:pPr>
        <w:snapToGrid w:val="0"/>
        <w:spacing w:line="288" w:lineRule="auto"/>
        <w:outlineLvl w:val="2"/>
        <w:rPr>
          <w:sz w:val="20"/>
          <w:szCs w:val="20"/>
        </w:rPr>
      </w:pPr>
      <w:r>
        <w:rPr>
          <w:rFonts w:hint="eastAsia" w:hAnsi="Cambria Math"/>
          <w:b/>
          <w:sz w:val="20"/>
          <w:szCs w:val="20"/>
        </w:rPr>
        <w:t xml:space="preserve">5.10.2  </w:t>
      </w:r>
      <w:r>
        <w:rPr>
          <w:rFonts w:hint="eastAsia"/>
          <w:sz w:val="20"/>
          <w:szCs w:val="20"/>
        </w:rPr>
        <w:t>对中继间进行编组控制，从矩形顶管机头向后依次将每段管节向前推移，当一组中继间伸出时，其他中继间保持不动，在所有中继间依次完成作业后，主顶工作站完成顶进循环的最后顶进作业。中继间顶推力有一定的安全储备，第一个中继间不宜小于</w:t>
      </w:r>
      <w:r>
        <w:rPr>
          <w:sz w:val="20"/>
          <w:szCs w:val="20"/>
        </w:rPr>
        <w:t>40%</w:t>
      </w:r>
      <w:r>
        <w:rPr>
          <w:rFonts w:hint="eastAsia"/>
          <w:sz w:val="20"/>
          <w:szCs w:val="20"/>
        </w:rPr>
        <w:t>，其余不宜小于</w:t>
      </w:r>
      <w:r>
        <w:rPr>
          <w:sz w:val="20"/>
          <w:szCs w:val="20"/>
        </w:rPr>
        <w:t>30%</w:t>
      </w:r>
      <w:r>
        <w:rPr>
          <w:rFonts w:hint="eastAsia"/>
          <w:sz w:val="20"/>
          <w:szCs w:val="20"/>
        </w:rPr>
        <w:t>。</w:t>
      </w:r>
    </w:p>
    <w:p w14:paraId="187B3EBE">
      <w:pPr>
        <w:snapToGrid w:val="0"/>
        <w:spacing w:line="288" w:lineRule="auto"/>
        <w:outlineLvl w:val="2"/>
        <w:rPr>
          <w:rFonts w:hAnsi="Cambria Math"/>
          <w:bCs/>
          <w:sz w:val="20"/>
          <w:szCs w:val="20"/>
        </w:rPr>
      </w:pPr>
      <w:r>
        <w:rPr>
          <w:rFonts w:hint="eastAsia" w:hAnsi="Cambria Math"/>
          <w:b/>
          <w:bCs/>
          <w:sz w:val="20"/>
          <w:szCs w:val="20"/>
        </w:rPr>
        <w:t>5.10.</w:t>
      </w:r>
      <w:r>
        <w:rPr>
          <w:rFonts w:hAnsi="Cambria Math"/>
          <w:b/>
          <w:bCs/>
          <w:sz w:val="20"/>
          <w:szCs w:val="20"/>
        </w:rPr>
        <w:t>3</w:t>
      </w:r>
      <w:r>
        <w:rPr>
          <w:rFonts w:hint="eastAsia" w:hAnsi="Cambria Math"/>
          <w:b/>
          <w:bCs/>
          <w:sz w:val="20"/>
          <w:szCs w:val="20"/>
        </w:rPr>
        <w:t xml:space="preserve">  </w:t>
      </w:r>
      <w:r>
        <w:rPr>
          <w:rFonts w:hAnsi="Cambria Math"/>
          <w:bCs/>
          <w:sz w:val="20"/>
          <w:szCs w:val="20"/>
        </w:rPr>
        <w:t>1</w:t>
      </w:r>
      <w:r>
        <w:rPr>
          <w:rFonts w:hAnsi="Cambria Math"/>
          <w:b/>
          <w:bCs/>
          <w:sz w:val="20"/>
          <w:szCs w:val="20"/>
        </w:rPr>
        <w:t xml:space="preserve"> </w:t>
      </w:r>
      <w:r>
        <w:rPr>
          <w:rFonts w:hint="eastAsia" w:hAnsi="Cambria Math"/>
          <w:bCs/>
          <w:sz w:val="20"/>
          <w:szCs w:val="20"/>
        </w:rPr>
        <w:t>中继间油缸宜取偶数，且其规格宜相同，并作周向均匀布置；当规格不同时，其行程同步，并将同规格的中继间油缸对称布置；中继间油缸的油路并联，每台中继间油缸有进油、回油的控制系统；中继间吊放入始发井后，认真检查各项工作部件是否正常，安装完毕后进行试顶。其结构示意图见图</w:t>
      </w:r>
      <w:r>
        <w:rPr>
          <w:rFonts w:hAnsi="Cambria Math"/>
          <w:bCs/>
          <w:sz w:val="20"/>
          <w:szCs w:val="20"/>
        </w:rPr>
        <w:t xml:space="preserve"> 5.10.</w:t>
      </w:r>
      <w:r>
        <w:rPr>
          <w:rFonts w:hint="eastAsia" w:hAnsi="Cambria Math"/>
          <w:bCs/>
          <w:sz w:val="20"/>
          <w:szCs w:val="20"/>
        </w:rPr>
        <w:t>3</w:t>
      </w:r>
      <w:r>
        <w:rPr>
          <w:rFonts w:hAnsi="Cambria Math"/>
          <w:bCs/>
          <w:sz w:val="20"/>
          <w:szCs w:val="20"/>
        </w:rPr>
        <w:t xml:space="preserve"> </w:t>
      </w:r>
      <w:r>
        <w:rPr>
          <w:rFonts w:hint="eastAsia" w:hAnsi="Cambria Math"/>
          <w:bCs/>
          <w:sz w:val="20"/>
          <w:szCs w:val="20"/>
        </w:rPr>
        <w:t>所示。</w:t>
      </w:r>
    </w:p>
    <w:p w14:paraId="51556A3B">
      <w:pPr>
        <w:snapToGrid w:val="0"/>
        <w:spacing w:before="240" w:beforeLines="100" w:line="288" w:lineRule="auto"/>
        <w:jc w:val="center"/>
        <w:rPr>
          <w:sz w:val="20"/>
          <w:szCs w:val="20"/>
        </w:rPr>
      </w:pPr>
      <w:r>
        <w:rPr>
          <w:sz w:val="20"/>
          <w:szCs w:val="20"/>
        </w:rPr>
        <w:drawing>
          <wp:inline distT="0" distB="0" distL="0" distR="0">
            <wp:extent cx="3664585" cy="1348105"/>
            <wp:effectExtent l="0" t="0" r="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668960" cy="1349844"/>
                    </a:xfrm>
                    <a:prstGeom prst="rect">
                      <a:avLst/>
                    </a:prstGeom>
                    <a:noFill/>
                    <a:ln>
                      <a:noFill/>
                    </a:ln>
                  </pic:spPr>
                </pic:pic>
              </a:graphicData>
            </a:graphic>
          </wp:inline>
        </w:drawing>
      </w:r>
    </w:p>
    <w:p w14:paraId="68BA5F60">
      <w:pPr>
        <w:snapToGrid w:val="0"/>
        <w:spacing w:before="240" w:beforeLines="100" w:line="288" w:lineRule="auto"/>
        <w:ind w:firstLine="300" w:firstLineChars="150"/>
        <w:jc w:val="center"/>
        <w:rPr>
          <w:rFonts w:hAnsi="Cambria Math"/>
          <w:bCs/>
          <w:sz w:val="20"/>
          <w:szCs w:val="20"/>
        </w:rPr>
      </w:pPr>
      <w:r>
        <w:rPr>
          <w:rFonts w:hint="eastAsia"/>
          <w:sz w:val="20"/>
          <w:szCs w:val="20"/>
        </w:rPr>
        <w:t>图</w:t>
      </w:r>
      <w:r>
        <w:rPr>
          <w:sz w:val="20"/>
          <w:szCs w:val="20"/>
        </w:rPr>
        <w:t xml:space="preserve"> 5.10.</w:t>
      </w:r>
      <w:r>
        <w:rPr>
          <w:rFonts w:hint="eastAsia"/>
          <w:sz w:val="20"/>
          <w:szCs w:val="20"/>
        </w:rPr>
        <w:t>3</w:t>
      </w:r>
      <w:r>
        <w:rPr>
          <w:sz w:val="20"/>
          <w:szCs w:val="20"/>
        </w:rPr>
        <w:t xml:space="preserve"> </w:t>
      </w:r>
      <w:r>
        <w:rPr>
          <w:rFonts w:hint="eastAsia"/>
          <w:sz w:val="20"/>
          <w:szCs w:val="20"/>
        </w:rPr>
        <w:t>中继间结构示意图</w:t>
      </w:r>
    </w:p>
    <w:p w14:paraId="0EBC30D8">
      <w:pPr>
        <w:snapToGrid w:val="0"/>
        <w:spacing w:before="120" w:beforeLines="50" w:line="288" w:lineRule="auto"/>
        <w:ind w:firstLine="300" w:firstLineChars="150"/>
        <w:rPr>
          <w:rFonts w:hAnsi="Cambria Math"/>
          <w:bCs/>
          <w:sz w:val="20"/>
          <w:szCs w:val="20"/>
        </w:rPr>
      </w:pPr>
      <w:r>
        <w:rPr>
          <w:sz w:val="20"/>
          <w:szCs w:val="20"/>
        </w:rPr>
        <w:t xml:space="preserve">3  </w:t>
      </w:r>
      <w:r>
        <w:rPr>
          <w:rFonts w:hint="eastAsia" w:hAnsi="Cambria Math"/>
          <w:bCs/>
          <w:sz w:val="20"/>
          <w:szCs w:val="20"/>
        </w:rPr>
        <w:t>中继间密封装置宜采用径向可调形式，密封配合面的加工精度和密封材料的质量满足要求。中继间外壳在伸缩时，滑动部分具有止水性能和耐磨性，且滑动时无阻滞。</w:t>
      </w:r>
    </w:p>
    <w:p w14:paraId="1AF9502C">
      <w:pPr>
        <w:pStyle w:val="3"/>
        <w:snapToGrid w:val="0"/>
        <w:spacing w:before="240" w:beforeLines="100" w:after="0" w:line="288" w:lineRule="auto"/>
        <w:jc w:val="center"/>
        <w:rPr>
          <w:rFonts w:ascii="Times New Roman" w:hAnsi="Times New Roman"/>
          <w:sz w:val="20"/>
          <w:szCs w:val="21"/>
        </w:rPr>
      </w:pPr>
      <w:bookmarkStart w:id="454" w:name="_Toc188798590"/>
      <w:r>
        <w:rPr>
          <w:rFonts w:ascii="Times New Roman" w:hAnsi="Times New Roman"/>
          <w:sz w:val="20"/>
          <w:szCs w:val="21"/>
        </w:rPr>
        <w:t xml:space="preserve">5.11  </w:t>
      </w:r>
      <w:r>
        <w:rPr>
          <w:rFonts w:hint="eastAsia" w:ascii="Times New Roman" w:hAnsi="Times New Roman"/>
          <w:sz w:val="20"/>
          <w:szCs w:val="21"/>
        </w:rPr>
        <w:t>结构</w:t>
      </w:r>
      <w:r>
        <w:rPr>
          <w:rFonts w:ascii="Times New Roman" w:hAnsi="Times New Roman"/>
          <w:sz w:val="20"/>
          <w:szCs w:val="21"/>
        </w:rPr>
        <w:t>防水</w:t>
      </w:r>
      <w:bookmarkEnd w:id="454"/>
    </w:p>
    <w:p w14:paraId="06D9000B">
      <w:pPr>
        <w:snapToGrid w:val="0"/>
        <w:spacing w:line="288" w:lineRule="auto"/>
        <w:outlineLvl w:val="2"/>
        <w:rPr>
          <w:sz w:val="20"/>
          <w:szCs w:val="20"/>
        </w:rPr>
      </w:pPr>
      <w:r>
        <w:rPr>
          <w:rFonts w:hint="eastAsia" w:hAnsi="Cambria Math"/>
          <w:b/>
          <w:bCs/>
          <w:sz w:val="20"/>
          <w:szCs w:val="20"/>
        </w:rPr>
        <w:t xml:space="preserve">5.11.3 </w:t>
      </w:r>
      <w:r>
        <w:rPr>
          <w:rFonts w:ascii="仿宋体" w:hAnsi="仿宋体" w:cs="仿宋体"/>
          <w:kern w:val="0"/>
          <w:sz w:val="20"/>
          <w:szCs w:val="20"/>
          <w:lang w:bidi="ar"/>
        </w:rPr>
        <w:t xml:space="preserve"> </w:t>
      </w:r>
      <w:r>
        <w:rPr>
          <w:rFonts w:hint="eastAsia"/>
          <w:sz w:val="20"/>
          <w:szCs w:val="20"/>
        </w:rPr>
        <w:t>管节接口防水传力衬垫一般选用质地均匀有弹性的松木、杉木、胶合板或丁腈软木，在满足传力要求的同时，满足强度和变形要求。衬垫厚度宜为</w:t>
      </w:r>
      <w:r>
        <w:t>10mm~30mm</w:t>
      </w:r>
      <w:r>
        <w:rPr>
          <w:rFonts w:hint="eastAsia"/>
        </w:rPr>
        <w:t>。</w:t>
      </w:r>
    </w:p>
    <w:p w14:paraId="47E58D00">
      <w:pPr>
        <w:snapToGrid w:val="0"/>
        <w:spacing w:line="288" w:lineRule="auto"/>
        <w:ind w:firstLine="300" w:firstLineChars="150"/>
        <w:rPr>
          <w:bCs/>
          <w:sz w:val="20"/>
          <w:szCs w:val="20"/>
        </w:rPr>
      </w:pPr>
      <w:r>
        <w:rPr>
          <w:rFonts w:hint="eastAsia"/>
          <w:bCs/>
          <w:sz w:val="20"/>
          <w:szCs w:val="20"/>
        </w:rPr>
        <w:t>顶管施工结束后，管节间的缝隙宜采用低膜量聚氨酯或聚硫密封胶填充。配制好的聚硫膏在缝两侧先刮涂一遍，第二次在缝中刮填密封膏到所需高度。要求压紧刮平，防止带入气泡而影响强度和水密性。密封胶在未充分固化前要注意保护，防止雨水侵入。管节接头采用遇水膨胀胶圈防水时，遇水膨胀橡胶圈的体积膨胀倍率、硬度、拉伸强度、拉断伸长率等性能指标，满足设计要求和国家现行标准《高分子防水材料</w:t>
      </w:r>
      <w:r>
        <w:rPr>
          <w:bCs/>
          <w:sz w:val="20"/>
          <w:szCs w:val="20"/>
        </w:rPr>
        <w:t xml:space="preserve"> </w:t>
      </w:r>
      <w:r>
        <w:rPr>
          <w:rFonts w:hint="eastAsia"/>
          <w:bCs/>
          <w:sz w:val="20"/>
          <w:szCs w:val="20"/>
        </w:rPr>
        <w:t>第</w:t>
      </w:r>
      <w:r>
        <w:rPr>
          <w:bCs/>
          <w:sz w:val="20"/>
          <w:szCs w:val="20"/>
        </w:rPr>
        <w:t>3</w:t>
      </w:r>
      <w:r>
        <w:rPr>
          <w:rFonts w:hint="eastAsia"/>
          <w:bCs/>
          <w:sz w:val="20"/>
          <w:szCs w:val="20"/>
        </w:rPr>
        <w:t>部分：遇水膨胀橡胶》</w:t>
      </w:r>
      <w:r>
        <w:rPr>
          <w:bCs/>
          <w:sz w:val="20"/>
          <w:szCs w:val="20"/>
        </w:rPr>
        <w:t>GB/T 18173.3</w:t>
      </w:r>
      <w:r>
        <w:rPr>
          <w:rFonts w:hint="eastAsia"/>
          <w:bCs/>
          <w:sz w:val="20"/>
          <w:szCs w:val="20"/>
        </w:rPr>
        <w:t>的有关规定，且防霉等级优于二级。</w:t>
      </w:r>
    </w:p>
    <w:p w14:paraId="530A005B">
      <w:pPr>
        <w:pStyle w:val="3"/>
        <w:snapToGrid w:val="0"/>
        <w:spacing w:before="240" w:beforeLines="100" w:after="0" w:line="288" w:lineRule="auto"/>
        <w:jc w:val="center"/>
        <w:rPr>
          <w:rFonts w:ascii="Times New Roman" w:hAnsi="Times New Roman"/>
          <w:sz w:val="20"/>
          <w:szCs w:val="21"/>
        </w:rPr>
      </w:pPr>
      <w:bookmarkStart w:id="455" w:name="_Toc188798591"/>
      <w:r>
        <w:rPr>
          <w:rFonts w:ascii="Times New Roman" w:hAnsi="Times New Roman"/>
          <w:sz w:val="20"/>
          <w:szCs w:val="21"/>
        </w:rPr>
        <w:t>5.13</w:t>
      </w:r>
      <w:r>
        <w:rPr>
          <w:rFonts w:hint="eastAsia" w:ascii="Times New Roman" w:hAnsi="Times New Roman"/>
          <w:sz w:val="20"/>
          <w:szCs w:val="21"/>
        </w:rPr>
        <w:t xml:space="preserve">  </w:t>
      </w:r>
      <w:r>
        <w:rPr>
          <w:rFonts w:ascii="Times New Roman" w:hAnsi="Times New Roman"/>
          <w:sz w:val="20"/>
          <w:szCs w:val="21"/>
        </w:rPr>
        <w:t>顶管机拆解与吊出</w:t>
      </w:r>
      <w:bookmarkEnd w:id="455"/>
    </w:p>
    <w:p w14:paraId="620E545B">
      <w:pPr>
        <w:snapToGrid w:val="0"/>
        <w:spacing w:line="288" w:lineRule="auto"/>
        <w:outlineLvl w:val="2"/>
        <w:rPr>
          <w:rFonts w:hAnsi="Cambria Math"/>
          <w:bCs/>
          <w:sz w:val="20"/>
          <w:szCs w:val="20"/>
        </w:rPr>
      </w:pPr>
      <w:r>
        <w:rPr>
          <w:rFonts w:hAnsi="Cambria Math"/>
          <w:b/>
          <w:bCs/>
          <w:sz w:val="20"/>
          <w:szCs w:val="20"/>
        </w:rPr>
        <w:t>5.1</w:t>
      </w:r>
      <w:r>
        <w:rPr>
          <w:rFonts w:hint="eastAsia" w:hAnsi="Cambria Math"/>
          <w:b/>
          <w:bCs/>
          <w:sz w:val="20"/>
          <w:szCs w:val="20"/>
        </w:rPr>
        <w:t>3</w:t>
      </w:r>
      <w:r>
        <w:rPr>
          <w:rFonts w:hAnsi="Cambria Math"/>
          <w:b/>
          <w:bCs/>
          <w:sz w:val="20"/>
          <w:szCs w:val="20"/>
        </w:rPr>
        <w:t xml:space="preserve">.1 </w:t>
      </w:r>
      <w:r>
        <w:rPr>
          <w:rFonts w:hint="eastAsia" w:hAnsi="Cambria Math"/>
          <w:b/>
          <w:bCs/>
          <w:sz w:val="20"/>
          <w:szCs w:val="20"/>
        </w:rPr>
        <w:t xml:space="preserve"> </w:t>
      </w:r>
      <w:r>
        <w:rPr>
          <w:rFonts w:hint="eastAsia" w:hAnsi="Cambria Math"/>
          <w:bCs/>
          <w:sz w:val="20"/>
          <w:szCs w:val="20"/>
        </w:rPr>
        <w:t>矩形顶管机到达接收井后进行顶管机拆解、吊出的顺序为刀盘、螺旋出土机、动力系统、前壳体上分体、前壳体下分体、中后壳体及其他部件。</w:t>
      </w:r>
    </w:p>
    <w:p w14:paraId="60941675">
      <w:pPr>
        <w:snapToGrid w:val="0"/>
        <w:spacing w:line="288" w:lineRule="auto"/>
        <w:outlineLvl w:val="2"/>
        <w:rPr>
          <w:rFonts w:hAnsi="Cambria Math"/>
          <w:bCs/>
          <w:sz w:val="20"/>
          <w:szCs w:val="20"/>
        </w:rPr>
      </w:pPr>
      <w:r>
        <w:rPr>
          <w:rFonts w:hAnsi="Cambria Math"/>
          <w:b/>
          <w:bCs/>
          <w:sz w:val="20"/>
          <w:szCs w:val="20"/>
        </w:rPr>
        <w:t>5.1</w:t>
      </w:r>
      <w:r>
        <w:rPr>
          <w:rFonts w:hint="eastAsia" w:hAnsi="Cambria Math"/>
          <w:b/>
          <w:bCs/>
          <w:sz w:val="20"/>
          <w:szCs w:val="20"/>
        </w:rPr>
        <w:t>3</w:t>
      </w:r>
      <w:r>
        <w:rPr>
          <w:rFonts w:hAnsi="Cambria Math"/>
          <w:b/>
          <w:bCs/>
          <w:sz w:val="20"/>
          <w:szCs w:val="20"/>
        </w:rPr>
        <w:t>.</w:t>
      </w:r>
      <w:r>
        <w:rPr>
          <w:rFonts w:hint="eastAsia" w:hAnsi="Cambria Math"/>
          <w:b/>
          <w:bCs/>
          <w:sz w:val="20"/>
          <w:szCs w:val="20"/>
        </w:rPr>
        <w:t>5</w:t>
      </w:r>
      <w:r>
        <w:rPr>
          <w:rFonts w:hAnsi="Cambria Math"/>
          <w:b/>
          <w:bCs/>
          <w:sz w:val="20"/>
          <w:szCs w:val="20"/>
        </w:rPr>
        <w:t xml:space="preserve"> </w:t>
      </w:r>
      <w:r>
        <w:rPr>
          <w:rFonts w:hint="eastAsia" w:hAnsi="Cambria Math"/>
          <w:b/>
          <w:bCs/>
          <w:sz w:val="20"/>
          <w:szCs w:val="20"/>
        </w:rPr>
        <w:t xml:space="preserve"> </w:t>
      </w:r>
      <w:r>
        <w:rPr>
          <w:rFonts w:hint="eastAsia" w:hAnsi="Cambria Math"/>
          <w:bCs/>
          <w:sz w:val="20"/>
          <w:szCs w:val="20"/>
        </w:rPr>
        <w:t>拆除刀盘、螺旋出土机等系统后，顶管机各连接部位清洁干净并涂抹防锈油。液压系统拆卸前确定液压系统处于无压状态，拆除过程中保持液压元器件周边的清洁。拆除电气系统前，确认电源已关闭，并设专人看护。</w:t>
      </w:r>
    </w:p>
    <w:p w14:paraId="40B3FB18">
      <w:pPr>
        <w:pStyle w:val="3"/>
        <w:snapToGrid w:val="0"/>
        <w:spacing w:before="240" w:beforeLines="100" w:after="0" w:line="288" w:lineRule="auto"/>
        <w:jc w:val="center"/>
        <w:rPr>
          <w:rFonts w:ascii="Times New Roman" w:hAnsi="Times New Roman"/>
          <w:sz w:val="20"/>
          <w:szCs w:val="21"/>
        </w:rPr>
      </w:pPr>
      <w:bookmarkStart w:id="456" w:name="_Toc188798592"/>
      <w:r>
        <w:rPr>
          <w:rFonts w:ascii="Times New Roman" w:hAnsi="Times New Roman"/>
          <w:sz w:val="20"/>
          <w:szCs w:val="21"/>
        </w:rPr>
        <w:t>5.14  施工测量</w:t>
      </w:r>
      <w:bookmarkEnd w:id="456"/>
    </w:p>
    <w:p w14:paraId="19AE9227">
      <w:pPr>
        <w:snapToGrid w:val="0"/>
        <w:spacing w:line="288" w:lineRule="auto"/>
        <w:outlineLvl w:val="2"/>
        <w:rPr>
          <w:sz w:val="20"/>
          <w:szCs w:val="20"/>
        </w:rPr>
      </w:pPr>
      <w:r>
        <w:rPr>
          <w:rFonts w:hAnsi="Cambria Math"/>
          <w:b/>
          <w:bCs/>
          <w:sz w:val="20"/>
          <w:szCs w:val="20"/>
        </w:rPr>
        <w:t>5.1</w:t>
      </w:r>
      <w:r>
        <w:rPr>
          <w:rFonts w:hint="eastAsia" w:hAnsi="Cambria Math"/>
          <w:b/>
          <w:bCs/>
          <w:sz w:val="20"/>
          <w:szCs w:val="20"/>
        </w:rPr>
        <w:t>4</w:t>
      </w:r>
      <w:r>
        <w:rPr>
          <w:rFonts w:hAnsi="Cambria Math"/>
          <w:b/>
          <w:bCs/>
          <w:sz w:val="20"/>
          <w:szCs w:val="20"/>
        </w:rPr>
        <w:t>.2</w:t>
      </w:r>
      <w:r>
        <w:rPr>
          <w:rFonts w:hint="eastAsia" w:hAnsi="Cambria Math"/>
          <w:b/>
          <w:bCs/>
          <w:sz w:val="20"/>
          <w:szCs w:val="20"/>
        </w:rPr>
        <w:t xml:space="preserve">  </w:t>
      </w:r>
      <w:r>
        <w:rPr>
          <w:rFonts w:hint="eastAsia" w:hAnsi="Cambria Math"/>
          <w:bCs/>
          <w:sz w:val="20"/>
          <w:szCs w:val="20"/>
        </w:rPr>
        <w:t>施工测量方案全面考虑影响的因素，如地面控制的布设应考施工区域的周边环境影响，根据顶管机采用工作竖井还是车站内进入结构可以选择最优的联系测量方法。</w:t>
      </w:r>
    </w:p>
    <w:p w14:paraId="424C5315">
      <w:pPr>
        <w:pStyle w:val="3"/>
        <w:snapToGrid w:val="0"/>
        <w:spacing w:before="240" w:beforeLines="100" w:after="0" w:line="288" w:lineRule="auto"/>
        <w:jc w:val="center"/>
        <w:rPr>
          <w:rFonts w:ascii="Times New Roman" w:hAnsi="Times New Roman"/>
          <w:sz w:val="20"/>
          <w:szCs w:val="21"/>
        </w:rPr>
      </w:pPr>
      <w:bookmarkStart w:id="457" w:name="_Toc188798593"/>
      <w:r>
        <w:rPr>
          <w:rFonts w:ascii="Times New Roman" w:hAnsi="Times New Roman"/>
          <w:sz w:val="20"/>
          <w:szCs w:val="21"/>
        </w:rPr>
        <w:t>5.1</w:t>
      </w:r>
      <w:r>
        <w:rPr>
          <w:rFonts w:hint="eastAsia" w:ascii="Times New Roman" w:hAnsi="Times New Roman"/>
          <w:sz w:val="20"/>
          <w:szCs w:val="21"/>
        </w:rPr>
        <w:t>5</w:t>
      </w:r>
      <w:r>
        <w:rPr>
          <w:rFonts w:ascii="Times New Roman" w:hAnsi="Times New Roman"/>
          <w:sz w:val="20"/>
          <w:szCs w:val="21"/>
        </w:rPr>
        <w:t xml:space="preserve">  </w:t>
      </w:r>
      <w:r>
        <w:rPr>
          <w:rFonts w:hint="eastAsia" w:ascii="Times New Roman" w:hAnsi="Times New Roman"/>
          <w:sz w:val="20"/>
          <w:szCs w:val="21"/>
        </w:rPr>
        <w:t>监控量测</w:t>
      </w:r>
      <w:bookmarkEnd w:id="457"/>
    </w:p>
    <w:p w14:paraId="09730EAE">
      <w:pPr>
        <w:snapToGrid w:val="0"/>
        <w:spacing w:line="288" w:lineRule="auto"/>
        <w:outlineLvl w:val="2"/>
        <w:rPr>
          <w:rFonts w:hAnsi="Cambria Math"/>
          <w:bCs/>
          <w:sz w:val="20"/>
          <w:szCs w:val="20"/>
        </w:rPr>
      </w:pPr>
      <w:r>
        <w:rPr>
          <w:rFonts w:hAnsi="Cambria Math"/>
          <w:b/>
          <w:bCs/>
          <w:sz w:val="20"/>
          <w:szCs w:val="20"/>
        </w:rPr>
        <w:t>5.15.2</w:t>
      </w:r>
      <w:r>
        <w:rPr>
          <w:rFonts w:hint="eastAsia"/>
          <w:sz w:val="20"/>
          <w:szCs w:val="20"/>
        </w:rPr>
        <w:t xml:space="preserve">  </w:t>
      </w:r>
      <w:r>
        <w:rPr>
          <w:rFonts w:hint="eastAsia" w:hAnsi="Cambria Math"/>
          <w:bCs/>
          <w:sz w:val="20"/>
          <w:szCs w:val="20"/>
        </w:rPr>
        <w:t>本条主要参考现行地标《地铁工程监控量测技术规程》</w:t>
      </w:r>
      <w:r>
        <w:rPr>
          <w:rFonts w:hAnsi="Cambria Math"/>
          <w:bCs/>
          <w:sz w:val="20"/>
          <w:szCs w:val="20"/>
        </w:rPr>
        <w:t>DB 11/T 490</w:t>
      </w:r>
      <w:r>
        <w:rPr>
          <w:rFonts w:hint="eastAsia" w:hAnsi="Cambria Math"/>
          <w:bCs/>
          <w:sz w:val="20"/>
          <w:szCs w:val="20"/>
        </w:rPr>
        <w:t>中第</w:t>
      </w:r>
      <w:r>
        <w:rPr>
          <w:rFonts w:hAnsi="Cambria Math"/>
          <w:bCs/>
          <w:sz w:val="20"/>
          <w:szCs w:val="20"/>
        </w:rPr>
        <w:t>6</w:t>
      </w:r>
      <w:r>
        <w:rPr>
          <w:rFonts w:hint="eastAsia" w:hAnsi="Cambria Math"/>
          <w:bCs/>
          <w:sz w:val="20"/>
          <w:szCs w:val="20"/>
        </w:rPr>
        <w:t>章、第</w:t>
      </w:r>
      <w:r>
        <w:rPr>
          <w:rFonts w:hAnsi="Cambria Math"/>
          <w:bCs/>
          <w:sz w:val="20"/>
          <w:szCs w:val="20"/>
        </w:rPr>
        <w:t>7</w:t>
      </w:r>
      <w:r>
        <w:rPr>
          <w:rFonts w:hint="eastAsia" w:hAnsi="Cambria Math"/>
          <w:bCs/>
          <w:sz w:val="20"/>
          <w:szCs w:val="20"/>
        </w:rPr>
        <w:t>章编写，因矩形顶管管节不同于盾构管片，每节管节均由工厂整体预制成型，管节结构是设计根据管节安装后所处环境条件及结构使用寿命等确定的，管节顶进过程中无需对管节结构变形进行监测，顶管施工监测主要考虑土体及周边环境的变形，所以监测项目为地表沉降、隆起及周边环境的变形。</w:t>
      </w:r>
    </w:p>
    <w:p w14:paraId="6531F6D0">
      <w:pPr>
        <w:snapToGrid w:val="0"/>
        <w:spacing w:line="288" w:lineRule="auto"/>
        <w:ind w:firstLine="300" w:firstLineChars="150"/>
        <w:rPr>
          <w:rFonts w:hAnsi="Cambria Math"/>
          <w:bCs/>
          <w:sz w:val="20"/>
          <w:szCs w:val="20"/>
        </w:rPr>
      </w:pPr>
      <w:r>
        <w:rPr>
          <w:rFonts w:hint="eastAsia" w:hAnsi="Cambria Math"/>
          <w:bCs/>
          <w:sz w:val="20"/>
          <w:szCs w:val="20"/>
        </w:rPr>
        <w:t>城市轨道交通有地下、地面、高架等形式，监测对象主要包括结构、道床、轨道、附属结构及其他设施等，根据结构形式不同给出各对象监测项目。现行地标《穿越城市轨道交通设施检测评估及监测技术规范》DB 11/T 915详细地规定了穿越城市轨道交通设施监测环节的监测项目。</w:t>
      </w:r>
    </w:p>
    <w:p w14:paraId="0F69CCA1">
      <w:pPr>
        <w:snapToGrid w:val="0"/>
        <w:spacing w:line="288" w:lineRule="auto"/>
        <w:jc w:val="center"/>
        <w:outlineLvl w:val="0"/>
        <w:rPr>
          <w:rFonts w:eastAsia="黑体"/>
          <w:b/>
          <w:bCs/>
          <w:kern w:val="44"/>
          <w:sz w:val="26"/>
          <w:szCs w:val="26"/>
        </w:rPr>
      </w:pPr>
      <w:r>
        <w:rPr>
          <w:bCs/>
          <w:sz w:val="20"/>
          <w:szCs w:val="20"/>
        </w:rPr>
        <w:br w:type="page"/>
      </w:r>
      <w:bookmarkStart w:id="458" w:name="_Toc188798594"/>
      <w:r>
        <w:rPr>
          <w:rFonts w:eastAsia="黑体"/>
          <w:b/>
          <w:bCs/>
          <w:kern w:val="44"/>
          <w:sz w:val="26"/>
          <w:szCs w:val="26"/>
        </w:rPr>
        <w:t>6 特殊工况施工</w:t>
      </w:r>
      <w:bookmarkEnd w:id="458"/>
    </w:p>
    <w:p w14:paraId="67528A0D">
      <w:pPr>
        <w:pStyle w:val="3"/>
        <w:snapToGrid w:val="0"/>
        <w:spacing w:before="240" w:beforeLines="100" w:after="0" w:line="288" w:lineRule="auto"/>
        <w:jc w:val="center"/>
        <w:rPr>
          <w:rFonts w:ascii="Times New Roman" w:hAnsi="Times New Roman"/>
          <w:sz w:val="20"/>
          <w:szCs w:val="21"/>
        </w:rPr>
      </w:pPr>
      <w:bookmarkStart w:id="459" w:name="_Toc188798595"/>
      <w:r>
        <w:rPr>
          <w:rFonts w:hint="eastAsia" w:ascii="Times New Roman" w:hAnsi="Times New Roman"/>
          <w:sz w:val="20"/>
          <w:szCs w:val="21"/>
        </w:rPr>
        <w:t>6.1  一般规定</w:t>
      </w:r>
      <w:bookmarkEnd w:id="459"/>
    </w:p>
    <w:p w14:paraId="0D8AA47B">
      <w:pPr>
        <w:snapToGrid w:val="0"/>
        <w:spacing w:line="288" w:lineRule="auto"/>
        <w:outlineLvl w:val="2"/>
        <w:rPr>
          <w:rFonts w:hAnsi="Cambria Math"/>
          <w:bCs/>
          <w:sz w:val="20"/>
          <w:szCs w:val="20"/>
        </w:rPr>
      </w:pPr>
      <w:r>
        <w:rPr>
          <w:rFonts w:hAnsi="Cambria Math"/>
          <w:b/>
          <w:bCs/>
          <w:sz w:val="20"/>
          <w:szCs w:val="20"/>
        </w:rPr>
        <w:t>6</w:t>
      </w:r>
      <w:r>
        <w:rPr>
          <w:rFonts w:hint="eastAsia" w:hAnsi="Cambria Math"/>
          <w:b/>
          <w:bCs/>
          <w:sz w:val="20"/>
          <w:szCs w:val="20"/>
        </w:rPr>
        <w:t xml:space="preserve">.1.1  </w:t>
      </w:r>
      <w:r>
        <w:rPr>
          <w:rFonts w:hint="eastAsia"/>
          <w:sz w:val="20"/>
          <w:szCs w:val="20"/>
        </w:rPr>
        <w:t>特殊工况是施工现场不具备常规顶管施工条件</w:t>
      </w:r>
      <w:r>
        <w:rPr>
          <w:rFonts w:hint="eastAsia" w:hAnsi="Cambria Math"/>
          <w:bCs/>
          <w:sz w:val="20"/>
          <w:szCs w:val="20"/>
        </w:rPr>
        <w:t>，需采取特殊措施才能正常施工的工况。</w:t>
      </w:r>
    </w:p>
    <w:p w14:paraId="5CDF9CCA">
      <w:pPr>
        <w:snapToGrid w:val="0"/>
        <w:spacing w:line="288" w:lineRule="auto"/>
        <w:ind w:firstLine="300" w:firstLineChars="150"/>
        <w:rPr>
          <w:rFonts w:hAnsi="Cambria Math"/>
          <w:bCs/>
          <w:sz w:val="20"/>
          <w:szCs w:val="20"/>
        </w:rPr>
      </w:pPr>
      <w:r>
        <w:rPr>
          <w:rFonts w:hAnsi="Cambria Math"/>
          <w:bCs/>
          <w:sz w:val="20"/>
          <w:szCs w:val="20"/>
        </w:rPr>
        <w:t xml:space="preserve">1 </w:t>
      </w:r>
      <w:r>
        <w:rPr>
          <w:rFonts w:hint="eastAsia" w:hAnsi="Cambria Math"/>
          <w:bCs/>
          <w:sz w:val="20"/>
          <w:szCs w:val="20"/>
        </w:rPr>
        <w:t>矩形顶管目前用于轨道交通工程中最多的部位就是出入口通道施工，当采用矩形顶管施工时，受轨道交通工程车站位置及周边环境的影响，工作井只能设置在车站内中板上或者紧邻车站结构墙建设工作井，即非常规始发和接收，主要包括车站中板始发、接收、后背靠车站始发。</w:t>
      </w:r>
    </w:p>
    <w:p w14:paraId="4243260A">
      <w:pPr>
        <w:snapToGrid w:val="0"/>
        <w:spacing w:line="288" w:lineRule="auto"/>
        <w:ind w:firstLine="300" w:firstLineChars="150"/>
        <w:rPr>
          <w:rFonts w:hAnsi="Cambria Math"/>
          <w:bCs/>
          <w:sz w:val="20"/>
          <w:szCs w:val="20"/>
        </w:rPr>
      </w:pPr>
      <w:r>
        <w:rPr>
          <w:rFonts w:hAnsi="Cambria Math"/>
          <w:bCs/>
          <w:sz w:val="20"/>
          <w:szCs w:val="20"/>
        </w:rPr>
        <w:t xml:space="preserve">2 </w:t>
      </w:r>
      <w:r>
        <w:rPr>
          <w:rFonts w:hint="eastAsia" w:hAnsi="Cambria Math"/>
          <w:bCs/>
          <w:sz w:val="20"/>
          <w:szCs w:val="20"/>
        </w:rPr>
        <w:t>受现场条件限制，矩形顶管工作井长度小于正常顶管施工所需最小长度的情况。</w:t>
      </w:r>
    </w:p>
    <w:p w14:paraId="094D1D8F">
      <w:pPr>
        <w:snapToGrid w:val="0"/>
        <w:spacing w:line="288" w:lineRule="auto"/>
        <w:ind w:firstLine="300" w:firstLineChars="150"/>
        <w:rPr>
          <w:rFonts w:hAnsi="Cambria Math"/>
          <w:bCs/>
          <w:sz w:val="20"/>
          <w:szCs w:val="20"/>
        </w:rPr>
      </w:pPr>
      <w:r>
        <w:rPr>
          <w:rFonts w:hint="eastAsia" w:hAnsi="Cambria Math"/>
          <w:bCs/>
          <w:sz w:val="20"/>
          <w:szCs w:val="20"/>
        </w:rPr>
        <w:t>3</w:t>
      </w:r>
      <w:r>
        <w:rPr>
          <w:rFonts w:hAnsi="Cambria Math"/>
          <w:bCs/>
          <w:sz w:val="20"/>
          <w:szCs w:val="20"/>
        </w:rPr>
        <w:t xml:space="preserve"> </w:t>
      </w:r>
      <w:r>
        <w:rPr>
          <w:rFonts w:hint="eastAsia" w:hAnsi="Cambria Math"/>
          <w:bCs/>
          <w:sz w:val="20"/>
          <w:szCs w:val="20"/>
        </w:rPr>
        <w:t>弃壳：现场无条件设置顶管工作井，只能将顶管机机壳留在地下，将顶管机其他结构从管节结构内或预留洞拆解后，在机壳内进行衬砌结构浇筑。</w:t>
      </w:r>
    </w:p>
    <w:p w14:paraId="59E61A93">
      <w:pPr>
        <w:snapToGrid w:val="0"/>
        <w:spacing w:line="288" w:lineRule="auto"/>
        <w:ind w:firstLine="300" w:firstLineChars="150"/>
        <w:rPr>
          <w:rFonts w:hAnsi="Cambria Math"/>
          <w:bCs/>
          <w:sz w:val="20"/>
          <w:szCs w:val="20"/>
        </w:rPr>
      </w:pPr>
      <w:r>
        <w:rPr>
          <w:rFonts w:hAnsi="Cambria Math"/>
          <w:bCs/>
          <w:sz w:val="20"/>
          <w:szCs w:val="20"/>
        </w:rPr>
        <w:t xml:space="preserve">5 </w:t>
      </w:r>
      <w:r>
        <w:rPr>
          <w:rFonts w:hint="eastAsia" w:hAnsi="Cambria Math"/>
          <w:bCs/>
          <w:sz w:val="20"/>
          <w:szCs w:val="20"/>
        </w:rPr>
        <w:t>矩形顶管结构覆土小于</w:t>
      </w:r>
      <w:r>
        <w:rPr>
          <w:kern w:val="0"/>
          <w:sz w:val="20"/>
          <w:szCs w:val="20"/>
        </w:rPr>
        <w:t>1</w:t>
      </w:r>
      <w:r>
        <w:rPr>
          <w:rFonts w:hint="eastAsia" w:ascii="Cambria Math" w:cs="Cambria Math"/>
          <w:kern w:val="0"/>
          <w:sz w:val="20"/>
          <w:szCs w:val="20"/>
        </w:rPr>
        <w:t>倍顶管机宽度为浅覆土施工。</w:t>
      </w:r>
    </w:p>
    <w:p w14:paraId="457CFDD0">
      <w:pPr>
        <w:pStyle w:val="3"/>
        <w:snapToGrid w:val="0"/>
        <w:spacing w:before="240" w:beforeLines="100" w:after="0" w:line="288" w:lineRule="auto"/>
        <w:jc w:val="center"/>
        <w:rPr>
          <w:rFonts w:ascii="Times New Roman" w:hAnsi="Times New Roman"/>
          <w:sz w:val="20"/>
          <w:szCs w:val="21"/>
        </w:rPr>
      </w:pPr>
      <w:bookmarkStart w:id="460" w:name="_Toc188798596"/>
      <w:r>
        <w:rPr>
          <w:rFonts w:hint="eastAsia" w:ascii="Times New Roman" w:hAnsi="Times New Roman"/>
          <w:sz w:val="20"/>
          <w:szCs w:val="21"/>
        </w:rPr>
        <w:t>6.2</w:t>
      </w:r>
      <w:r>
        <w:rPr>
          <w:rFonts w:ascii="Times New Roman" w:hAnsi="Times New Roman"/>
          <w:sz w:val="20"/>
          <w:szCs w:val="21"/>
        </w:rPr>
        <w:t xml:space="preserve"> </w:t>
      </w:r>
      <w:r>
        <w:rPr>
          <w:rFonts w:hint="eastAsia" w:ascii="Times New Roman" w:hAnsi="Times New Roman"/>
          <w:sz w:val="20"/>
          <w:szCs w:val="21"/>
        </w:rPr>
        <w:t xml:space="preserve"> 利用车站结构始发、接收</w:t>
      </w:r>
      <w:bookmarkEnd w:id="460"/>
    </w:p>
    <w:p w14:paraId="7B55C6A6">
      <w:pPr>
        <w:snapToGrid w:val="0"/>
        <w:spacing w:line="288" w:lineRule="auto"/>
        <w:outlineLvl w:val="2"/>
        <w:rPr>
          <w:sz w:val="20"/>
          <w:szCs w:val="20"/>
        </w:rPr>
      </w:pPr>
      <w:r>
        <w:rPr>
          <w:rFonts w:hint="eastAsia"/>
          <w:b/>
          <w:sz w:val="20"/>
          <w:szCs w:val="20"/>
        </w:rPr>
        <w:t>6.2.1</w:t>
      </w:r>
      <w:r>
        <w:rPr>
          <w:b/>
          <w:sz w:val="20"/>
          <w:szCs w:val="20"/>
        </w:rPr>
        <w:t xml:space="preserve">  </w:t>
      </w:r>
      <w:r>
        <w:rPr>
          <w:rFonts w:hint="eastAsia"/>
          <w:sz w:val="20"/>
          <w:szCs w:val="20"/>
        </w:rPr>
        <w:t>由于施工条件限制，无法单独设置工作井时，可考虑将工作井设置在车站主体结构内。通常轨道交通采用矩形顶管的部位为出入口通道，通道与车站主体结构站厅层相连，即工作井设在主体结构中板上。车站结构设计时考虑顶管自重及施工荷载对车站中板的影响，如不满足要求，需要对车站中板进行支撑加固，并取得设计单位核算同意，车站结构设计时考虑顶管施工荷载，如没有考虑，需经设计单位核算同意；顶管机外壳与车站中板之间预留足够施工空间，以满足安装顶管导轨、主顶油缸、橡胶帘布等设施。</w:t>
      </w:r>
    </w:p>
    <w:p w14:paraId="2ED81A43">
      <w:pPr>
        <w:snapToGrid w:val="0"/>
        <w:spacing w:line="288" w:lineRule="auto"/>
        <w:outlineLvl w:val="2"/>
        <w:rPr>
          <w:sz w:val="20"/>
          <w:szCs w:val="20"/>
        </w:rPr>
      </w:pPr>
      <w:r>
        <w:rPr>
          <w:b/>
          <w:sz w:val="20"/>
          <w:szCs w:val="20"/>
        </w:rPr>
        <w:t>6</w:t>
      </w:r>
      <w:r>
        <w:rPr>
          <w:rFonts w:hint="eastAsia"/>
          <w:b/>
          <w:sz w:val="20"/>
          <w:szCs w:val="20"/>
        </w:rPr>
        <w:t>.</w:t>
      </w:r>
      <w:r>
        <w:rPr>
          <w:b/>
          <w:sz w:val="20"/>
          <w:szCs w:val="20"/>
        </w:rPr>
        <w:t>2</w:t>
      </w:r>
      <w:r>
        <w:rPr>
          <w:rFonts w:hint="eastAsia"/>
          <w:b/>
          <w:sz w:val="20"/>
          <w:szCs w:val="20"/>
        </w:rPr>
        <w:t>.5</w:t>
      </w:r>
      <w:r>
        <w:rPr>
          <w:rFonts w:hint="eastAsia"/>
          <w:sz w:val="20"/>
          <w:szCs w:val="20"/>
        </w:rPr>
        <w:t xml:space="preserve"> </w:t>
      </w:r>
      <w:r>
        <w:rPr>
          <w:sz w:val="20"/>
          <w:szCs w:val="20"/>
        </w:rPr>
        <w:t xml:space="preserve"> </w:t>
      </w:r>
      <w:r>
        <w:rPr>
          <w:rFonts w:hint="eastAsia"/>
          <w:bCs/>
          <w:sz w:val="20"/>
          <w:szCs w:val="20"/>
        </w:rPr>
        <w:t>本条主要规定了矩形顶管始发井临近车站侧墙的相关规定，矩形顶管机后靠车站始发可能存在始发井井壁紧邻车站主体侧墙或始发井井壁与车站侧墙之间有部分土体的情况，若始发井井壁紧邻车站侧墙，为了减少对车站侧墙的影响，保证矩形顶管安全顺利实施，车站墙体能承受顶管顶进时后背传递的力，必要时可进行加固；若始发井井壁与车站侧墙之间有部分土体，则为减少对侧墙的影响，确保顶管机顺利顶进，宜对其土体进行加固。</w:t>
      </w:r>
    </w:p>
    <w:p w14:paraId="6FE7E777">
      <w:pPr>
        <w:pStyle w:val="3"/>
        <w:snapToGrid w:val="0"/>
        <w:spacing w:before="240" w:beforeLines="100" w:after="0" w:line="288" w:lineRule="auto"/>
        <w:jc w:val="center"/>
        <w:rPr>
          <w:rFonts w:ascii="Times New Roman" w:hAnsi="Times New Roman"/>
          <w:sz w:val="20"/>
          <w:szCs w:val="21"/>
        </w:rPr>
      </w:pPr>
      <w:bookmarkStart w:id="461" w:name="_Toc188798597"/>
      <w:r>
        <w:rPr>
          <w:rFonts w:hint="eastAsia" w:ascii="Times New Roman" w:hAnsi="Times New Roman"/>
          <w:sz w:val="20"/>
          <w:szCs w:val="21"/>
        </w:rPr>
        <w:t>6.</w:t>
      </w:r>
      <w:r>
        <w:rPr>
          <w:rFonts w:ascii="Times New Roman" w:hAnsi="Times New Roman"/>
          <w:sz w:val="20"/>
          <w:szCs w:val="21"/>
        </w:rPr>
        <w:t>3</w:t>
      </w:r>
      <w:r>
        <w:rPr>
          <w:rFonts w:hint="eastAsia" w:ascii="Times New Roman" w:hAnsi="Times New Roman"/>
          <w:sz w:val="20"/>
          <w:szCs w:val="21"/>
        </w:rPr>
        <w:t xml:space="preserve">  工作井长度不足</w:t>
      </w:r>
      <w:bookmarkEnd w:id="461"/>
    </w:p>
    <w:p w14:paraId="08FE4FE1">
      <w:pPr>
        <w:snapToGrid w:val="0"/>
        <w:spacing w:line="288" w:lineRule="auto"/>
        <w:outlineLvl w:val="2"/>
        <w:rPr>
          <w:bCs/>
          <w:sz w:val="20"/>
          <w:szCs w:val="20"/>
        </w:rPr>
      </w:pPr>
      <w:r>
        <w:rPr>
          <w:rFonts w:hint="eastAsia"/>
          <w:b/>
          <w:sz w:val="20"/>
          <w:szCs w:val="20"/>
        </w:rPr>
        <w:t>6.</w:t>
      </w:r>
      <w:r>
        <w:rPr>
          <w:b/>
          <w:sz w:val="20"/>
          <w:szCs w:val="20"/>
        </w:rPr>
        <w:t>3</w:t>
      </w:r>
      <w:r>
        <w:rPr>
          <w:rFonts w:hint="eastAsia"/>
          <w:b/>
          <w:sz w:val="20"/>
          <w:szCs w:val="20"/>
        </w:rPr>
        <w:t>.</w:t>
      </w:r>
      <w:r>
        <w:rPr>
          <w:b/>
          <w:sz w:val="20"/>
          <w:szCs w:val="20"/>
        </w:rPr>
        <w:t>1</w:t>
      </w:r>
      <w:r>
        <w:rPr>
          <w:sz w:val="20"/>
          <w:szCs w:val="20"/>
        </w:rPr>
        <w:t xml:space="preserve">  </w:t>
      </w:r>
      <w:r>
        <w:rPr>
          <w:rFonts w:hint="eastAsia"/>
          <w:bCs/>
          <w:sz w:val="20"/>
          <w:szCs w:val="20"/>
        </w:rPr>
        <w:t>工作井长度不能满足顶管组装、解体及管节顶进要求，可在顶进方向暗挖一段始发隧洞，顶管机分段组装，并逐节推入隧洞；在隧洞内设置过渡导轨，导轨高程与轴线与工作井内导轨一致。</w:t>
      </w:r>
    </w:p>
    <w:p w14:paraId="45E1A872">
      <w:pPr>
        <w:pStyle w:val="3"/>
        <w:snapToGrid w:val="0"/>
        <w:spacing w:before="240" w:beforeLines="100" w:after="0" w:line="288" w:lineRule="auto"/>
        <w:jc w:val="center"/>
        <w:rPr>
          <w:rFonts w:ascii="Times New Roman" w:hAnsi="Times New Roman"/>
          <w:sz w:val="20"/>
          <w:szCs w:val="21"/>
        </w:rPr>
      </w:pPr>
      <w:bookmarkStart w:id="462" w:name="_Toc188798598"/>
      <w:r>
        <w:rPr>
          <w:rFonts w:hint="eastAsia" w:ascii="Times New Roman" w:hAnsi="Times New Roman"/>
          <w:sz w:val="20"/>
          <w:szCs w:val="21"/>
        </w:rPr>
        <w:t>6.</w:t>
      </w:r>
      <w:r>
        <w:rPr>
          <w:rFonts w:ascii="Times New Roman" w:hAnsi="Times New Roman"/>
          <w:sz w:val="20"/>
          <w:szCs w:val="21"/>
        </w:rPr>
        <w:t xml:space="preserve">4 </w:t>
      </w:r>
      <w:r>
        <w:rPr>
          <w:rFonts w:hint="eastAsia" w:ascii="Times New Roman" w:hAnsi="Times New Roman"/>
          <w:sz w:val="20"/>
          <w:szCs w:val="21"/>
        </w:rPr>
        <w:t xml:space="preserve"> 弃壳</w:t>
      </w:r>
      <w:bookmarkEnd w:id="462"/>
    </w:p>
    <w:p w14:paraId="3E4BD413">
      <w:pPr>
        <w:snapToGrid w:val="0"/>
        <w:spacing w:line="288" w:lineRule="auto"/>
        <w:outlineLvl w:val="2"/>
        <w:rPr>
          <w:bCs/>
          <w:sz w:val="20"/>
          <w:szCs w:val="20"/>
        </w:rPr>
      </w:pPr>
      <w:r>
        <w:rPr>
          <w:rFonts w:hint="eastAsia"/>
          <w:b/>
          <w:sz w:val="20"/>
          <w:szCs w:val="20"/>
        </w:rPr>
        <w:t>6.</w:t>
      </w:r>
      <w:r>
        <w:rPr>
          <w:b/>
          <w:sz w:val="20"/>
          <w:szCs w:val="20"/>
        </w:rPr>
        <w:t>4</w:t>
      </w:r>
      <w:r>
        <w:rPr>
          <w:rFonts w:hint="eastAsia"/>
          <w:b/>
          <w:sz w:val="20"/>
          <w:szCs w:val="20"/>
        </w:rPr>
        <w:t>.</w:t>
      </w:r>
      <w:r>
        <w:rPr>
          <w:b/>
          <w:sz w:val="20"/>
          <w:szCs w:val="20"/>
        </w:rPr>
        <w:t>1</w:t>
      </w:r>
      <w:r>
        <w:rPr>
          <w:sz w:val="20"/>
          <w:szCs w:val="20"/>
        </w:rPr>
        <w:t xml:space="preserve">  </w:t>
      </w:r>
      <w:r>
        <w:rPr>
          <w:rFonts w:hint="eastAsia"/>
          <w:bCs/>
          <w:sz w:val="20"/>
          <w:szCs w:val="20"/>
        </w:rPr>
        <w:t>当无法设置接收井或设置接收井造价较高时，可采用弃壳方案，顶管机设计制造时考虑拆解方便，机壳作为支撑土体结构强度要求。</w:t>
      </w:r>
    </w:p>
    <w:p w14:paraId="73DCE931">
      <w:pPr>
        <w:snapToGrid w:val="0"/>
        <w:spacing w:line="288" w:lineRule="auto"/>
        <w:outlineLvl w:val="2"/>
        <w:rPr>
          <w:bCs/>
          <w:sz w:val="20"/>
          <w:szCs w:val="20"/>
        </w:rPr>
      </w:pPr>
      <w:r>
        <w:rPr>
          <w:rFonts w:hint="eastAsia"/>
          <w:b/>
          <w:sz w:val="20"/>
          <w:szCs w:val="20"/>
        </w:rPr>
        <w:t>6.</w:t>
      </w:r>
      <w:r>
        <w:rPr>
          <w:b/>
          <w:sz w:val="20"/>
          <w:szCs w:val="20"/>
        </w:rPr>
        <w:t>4</w:t>
      </w:r>
      <w:r>
        <w:rPr>
          <w:rFonts w:hint="eastAsia"/>
          <w:b/>
          <w:sz w:val="20"/>
          <w:szCs w:val="20"/>
        </w:rPr>
        <w:t>.</w:t>
      </w:r>
      <w:r>
        <w:rPr>
          <w:b/>
          <w:sz w:val="20"/>
          <w:szCs w:val="20"/>
        </w:rPr>
        <w:t>2</w:t>
      </w:r>
      <w:r>
        <w:rPr>
          <w:sz w:val="20"/>
          <w:szCs w:val="20"/>
        </w:rPr>
        <w:t xml:space="preserve">  </w:t>
      </w:r>
      <w:r>
        <w:rPr>
          <w:rFonts w:hint="eastAsia"/>
          <w:sz w:val="20"/>
          <w:szCs w:val="20"/>
        </w:rPr>
        <w:t>一般情况下弃壳接收时，接收位置在临近车站主体一侧，为了保证施工安全，顶管机刀盘顶至车站围护结构前，需对顶管机与车站主体围护结构之间的土体进行加固，加固方式根据工程实际情况进行选择</w:t>
      </w:r>
      <w:r>
        <w:rPr>
          <w:rFonts w:hint="eastAsia"/>
          <w:bCs/>
          <w:sz w:val="20"/>
          <w:szCs w:val="20"/>
        </w:rPr>
        <w:t>；一种</w:t>
      </w:r>
      <w:r>
        <w:rPr>
          <w:bCs/>
          <w:sz w:val="20"/>
          <w:szCs w:val="20"/>
        </w:rPr>
        <w:t>方式为刀盘临近既有结构，</w:t>
      </w:r>
      <w:r>
        <w:rPr>
          <w:rFonts w:hint="eastAsia"/>
          <w:bCs/>
          <w:sz w:val="20"/>
          <w:szCs w:val="20"/>
        </w:rPr>
        <w:t>通过破除车站预留洞门后进行刀盘拆除，另一种</w:t>
      </w:r>
      <w:r>
        <w:rPr>
          <w:bCs/>
          <w:sz w:val="20"/>
          <w:szCs w:val="20"/>
        </w:rPr>
        <w:t>方式为刀盘</w:t>
      </w:r>
      <w:r>
        <w:rPr>
          <w:rFonts w:hint="eastAsia"/>
          <w:bCs/>
          <w:sz w:val="20"/>
          <w:szCs w:val="20"/>
        </w:rPr>
        <w:t>进入</w:t>
      </w:r>
      <w:r>
        <w:rPr>
          <w:bCs/>
          <w:sz w:val="20"/>
          <w:szCs w:val="20"/>
        </w:rPr>
        <w:t>既有结构</w:t>
      </w:r>
      <w:r>
        <w:rPr>
          <w:rFonts w:hint="eastAsia"/>
          <w:bCs/>
          <w:sz w:val="20"/>
          <w:szCs w:val="20"/>
        </w:rPr>
        <w:t>内</w:t>
      </w:r>
      <w:r>
        <w:rPr>
          <w:bCs/>
          <w:sz w:val="20"/>
          <w:szCs w:val="20"/>
        </w:rPr>
        <w:t>，在既有结构内进行刀盘拆除</w:t>
      </w:r>
      <w:r>
        <w:rPr>
          <w:rFonts w:hint="eastAsia"/>
          <w:bCs/>
          <w:sz w:val="20"/>
          <w:szCs w:val="20"/>
        </w:rPr>
        <w:t>。</w:t>
      </w:r>
    </w:p>
    <w:p w14:paraId="1CD2AC44">
      <w:pPr>
        <w:pStyle w:val="3"/>
        <w:snapToGrid w:val="0"/>
        <w:spacing w:before="240" w:beforeLines="100" w:after="0" w:line="288" w:lineRule="auto"/>
        <w:jc w:val="center"/>
        <w:rPr>
          <w:rFonts w:ascii="Times New Roman" w:hAnsi="Times New Roman"/>
          <w:sz w:val="20"/>
          <w:szCs w:val="21"/>
        </w:rPr>
      </w:pPr>
      <w:bookmarkStart w:id="463" w:name="_Toc188798599"/>
      <w:r>
        <w:rPr>
          <w:rFonts w:hint="eastAsia" w:ascii="Times New Roman" w:hAnsi="Times New Roman"/>
          <w:sz w:val="20"/>
          <w:szCs w:val="21"/>
        </w:rPr>
        <w:t>6.</w:t>
      </w:r>
      <w:r>
        <w:rPr>
          <w:rFonts w:ascii="Times New Roman" w:hAnsi="Times New Roman"/>
          <w:sz w:val="20"/>
          <w:szCs w:val="21"/>
        </w:rPr>
        <w:t xml:space="preserve">5 </w:t>
      </w:r>
      <w:r>
        <w:rPr>
          <w:rFonts w:hint="eastAsia" w:ascii="Times New Roman" w:hAnsi="Times New Roman"/>
          <w:sz w:val="20"/>
          <w:szCs w:val="21"/>
        </w:rPr>
        <w:t xml:space="preserve"> 钢套筒接收及过井</w:t>
      </w:r>
      <w:bookmarkEnd w:id="463"/>
    </w:p>
    <w:p w14:paraId="463A69B7">
      <w:pPr>
        <w:snapToGrid w:val="0"/>
        <w:spacing w:line="288" w:lineRule="auto"/>
        <w:outlineLvl w:val="2"/>
        <w:rPr>
          <w:sz w:val="20"/>
          <w:szCs w:val="20"/>
        </w:rPr>
      </w:pPr>
      <w:r>
        <w:rPr>
          <w:rFonts w:hint="eastAsia"/>
          <w:b/>
          <w:sz w:val="20"/>
          <w:szCs w:val="20"/>
        </w:rPr>
        <w:t>6</w:t>
      </w:r>
      <w:r>
        <w:rPr>
          <w:b/>
          <w:sz w:val="20"/>
          <w:szCs w:val="20"/>
        </w:rPr>
        <w:t>.5.1</w:t>
      </w:r>
      <w:r>
        <w:rPr>
          <w:sz w:val="20"/>
          <w:szCs w:val="20"/>
        </w:rPr>
        <w:t xml:space="preserve"> </w:t>
      </w:r>
      <w:r>
        <w:rPr>
          <w:rFonts w:hint="eastAsia"/>
          <w:sz w:val="20"/>
          <w:szCs w:val="20"/>
        </w:rPr>
        <w:t xml:space="preserve"> 钢套筒渗漏检测：从加水孔向钢套筒内加水，压力不低于始发段水土压力，并维持压力稳定，确保各个连接部分无漏水情况，各个焊缝位置无脱焊情况。</w:t>
      </w:r>
    </w:p>
    <w:p w14:paraId="16F3448E">
      <w:pPr>
        <w:snapToGrid w:val="0"/>
        <w:spacing w:line="288" w:lineRule="auto"/>
        <w:outlineLvl w:val="2"/>
        <w:rPr>
          <w:bCs/>
          <w:sz w:val="20"/>
          <w:szCs w:val="20"/>
        </w:rPr>
      </w:pPr>
      <w:r>
        <w:rPr>
          <w:rFonts w:hint="eastAsia"/>
          <w:b/>
          <w:sz w:val="20"/>
          <w:szCs w:val="20"/>
        </w:rPr>
        <w:t>6.</w:t>
      </w:r>
      <w:r>
        <w:rPr>
          <w:b/>
          <w:sz w:val="20"/>
          <w:szCs w:val="20"/>
        </w:rPr>
        <w:t>5</w:t>
      </w:r>
      <w:r>
        <w:rPr>
          <w:rFonts w:hint="eastAsia"/>
          <w:b/>
          <w:sz w:val="20"/>
          <w:szCs w:val="20"/>
        </w:rPr>
        <w:t>.</w:t>
      </w:r>
      <w:r>
        <w:rPr>
          <w:b/>
          <w:sz w:val="20"/>
          <w:szCs w:val="20"/>
        </w:rPr>
        <w:t>3</w:t>
      </w:r>
      <w:r>
        <w:rPr>
          <w:sz w:val="20"/>
          <w:szCs w:val="20"/>
        </w:rPr>
        <w:t xml:space="preserve">  </w:t>
      </w:r>
      <w:r>
        <w:rPr>
          <w:rFonts w:hint="eastAsia"/>
          <w:bCs/>
          <w:sz w:val="20"/>
          <w:szCs w:val="20"/>
        </w:rPr>
        <w:t>本条适用于无地下水或降水工况，制定切实可行的防止洞口密封失效、洞门凿除过程中和凿除后的安全技术措施、应急预案。当有地下水时不建议采用空推过井。</w:t>
      </w:r>
    </w:p>
    <w:p w14:paraId="17E3A44D">
      <w:pPr>
        <w:snapToGrid w:val="0"/>
        <w:spacing w:line="288" w:lineRule="auto"/>
        <w:outlineLvl w:val="2"/>
        <w:rPr>
          <w:bCs/>
          <w:sz w:val="20"/>
          <w:szCs w:val="20"/>
        </w:rPr>
      </w:pPr>
      <w:r>
        <w:rPr>
          <w:b/>
          <w:sz w:val="20"/>
          <w:szCs w:val="20"/>
        </w:rPr>
        <w:t>6</w:t>
      </w:r>
      <w:r>
        <w:rPr>
          <w:rFonts w:hint="eastAsia"/>
          <w:b/>
          <w:sz w:val="20"/>
          <w:szCs w:val="20"/>
        </w:rPr>
        <w:t>.</w:t>
      </w:r>
      <w:r>
        <w:rPr>
          <w:b/>
          <w:sz w:val="20"/>
          <w:szCs w:val="20"/>
        </w:rPr>
        <w:t>5</w:t>
      </w:r>
      <w:r>
        <w:rPr>
          <w:rFonts w:hint="eastAsia"/>
          <w:b/>
          <w:sz w:val="20"/>
          <w:szCs w:val="20"/>
        </w:rPr>
        <w:t>.</w:t>
      </w:r>
      <w:r>
        <w:rPr>
          <w:b/>
          <w:sz w:val="20"/>
          <w:szCs w:val="20"/>
        </w:rPr>
        <w:t>4</w:t>
      </w:r>
      <w:r>
        <w:rPr>
          <w:sz w:val="20"/>
          <w:szCs w:val="20"/>
        </w:rPr>
        <w:t xml:space="preserve">  </w:t>
      </w:r>
      <w:r>
        <w:rPr>
          <w:rFonts w:hint="eastAsia"/>
          <w:bCs/>
          <w:sz w:val="20"/>
          <w:szCs w:val="20"/>
        </w:rPr>
        <w:t>回填过井一般适用于四周封闭井段。如设计对填土高度和密实度无要求，填土高度满足土仓水土压力及保持触变泥浆压力的要求，密实度不低于</w:t>
      </w:r>
      <w:r>
        <w:rPr>
          <w:bCs/>
          <w:sz w:val="20"/>
          <w:szCs w:val="20"/>
        </w:rPr>
        <w:t>90%</w:t>
      </w:r>
      <w:r>
        <w:rPr>
          <w:rFonts w:hint="eastAsia"/>
          <w:bCs/>
          <w:sz w:val="20"/>
          <w:szCs w:val="20"/>
        </w:rPr>
        <w:t>。</w:t>
      </w:r>
    </w:p>
    <w:p w14:paraId="5792F727">
      <w:pPr>
        <w:pStyle w:val="3"/>
        <w:snapToGrid w:val="0"/>
        <w:spacing w:before="240" w:beforeLines="100" w:after="0" w:line="288" w:lineRule="auto"/>
        <w:ind w:firstLine="420"/>
        <w:jc w:val="center"/>
        <w:rPr>
          <w:rFonts w:ascii="Times New Roman" w:hAnsi="Times New Roman"/>
          <w:sz w:val="20"/>
          <w:szCs w:val="21"/>
        </w:rPr>
      </w:pPr>
      <w:bookmarkStart w:id="464" w:name="_Toc188798600"/>
      <w:r>
        <w:rPr>
          <w:rFonts w:hint="eastAsia" w:ascii="Times New Roman" w:hAnsi="Times New Roman"/>
          <w:sz w:val="20"/>
          <w:szCs w:val="21"/>
        </w:rPr>
        <w:t>6.</w:t>
      </w:r>
      <w:r>
        <w:rPr>
          <w:rFonts w:ascii="Times New Roman" w:hAnsi="Times New Roman"/>
          <w:sz w:val="20"/>
          <w:szCs w:val="21"/>
        </w:rPr>
        <w:t>6</w:t>
      </w:r>
      <w:r>
        <w:rPr>
          <w:rFonts w:hint="eastAsia" w:ascii="Times New Roman" w:hAnsi="Times New Roman"/>
          <w:sz w:val="20"/>
          <w:szCs w:val="21"/>
        </w:rPr>
        <w:t xml:space="preserve">  浅覆土</w:t>
      </w:r>
      <w:bookmarkEnd w:id="464"/>
    </w:p>
    <w:p w14:paraId="1A52D4C4">
      <w:pPr>
        <w:snapToGrid w:val="0"/>
        <w:spacing w:line="288" w:lineRule="auto"/>
        <w:outlineLvl w:val="2"/>
        <w:rPr>
          <w:sz w:val="20"/>
          <w:szCs w:val="20"/>
        </w:rPr>
      </w:pPr>
      <w:r>
        <w:rPr>
          <w:b/>
          <w:sz w:val="20"/>
          <w:szCs w:val="20"/>
        </w:rPr>
        <w:t>6.6.1</w:t>
      </w:r>
      <w:r>
        <w:rPr>
          <w:sz w:val="20"/>
        </w:rPr>
        <w:t xml:space="preserve">  </w:t>
      </w:r>
      <w:r>
        <w:rPr>
          <w:rFonts w:hint="eastAsia"/>
          <w:sz w:val="20"/>
        </w:rPr>
        <w:t>减阻泥浆、</w:t>
      </w:r>
      <w:r>
        <w:rPr>
          <w:sz w:val="20"/>
          <w:szCs w:val="20"/>
        </w:rPr>
        <w:t>浓泥注入</w:t>
      </w:r>
      <w:r>
        <w:rPr>
          <w:rFonts w:hint="eastAsia"/>
          <w:sz w:val="20"/>
          <w:szCs w:val="20"/>
        </w:rPr>
        <w:t>及泥浆置换</w:t>
      </w:r>
      <w:r>
        <w:rPr>
          <w:sz w:val="20"/>
          <w:szCs w:val="20"/>
        </w:rPr>
        <w:t>应</w:t>
      </w:r>
      <w:r>
        <w:rPr>
          <w:rFonts w:hint="eastAsia"/>
          <w:sz w:val="20"/>
          <w:szCs w:val="20"/>
        </w:rPr>
        <w:t>以注入</w:t>
      </w:r>
      <w:r>
        <w:rPr>
          <w:sz w:val="20"/>
          <w:szCs w:val="20"/>
        </w:rPr>
        <w:t>压力为主控参数</w:t>
      </w:r>
      <w:r>
        <w:rPr>
          <w:sz w:val="20"/>
        </w:rPr>
        <w:t>，注浆量作为</w:t>
      </w:r>
      <w:r>
        <w:rPr>
          <w:rFonts w:hint="eastAsia"/>
          <w:sz w:val="20"/>
        </w:rPr>
        <w:t>参考。</w:t>
      </w:r>
      <w:r>
        <w:rPr>
          <w:rFonts w:hint="eastAsia"/>
          <w:sz w:val="20"/>
          <w:szCs w:val="20"/>
        </w:rPr>
        <w:t>注入压力需经计算确定，不大于覆土的竖向土压力，且不得溢出地面。</w:t>
      </w:r>
    </w:p>
    <w:p w14:paraId="04057D4F">
      <w:pPr>
        <w:snapToGrid w:val="0"/>
        <w:spacing w:line="288" w:lineRule="auto"/>
        <w:outlineLvl w:val="2"/>
        <w:rPr>
          <w:sz w:val="20"/>
          <w:szCs w:val="20"/>
        </w:rPr>
      </w:pPr>
      <w:r>
        <w:rPr>
          <w:rFonts w:hint="eastAsia"/>
          <w:b/>
          <w:sz w:val="20"/>
          <w:szCs w:val="20"/>
        </w:rPr>
        <w:t>6.6.</w:t>
      </w:r>
      <w:r>
        <w:rPr>
          <w:b/>
          <w:sz w:val="20"/>
          <w:szCs w:val="20"/>
        </w:rPr>
        <w:t>3</w:t>
      </w:r>
      <w:r>
        <w:rPr>
          <w:sz w:val="20"/>
        </w:rPr>
        <w:t xml:space="preserve">  </w:t>
      </w:r>
      <w:r>
        <w:rPr>
          <w:rFonts w:hint="eastAsia"/>
          <w:sz w:val="20"/>
          <w:szCs w:val="20"/>
        </w:rPr>
        <w:t>矩形顶管在施工中，由于顶管机对土体的剪切、挤压作用，地表不可避免发生变形，产生较大的隆起或沉降。通过昌平线南延矩形顶管施工技术研究，选取土仓压力为理论土压力（静止</w:t>
      </w:r>
      <w:r>
        <w:rPr>
          <w:sz w:val="20"/>
          <w:szCs w:val="20"/>
        </w:rPr>
        <w:t>土压力</w:t>
      </w:r>
      <w:r>
        <w:rPr>
          <w:rFonts w:hint="eastAsia"/>
          <w:sz w:val="20"/>
          <w:szCs w:val="20"/>
        </w:rPr>
        <w:t>）、超土压、欠土压等工况进行模拟，分析地表竖向位移规律，得到最优土仓压力范围。根据以上不同的掘进工况，得到在理论土压力的基础上增加掘进压力，可以有效减少上覆地表的沉降值，当掘进压力为</w:t>
      </w:r>
      <w:r>
        <w:rPr>
          <w:sz w:val="20"/>
          <w:szCs w:val="20"/>
        </w:rPr>
        <w:t>110 Kpa</w:t>
      </w:r>
      <w:r>
        <w:rPr>
          <w:rFonts w:hint="eastAsia"/>
          <w:sz w:val="20"/>
          <w:szCs w:val="20"/>
        </w:rPr>
        <w:t>（超土压</w:t>
      </w:r>
      <w:r>
        <w:rPr>
          <w:sz w:val="20"/>
          <w:szCs w:val="20"/>
        </w:rPr>
        <w:t>30 KPa</w:t>
      </w:r>
      <w:r>
        <w:rPr>
          <w:rFonts w:hint="eastAsia"/>
          <w:sz w:val="20"/>
          <w:szCs w:val="20"/>
        </w:rPr>
        <w:t>）的时候，地表出现明显隆起的情况；掘进过程中，土仓压力小于理论土压力时，地表沉降较大，超过了控制值。超土压</w:t>
      </w:r>
      <w:r>
        <w:rPr>
          <w:sz w:val="20"/>
          <w:szCs w:val="20"/>
        </w:rPr>
        <w:t>20 Kpa</w:t>
      </w:r>
      <w:r>
        <w:rPr>
          <w:rFonts w:hint="eastAsia"/>
          <w:sz w:val="20"/>
          <w:szCs w:val="20"/>
        </w:rPr>
        <w:t>是最优的掘进压力，该工况下土体变形可以由掘进前期微隆起及后续沉降的地下作用，形成较为理想的变形情况，地表沉降控制效果良好，实现大断面矩形顶管下穿施工对地表的微扰动。所以在浅覆土施工时，由于覆土荷载减小，使开挖面压力允许的管理幅度缩小，即使少量的误差，也可能给开挖面稳定带来很大影响，结合以上研究成果，浅覆土施工始发土仓压力计算宜取高于静止土压力20Kpa~30Kpa。</w:t>
      </w:r>
    </w:p>
    <w:p w14:paraId="1C257B34">
      <w:pPr>
        <w:pStyle w:val="3"/>
        <w:snapToGrid w:val="0"/>
        <w:spacing w:before="240" w:beforeLines="100" w:after="0" w:line="288" w:lineRule="auto"/>
        <w:jc w:val="center"/>
        <w:rPr>
          <w:sz w:val="20"/>
        </w:rPr>
      </w:pPr>
      <w:bookmarkStart w:id="465" w:name="_Toc188798601"/>
      <w:r>
        <w:rPr>
          <w:rFonts w:ascii="Times New Roman" w:hAnsi="Times New Roman"/>
          <w:sz w:val="20"/>
          <w:szCs w:val="21"/>
        </w:rPr>
        <w:t>6.7</w:t>
      </w:r>
      <w:r>
        <w:rPr>
          <w:rFonts w:hint="eastAsia" w:ascii="Times New Roman" w:hAnsi="Times New Roman"/>
          <w:sz w:val="20"/>
          <w:szCs w:val="21"/>
        </w:rPr>
        <w:t xml:space="preserve"> </w:t>
      </w:r>
      <w:r>
        <w:rPr>
          <w:rFonts w:hint="eastAsia"/>
          <w:sz w:val="20"/>
        </w:rPr>
        <w:t>穿越特、一级风险源</w:t>
      </w:r>
      <w:bookmarkEnd w:id="465"/>
    </w:p>
    <w:p w14:paraId="2F1999BF">
      <w:pPr>
        <w:snapToGrid w:val="0"/>
        <w:spacing w:line="288" w:lineRule="auto"/>
        <w:outlineLvl w:val="2"/>
        <w:rPr>
          <w:sz w:val="20"/>
        </w:rPr>
      </w:pPr>
      <w:r>
        <w:rPr>
          <w:rFonts w:hint="eastAsia"/>
          <w:b/>
          <w:sz w:val="20"/>
          <w:szCs w:val="20"/>
        </w:rPr>
        <w:t>6.7.2</w:t>
      </w:r>
      <w:r>
        <w:rPr>
          <w:sz w:val="20"/>
        </w:rPr>
        <w:t xml:space="preserve">  </w:t>
      </w:r>
      <w:r>
        <w:rPr>
          <w:rFonts w:hint="eastAsia" w:ascii="Cambria Math" w:hAnsi="Cambria Math" w:cs="Cambria Math" w:eastAsiaTheme="minorEastAsia"/>
          <w:kern w:val="0"/>
          <w:sz w:val="20"/>
          <w:szCs w:val="20"/>
          <w:lang w:bidi="ar"/>
        </w:rPr>
        <w:t>特、一级风险源一般为既有铁路、地铁结构、桥梁及重要的建筑物等，根据北京市相关要求，穿越前需对穿越风险源顶管施工进行评估，评估顶管施工对风险源的影响；穿越前根据穿越的风险源不同，评估确定的变形控制值，结合风险源的专业特点及权属单位相关技术要求，编制具体的穿越专项方案（含应急预案）；专项方案必须报风险源的权属部门审批认可，如穿越既有地铁结构，要报地铁运营单位审批认可</w:t>
      </w:r>
      <w:r>
        <w:rPr>
          <w:rFonts w:hint="eastAsia"/>
          <w:sz w:val="20"/>
          <w:szCs w:val="20"/>
        </w:rPr>
        <w:t>。</w:t>
      </w:r>
    </w:p>
    <w:p w14:paraId="60A5CADF">
      <w:pPr>
        <w:snapToGrid w:val="0"/>
        <w:spacing w:line="288" w:lineRule="auto"/>
        <w:outlineLvl w:val="2"/>
        <w:rPr>
          <w:sz w:val="20"/>
        </w:rPr>
      </w:pPr>
      <w:r>
        <w:rPr>
          <w:rFonts w:hint="eastAsia"/>
          <w:b/>
          <w:sz w:val="20"/>
          <w:szCs w:val="20"/>
        </w:rPr>
        <w:t>6.7.4</w:t>
      </w:r>
      <w:r>
        <w:rPr>
          <w:sz w:val="20"/>
        </w:rPr>
        <w:t xml:space="preserve">  </w:t>
      </w:r>
      <w:r>
        <w:rPr>
          <w:rFonts w:hint="eastAsia" w:ascii="Cambria Math" w:hAnsi="Cambria Math" w:cs="Cambria Math" w:eastAsiaTheme="minorEastAsia"/>
          <w:kern w:val="0"/>
          <w:sz w:val="20"/>
          <w:szCs w:val="20"/>
          <w:lang w:bidi="ar"/>
        </w:rPr>
        <w:t>为了保证安全顺利穿越特、一级风险源，根据现场实际情况，设穿越前顶进试验段，同时在试验段设置监测断面。通过分析地层变形情况、顶力变化情况，确定减租触变泥浆配比、土仓压力、顶力等顶进参数</w:t>
      </w:r>
      <w:r>
        <w:rPr>
          <w:rFonts w:hint="eastAsia"/>
          <w:sz w:val="20"/>
          <w:szCs w:val="20"/>
        </w:rPr>
        <w:t>。</w:t>
      </w:r>
    </w:p>
    <w:p w14:paraId="27968BDF">
      <w:pPr>
        <w:snapToGrid w:val="0"/>
        <w:spacing w:line="288" w:lineRule="auto"/>
        <w:outlineLvl w:val="2"/>
        <w:rPr>
          <w:sz w:val="20"/>
        </w:rPr>
      </w:pPr>
      <w:r>
        <w:rPr>
          <w:rFonts w:hint="eastAsia"/>
          <w:b/>
          <w:sz w:val="20"/>
          <w:szCs w:val="20"/>
        </w:rPr>
        <w:t>6.7.5</w:t>
      </w:r>
      <w:r>
        <w:rPr>
          <w:sz w:val="20"/>
        </w:rPr>
        <w:t xml:space="preserve">  </w:t>
      </w:r>
      <w:r>
        <w:rPr>
          <w:rFonts w:hint="eastAsia" w:ascii="Cambria Math" w:hAnsi="Cambria Math" w:cs="Cambria Math" w:eastAsiaTheme="minorEastAsia"/>
          <w:kern w:val="0"/>
          <w:sz w:val="20"/>
          <w:szCs w:val="20"/>
          <w:lang w:bidi="ar"/>
        </w:rPr>
        <w:t>穿越特、</w:t>
      </w:r>
      <w:r>
        <w:rPr>
          <w:rFonts w:hint="eastAsia" w:ascii="宋体" w:hAnsi="宋体" w:cs="宋体"/>
          <w:kern w:val="0"/>
          <w:sz w:val="20"/>
          <w:szCs w:val="20"/>
          <w:lang w:bidi="ar"/>
        </w:rPr>
        <w:t>一级风险源顶进时</w:t>
      </w:r>
      <w:r>
        <w:rPr>
          <w:rFonts w:hint="eastAsia" w:ascii="Cambria Math" w:hAnsi="Cambria Math" w:cs="Cambria Math" w:eastAsiaTheme="minorEastAsia"/>
          <w:kern w:val="0"/>
          <w:sz w:val="20"/>
          <w:szCs w:val="20"/>
          <w:lang w:bidi="ar"/>
        </w:rPr>
        <w:t>，要控制顶进速度，速度时快时慢可能会导致地层变形过大，通过对昌平线南延矩形顶管施工地层变形及顶进参数进行分析，顶进速度控制在</w:t>
      </w:r>
      <w:r>
        <w:rPr>
          <w:sz w:val="20"/>
          <w:szCs w:val="20"/>
        </w:rPr>
        <w:t>10 mm/min</w:t>
      </w:r>
      <w:r>
        <w:rPr>
          <w:rFonts w:hint="eastAsia"/>
          <w:sz w:val="20"/>
          <w:szCs w:val="20"/>
        </w:rPr>
        <w:t>～</w:t>
      </w:r>
      <w:r>
        <w:rPr>
          <w:sz w:val="20"/>
          <w:szCs w:val="20"/>
        </w:rPr>
        <w:t>20 mm/min</w:t>
      </w:r>
      <w:r>
        <w:rPr>
          <w:rFonts w:hint="eastAsia"/>
          <w:sz w:val="20"/>
          <w:szCs w:val="20"/>
        </w:rPr>
        <w:t>之间</w:t>
      </w:r>
      <w:r>
        <w:rPr>
          <w:rFonts w:hint="eastAsia" w:ascii="Cambria Math" w:hAnsi="Cambria Math" w:cs="Cambria Math" w:eastAsiaTheme="minorEastAsia"/>
          <w:kern w:val="0"/>
          <w:sz w:val="20"/>
          <w:szCs w:val="20"/>
          <w:lang w:bidi="ar"/>
        </w:rPr>
        <w:t>对地层变化影响较小，且比较稳定</w:t>
      </w:r>
      <w:r>
        <w:rPr>
          <w:rFonts w:hint="eastAsia"/>
          <w:sz w:val="20"/>
          <w:szCs w:val="20"/>
        </w:rPr>
        <w:t>。</w:t>
      </w:r>
    </w:p>
    <w:p w14:paraId="712852F4">
      <w:pPr>
        <w:snapToGrid w:val="0"/>
        <w:spacing w:line="288" w:lineRule="auto"/>
        <w:ind w:firstLine="300" w:firstLineChars="150"/>
        <w:rPr>
          <w:sz w:val="20"/>
          <w:szCs w:val="20"/>
        </w:rPr>
      </w:pPr>
    </w:p>
    <w:p w14:paraId="6661E62C"/>
    <w:p w14:paraId="68472B55">
      <w:pPr>
        <w:snapToGrid w:val="0"/>
        <w:spacing w:line="288" w:lineRule="auto"/>
        <w:ind w:left="2" w:hanging="2"/>
        <w:jc w:val="center"/>
        <w:outlineLvl w:val="0"/>
        <w:rPr>
          <w:rFonts w:eastAsia="黑体"/>
          <w:b/>
          <w:bCs/>
          <w:kern w:val="44"/>
          <w:sz w:val="26"/>
          <w:szCs w:val="26"/>
        </w:rPr>
      </w:pPr>
      <w:r>
        <w:rPr>
          <w:bCs/>
          <w:sz w:val="20"/>
          <w:szCs w:val="20"/>
        </w:rPr>
        <w:br w:type="page"/>
      </w:r>
      <w:bookmarkStart w:id="466" w:name="_Toc188798602"/>
      <w:r>
        <w:rPr>
          <w:rFonts w:eastAsia="黑体"/>
          <w:b/>
          <w:bCs/>
          <w:kern w:val="44"/>
          <w:sz w:val="26"/>
          <w:szCs w:val="26"/>
        </w:rPr>
        <w:t>7</w:t>
      </w:r>
      <w:r>
        <w:rPr>
          <w:rFonts w:hint="eastAsia" w:eastAsia="黑体"/>
          <w:b/>
          <w:bCs/>
          <w:kern w:val="44"/>
          <w:sz w:val="26"/>
          <w:szCs w:val="26"/>
        </w:rPr>
        <w:t xml:space="preserve">  质量检验与验收</w:t>
      </w:r>
      <w:bookmarkEnd w:id="466"/>
    </w:p>
    <w:p w14:paraId="6488FFB3">
      <w:pPr>
        <w:snapToGrid w:val="0"/>
        <w:spacing w:line="288" w:lineRule="auto"/>
        <w:rPr>
          <w:sz w:val="20"/>
          <w:szCs w:val="20"/>
        </w:rPr>
      </w:pPr>
    </w:p>
    <w:p w14:paraId="4A9F6928">
      <w:pPr>
        <w:pStyle w:val="3"/>
        <w:snapToGrid w:val="0"/>
        <w:spacing w:before="0" w:after="0" w:line="288" w:lineRule="auto"/>
        <w:jc w:val="center"/>
        <w:rPr>
          <w:rFonts w:ascii="Times New Roman" w:hAnsi="Times New Roman"/>
          <w:sz w:val="20"/>
          <w:szCs w:val="21"/>
        </w:rPr>
      </w:pPr>
      <w:bookmarkStart w:id="467" w:name="_Toc188798603"/>
      <w:r>
        <w:rPr>
          <w:rFonts w:ascii="Times New Roman" w:hAnsi="Times New Roman"/>
          <w:sz w:val="20"/>
          <w:szCs w:val="21"/>
        </w:rPr>
        <w:t xml:space="preserve">7.1 </w:t>
      </w:r>
      <w:r>
        <w:rPr>
          <w:rFonts w:hint="eastAsia" w:ascii="Times New Roman" w:hAnsi="Times New Roman"/>
          <w:sz w:val="20"/>
          <w:szCs w:val="21"/>
        </w:rPr>
        <w:t xml:space="preserve"> 一般规定</w:t>
      </w:r>
      <w:bookmarkEnd w:id="467"/>
      <w:r>
        <w:rPr>
          <w:rFonts w:hint="eastAsia" w:ascii="Times New Roman" w:hAnsi="Times New Roman"/>
          <w:sz w:val="20"/>
          <w:szCs w:val="21"/>
        </w:rPr>
        <w:t xml:space="preserve"> </w:t>
      </w:r>
    </w:p>
    <w:p w14:paraId="38F509A0">
      <w:pPr>
        <w:snapToGrid w:val="0"/>
        <w:spacing w:line="288" w:lineRule="auto"/>
        <w:outlineLvl w:val="2"/>
        <w:rPr>
          <w:sz w:val="20"/>
          <w:szCs w:val="20"/>
        </w:rPr>
      </w:pPr>
      <w:r>
        <w:rPr>
          <w:b/>
          <w:bCs/>
          <w:sz w:val="20"/>
          <w:szCs w:val="20"/>
        </w:rPr>
        <w:t xml:space="preserve">7.1.2  </w:t>
      </w:r>
      <w:r>
        <w:rPr>
          <w:rFonts w:hint="eastAsia"/>
          <w:sz w:val="20"/>
          <w:szCs w:val="20"/>
        </w:rPr>
        <w:t>本条规定顶管工程施工质量验收基础条件是施工单位自检合格，并按检验批、分项工程、分部工程、单位工程依次如下进行：</w:t>
      </w:r>
    </w:p>
    <w:p w14:paraId="398FC859">
      <w:pPr>
        <w:snapToGrid w:val="0"/>
        <w:spacing w:line="288" w:lineRule="auto"/>
        <w:ind w:firstLine="300" w:firstLineChars="150"/>
        <w:rPr>
          <w:sz w:val="20"/>
          <w:szCs w:val="20"/>
        </w:rPr>
      </w:pPr>
      <w:r>
        <w:rPr>
          <w:sz w:val="20"/>
          <w:szCs w:val="20"/>
        </w:rPr>
        <w:t xml:space="preserve">a) </w:t>
      </w:r>
      <w:r>
        <w:rPr>
          <w:rFonts w:hint="eastAsia"/>
          <w:sz w:val="20"/>
          <w:szCs w:val="20"/>
        </w:rPr>
        <w:t>检验批是工程项目验收的基础，验收分为主控项目和一般项目；</w:t>
      </w:r>
      <w:r>
        <w:rPr>
          <w:sz w:val="20"/>
          <w:szCs w:val="20"/>
        </w:rPr>
        <w:t xml:space="preserve"> </w:t>
      </w:r>
    </w:p>
    <w:p w14:paraId="70E0708C">
      <w:pPr>
        <w:snapToGrid w:val="0"/>
        <w:spacing w:line="288" w:lineRule="auto"/>
        <w:ind w:firstLine="300" w:firstLineChars="150"/>
        <w:rPr>
          <w:sz w:val="20"/>
          <w:szCs w:val="20"/>
        </w:rPr>
      </w:pPr>
      <w:r>
        <w:rPr>
          <w:sz w:val="20"/>
          <w:szCs w:val="20"/>
        </w:rPr>
        <w:t xml:space="preserve">b) </w:t>
      </w:r>
      <w:r>
        <w:rPr>
          <w:rFonts w:hint="eastAsia"/>
          <w:sz w:val="20"/>
          <w:szCs w:val="20"/>
        </w:rPr>
        <w:t>主控项目，即在矩形顶管工程中对结构安全和使用功能起决定性作用的检验项目；</w:t>
      </w:r>
      <w:r>
        <w:rPr>
          <w:sz w:val="20"/>
          <w:szCs w:val="20"/>
        </w:rPr>
        <w:t xml:space="preserve"> </w:t>
      </w:r>
    </w:p>
    <w:p w14:paraId="0DECEEE7">
      <w:pPr>
        <w:snapToGrid w:val="0"/>
        <w:spacing w:line="288" w:lineRule="auto"/>
        <w:ind w:firstLine="300" w:firstLineChars="150"/>
        <w:rPr>
          <w:sz w:val="20"/>
          <w:szCs w:val="20"/>
        </w:rPr>
      </w:pPr>
      <w:r>
        <w:rPr>
          <w:sz w:val="20"/>
          <w:szCs w:val="20"/>
        </w:rPr>
        <w:t xml:space="preserve">c) </w:t>
      </w:r>
      <w:r>
        <w:rPr>
          <w:rFonts w:hint="eastAsia"/>
          <w:sz w:val="20"/>
          <w:szCs w:val="20"/>
        </w:rPr>
        <w:t>一般项目，即除主控项目以外的检验项目，通常为现场实测实量的检验项目又称为允许偏差项目。检查方法和检查数量在相关条文中规定，检查数量未规定者，即为全数检查；</w:t>
      </w:r>
      <w:r>
        <w:rPr>
          <w:sz w:val="20"/>
          <w:szCs w:val="20"/>
        </w:rPr>
        <w:t xml:space="preserve"> </w:t>
      </w:r>
    </w:p>
    <w:p w14:paraId="48725298">
      <w:pPr>
        <w:snapToGrid w:val="0"/>
        <w:spacing w:line="288" w:lineRule="auto"/>
        <w:ind w:firstLine="300" w:firstLineChars="150"/>
        <w:rPr>
          <w:sz w:val="20"/>
          <w:szCs w:val="20"/>
        </w:rPr>
      </w:pPr>
      <w:r>
        <w:rPr>
          <w:sz w:val="20"/>
          <w:szCs w:val="20"/>
        </w:rPr>
        <w:t xml:space="preserve">d) </w:t>
      </w:r>
      <w:r>
        <w:rPr>
          <w:rFonts w:hint="eastAsia"/>
          <w:sz w:val="20"/>
          <w:szCs w:val="20"/>
        </w:rPr>
        <w:t>工程的外观质量应由质量验收人员通过现场检查共同确认，这是考虑外观（观感）质量通常是定性的结论，应由验收人员共同确认。</w:t>
      </w:r>
    </w:p>
    <w:p w14:paraId="158D6302">
      <w:pPr>
        <w:snapToGrid w:val="0"/>
        <w:spacing w:line="288" w:lineRule="auto"/>
        <w:ind w:firstLine="300" w:firstLineChars="150"/>
        <w:rPr>
          <w:sz w:val="20"/>
          <w:szCs w:val="20"/>
        </w:rPr>
      </w:pPr>
      <w:r>
        <w:rPr>
          <w:rFonts w:hint="eastAsia"/>
          <w:sz w:val="20"/>
          <w:szCs w:val="20"/>
        </w:rPr>
        <w:t>检验批质量验收合格符合下列规定：</w:t>
      </w:r>
    </w:p>
    <w:p w14:paraId="589919C2">
      <w:pPr>
        <w:snapToGrid w:val="0"/>
        <w:spacing w:line="288" w:lineRule="auto"/>
        <w:ind w:firstLine="300" w:firstLineChars="150"/>
        <w:rPr>
          <w:sz w:val="20"/>
          <w:szCs w:val="20"/>
        </w:rPr>
      </w:pPr>
      <w:r>
        <w:rPr>
          <w:sz w:val="20"/>
          <w:szCs w:val="20"/>
        </w:rPr>
        <w:t xml:space="preserve">1 </w:t>
      </w:r>
      <w:r>
        <w:rPr>
          <w:rFonts w:hint="eastAsia"/>
          <w:sz w:val="20"/>
          <w:szCs w:val="20"/>
        </w:rPr>
        <w:t>主控项目的质量应经抽样检验合格；</w:t>
      </w:r>
    </w:p>
    <w:p w14:paraId="33F6351D">
      <w:pPr>
        <w:snapToGrid w:val="0"/>
        <w:spacing w:line="288" w:lineRule="auto"/>
        <w:ind w:firstLine="300" w:firstLineChars="150"/>
        <w:rPr>
          <w:sz w:val="20"/>
          <w:szCs w:val="20"/>
        </w:rPr>
      </w:pPr>
      <w:r>
        <w:rPr>
          <w:sz w:val="20"/>
          <w:szCs w:val="20"/>
        </w:rPr>
        <w:t xml:space="preserve">2 </w:t>
      </w:r>
      <w:r>
        <w:rPr>
          <w:rFonts w:hint="eastAsia"/>
          <w:sz w:val="20"/>
          <w:szCs w:val="20"/>
        </w:rPr>
        <w:t>一般项目中的允许偏差实测项目，抽样检验的合格率应达到</w:t>
      </w:r>
      <w:r>
        <w:rPr>
          <w:sz w:val="20"/>
          <w:szCs w:val="20"/>
        </w:rPr>
        <w:t xml:space="preserve"> 80%</w:t>
      </w:r>
      <w:r>
        <w:rPr>
          <w:rFonts w:hint="eastAsia"/>
          <w:sz w:val="20"/>
          <w:szCs w:val="20"/>
        </w:rPr>
        <w:t>及以上，且抽查点的最大偏差值在允许偏差值的</w:t>
      </w:r>
      <w:r>
        <w:rPr>
          <w:sz w:val="20"/>
          <w:szCs w:val="20"/>
        </w:rPr>
        <w:t>1.5</w:t>
      </w:r>
      <w:r>
        <w:rPr>
          <w:rFonts w:hint="eastAsia"/>
          <w:sz w:val="20"/>
          <w:szCs w:val="20"/>
        </w:rPr>
        <w:t>倍范围内；</w:t>
      </w:r>
    </w:p>
    <w:p w14:paraId="169311F0">
      <w:pPr>
        <w:snapToGrid w:val="0"/>
        <w:spacing w:line="288" w:lineRule="auto"/>
        <w:ind w:firstLine="300" w:firstLineChars="150"/>
        <w:rPr>
          <w:sz w:val="20"/>
          <w:szCs w:val="20"/>
        </w:rPr>
      </w:pPr>
      <w:r>
        <w:rPr>
          <w:sz w:val="20"/>
          <w:szCs w:val="20"/>
        </w:rPr>
        <w:t xml:space="preserve">3 </w:t>
      </w:r>
      <w:r>
        <w:rPr>
          <w:rFonts w:hint="eastAsia"/>
          <w:sz w:val="20"/>
          <w:szCs w:val="20"/>
        </w:rPr>
        <w:t>主要工程材料的进场验收和复验应合格，试块、试件检验应合格；</w:t>
      </w:r>
    </w:p>
    <w:p w14:paraId="5EA66774">
      <w:pPr>
        <w:snapToGrid w:val="0"/>
        <w:spacing w:line="288" w:lineRule="auto"/>
        <w:ind w:firstLine="300" w:firstLineChars="150"/>
        <w:rPr>
          <w:sz w:val="20"/>
          <w:szCs w:val="20"/>
        </w:rPr>
      </w:pPr>
      <w:r>
        <w:rPr>
          <w:sz w:val="20"/>
          <w:szCs w:val="20"/>
        </w:rPr>
        <w:t xml:space="preserve">4 </w:t>
      </w:r>
      <w:r>
        <w:rPr>
          <w:rFonts w:hint="eastAsia"/>
          <w:sz w:val="20"/>
          <w:szCs w:val="20"/>
        </w:rPr>
        <w:t>主要工程材料的质量保证资料及试验检测资料应齐全、正确，并应具有完整的施工操作依据和质量检查记录。</w:t>
      </w:r>
    </w:p>
    <w:p w14:paraId="3F7DD63C">
      <w:pPr>
        <w:snapToGrid w:val="0"/>
        <w:spacing w:line="288" w:lineRule="auto"/>
        <w:ind w:firstLine="300" w:firstLineChars="150"/>
        <w:rPr>
          <w:sz w:val="20"/>
          <w:szCs w:val="20"/>
        </w:rPr>
      </w:pPr>
      <w:r>
        <w:rPr>
          <w:rFonts w:hint="eastAsia"/>
          <w:sz w:val="20"/>
          <w:szCs w:val="20"/>
        </w:rPr>
        <w:t>分项工程质量验收合格符合下列规定：</w:t>
      </w:r>
    </w:p>
    <w:p w14:paraId="6A3FA35E">
      <w:pPr>
        <w:snapToGrid w:val="0"/>
        <w:spacing w:line="288" w:lineRule="auto"/>
        <w:ind w:firstLine="300" w:firstLineChars="150"/>
        <w:rPr>
          <w:sz w:val="20"/>
          <w:szCs w:val="20"/>
        </w:rPr>
      </w:pPr>
      <w:r>
        <w:rPr>
          <w:sz w:val="20"/>
          <w:szCs w:val="20"/>
        </w:rPr>
        <w:t xml:space="preserve">1 </w:t>
      </w:r>
      <w:r>
        <w:rPr>
          <w:rFonts w:hint="eastAsia"/>
          <w:sz w:val="20"/>
          <w:szCs w:val="20"/>
        </w:rPr>
        <w:t>分项工程所含的检验批质量验收应全部合格；</w:t>
      </w:r>
    </w:p>
    <w:p w14:paraId="1E523947">
      <w:pPr>
        <w:snapToGrid w:val="0"/>
        <w:spacing w:line="288" w:lineRule="auto"/>
        <w:ind w:firstLine="300" w:firstLineChars="150"/>
        <w:rPr>
          <w:sz w:val="20"/>
          <w:szCs w:val="20"/>
        </w:rPr>
      </w:pPr>
      <w:r>
        <w:rPr>
          <w:sz w:val="20"/>
          <w:szCs w:val="20"/>
        </w:rPr>
        <w:t xml:space="preserve">2 </w:t>
      </w:r>
      <w:r>
        <w:rPr>
          <w:rFonts w:hint="eastAsia"/>
          <w:sz w:val="20"/>
          <w:szCs w:val="20"/>
        </w:rPr>
        <w:t>分项工程所含的检验批的质量验收记录应完整、正确有关质量保证资料和试验检测资料应齐全、正确。</w:t>
      </w:r>
    </w:p>
    <w:p w14:paraId="69C130F4">
      <w:pPr>
        <w:snapToGrid w:val="0"/>
        <w:spacing w:line="288" w:lineRule="auto"/>
        <w:ind w:firstLine="300" w:firstLineChars="150"/>
        <w:rPr>
          <w:sz w:val="20"/>
          <w:szCs w:val="20"/>
        </w:rPr>
      </w:pPr>
      <w:r>
        <w:rPr>
          <w:rFonts w:hint="eastAsia"/>
          <w:sz w:val="20"/>
          <w:szCs w:val="20"/>
        </w:rPr>
        <w:t>分部工程质量验收合格符合下列规定：</w:t>
      </w:r>
    </w:p>
    <w:p w14:paraId="5923DD06">
      <w:pPr>
        <w:snapToGrid w:val="0"/>
        <w:spacing w:line="288" w:lineRule="auto"/>
        <w:ind w:firstLine="300" w:firstLineChars="150"/>
        <w:rPr>
          <w:sz w:val="20"/>
          <w:szCs w:val="20"/>
        </w:rPr>
      </w:pPr>
      <w:r>
        <w:rPr>
          <w:sz w:val="20"/>
          <w:szCs w:val="20"/>
        </w:rPr>
        <w:t xml:space="preserve">1 </w:t>
      </w:r>
      <w:r>
        <w:rPr>
          <w:rFonts w:hint="eastAsia"/>
          <w:sz w:val="20"/>
          <w:szCs w:val="20"/>
        </w:rPr>
        <w:t>分部工程所含分项工程的质量验收全部合格；</w:t>
      </w:r>
    </w:p>
    <w:p w14:paraId="5DAE8B26">
      <w:pPr>
        <w:snapToGrid w:val="0"/>
        <w:spacing w:line="288" w:lineRule="auto"/>
        <w:ind w:firstLine="300" w:firstLineChars="150"/>
        <w:rPr>
          <w:sz w:val="20"/>
          <w:szCs w:val="20"/>
        </w:rPr>
      </w:pPr>
      <w:r>
        <w:rPr>
          <w:sz w:val="20"/>
          <w:szCs w:val="20"/>
        </w:rPr>
        <w:t xml:space="preserve">2 </w:t>
      </w:r>
      <w:r>
        <w:rPr>
          <w:rFonts w:hint="eastAsia"/>
          <w:sz w:val="20"/>
          <w:szCs w:val="20"/>
        </w:rPr>
        <w:t>质量控制资料完整；</w:t>
      </w:r>
    </w:p>
    <w:p w14:paraId="246DC776">
      <w:pPr>
        <w:snapToGrid w:val="0"/>
        <w:spacing w:line="288" w:lineRule="auto"/>
        <w:ind w:firstLine="300" w:firstLineChars="150"/>
        <w:rPr>
          <w:b/>
          <w:bCs/>
          <w:sz w:val="20"/>
          <w:szCs w:val="20"/>
        </w:rPr>
      </w:pPr>
      <w:r>
        <w:rPr>
          <w:sz w:val="20"/>
          <w:szCs w:val="20"/>
        </w:rPr>
        <w:t xml:space="preserve">3 </w:t>
      </w:r>
      <w:r>
        <w:rPr>
          <w:rFonts w:hint="eastAsia"/>
          <w:sz w:val="20"/>
          <w:szCs w:val="20"/>
        </w:rPr>
        <w:t>分部工程中，地基基础处理、桩基础检测混凝土强度、混凝土抗渗等的检验和抽样检测结果符合现行标准《建筑地基处理技术规范》</w:t>
      </w:r>
      <w:r>
        <w:rPr>
          <w:sz w:val="20"/>
          <w:szCs w:val="20"/>
        </w:rPr>
        <w:t>JGJ79</w:t>
      </w:r>
      <w:r>
        <w:rPr>
          <w:rFonts w:hint="eastAsia"/>
          <w:sz w:val="20"/>
          <w:szCs w:val="20"/>
        </w:rPr>
        <w:t>及本标准的有关规定；</w:t>
      </w:r>
    </w:p>
    <w:p w14:paraId="64466558">
      <w:pPr>
        <w:pStyle w:val="3"/>
        <w:snapToGrid w:val="0"/>
        <w:spacing w:before="240" w:beforeLines="100" w:after="0" w:line="288" w:lineRule="auto"/>
        <w:jc w:val="center"/>
        <w:rPr>
          <w:rFonts w:ascii="Times New Roman" w:hAnsi="Times New Roman"/>
          <w:sz w:val="20"/>
          <w:szCs w:val="21"/>
        </w:rPr>
      </w:pPr>
      <w:bookmarkStart w:id="468" w:name="_Toc188798604"/>
      <w:r>
        <w:rPr>
          <w:rFonts w:ascii="Times New Roman" w:hAnsi="Times New Roman"/>
          <w:sz w:val="20"/>
          <w:szCs w:val="21"/>
        </w:rPr>
        <w:t xml:space="preserve">7.2 </w:t>
      </w:r>
      <w:r>
        <w:rPr>
          <w:rFonts w:hint="eastAsia" w:ascii="Times New Roman" w:hAnsi="Times New Roman"/>
          <w:sz w:val="20"/>
          <w:szCs w:val="21"/>
        </w:rPr>
        <w:t xml:space="preserve"> </w:t>
      </w:r>
      <w:r>
        <w:rPr>
          <w:rFonts w:ascii="Times New Roman" w:hAnsi="Times New Roman"/>
          <w:sz w:val="20"/>
          <w:szCs w:val="21"/>
        </w:rPr>
        <w:t>管节现场质量</w:t>
      </w:r>
      <w:r>
        <w:rPr>
          <w:rFonts w:hint="eastAsia" w:ascii="Times New Roman" w:hAnsi="Times New Roman"/>
          <w:sz w:val="20"/>
          <w:szCs w:val="21"/>
        </w:rPr>
        <w:t>检验</w:t>
      </w:r>
      <w:bookmarkEnd w:id="468"/>
    </w:p>
    <w:p w14:paraId="5874995D">
      <w:pPr>
        <w:snapToGrid w:val="0"/>
        <w:spacing w:before="120" w:beforeLines="50" w:after="120" w:afterLines="50" w:line="288" w:lineRule="auto"/>
        <w:jc w:val="center"/>
        <w:rPr>
          <w:b/>
          <w:bCs/>
          <w:sz w:val="20"/>
        </w:rPr>
      </w:pPr>
      <w:r>
        <w:rPr>
          <w:b/>
          <w:bCs/>
          <w:sz w:val="20"/>
        </w:rPr>
        <w:t>主控项目</w:t>
      </w:r>
    </w:p>
    <w:p w14:paraId="71A75658">
      <w:pPr>
        <w:snapToGrid w:val="0"/>
        <w:spacing w:line="288" w:lineRule="auto"/>
        <w:outlineLvl w:val="2"/>
        <w:rPr>
          <w:sz w:val="20"/>
        </w:rPr>
      </w:pPr>
      <w:r>
        <w:rPr>
          <w:b/>
          <w:bCs/>
          <w:sz w:val="20"/>
        </w:rPr>
        <w:t>7.2.3</w:t>
      </w:r>
      <w:r>
        <w:rPr>
          <w:rFonts w:hint="eastAsia"/>
          <w:b/>
          <w:bCs/>
          <w:sz w:val="20"/>
        </w:rPr>
        <w:t xml:space="preserve">  </w:t>
      </w:r>
      <w:r>
        <w:rPr>
          <w:rFonts w:hint="eastAsia"/>
          <w:sz w:val="20"/>
        </w:rPr>
        <w:t>根据影响结构性能、安装和使用功能的严重程度，预制构件外观质量缺陷可按表</w:t>
      </w:r>
      <w:r>
        <w:rPr>
          <w:sz w:val="20"/>
        </w:rPr>
        <w:t>7.2.3</w:t>
      </w:r>
      <w:r>
        <w:rPr>
          <w:rFonts w:hint="eastAsia"/>
          <w:sz w:val="20"/>
        </w:rPr>
        <w:t>分为严重缺陷和一般缺陷。</w:t>
      </w:r>
    </w:p>
    <w:p w14:paraId="2DCC5BF7">
      <w:pPr>
        <w:snapToGrid w:val="0"/>
        <w:spacing w:line="288" w:lineRule="auto"/>
        <w:ind w:firstLine="300" w:firstLineChars="150"/>
        <w:rPr>
          <w:sz w:val="20"/>
        </w:rPr>
      </w:pPr>
      <w:r>
        <w:rPr>
          <w:rFonts w:hint="eastAsia"/>
          <w:sz w:val="20"/>
        </w:rPr>
        <w:t>对已经出现的严重缺陷，由生产单位提出技术处理方案，并经监理单位认可后进行处理；对裂缝或连接部位的严重缺陷及其他影响结构安全的严重缺陷，技术处理方案经原设计单位认可。经处理的部位重新检查验收。对超过尺寸允许偏差且影响结构性能或安装、使用功能的部位，由生产单位制定技术处理方案，并经监理单位、设计单位认可后进行处理。经处理的部位重新检查验收。</w:t>
      </w:r>
    </w:p>
    <w:p w14:paraId="77DB8BA4">
      <w:pPr>
        <w:snapToGrid w:val="0"/>
        <w:spacing w:line="288" w:lineRule="auto"/>
        <w:jc w:val="center"/>
        <w:rPr>
          <w:rFonts w:eastAsia="黑体"/>
          <w:bCs/>
          <w:sz w:val="18"/>
          <w:szCs w:val="18"/>
        </w:rPr>
      </w:pPr>
      <w:r>
        <w:rPr>
          <w:rFonts w:hint="eastAsia" w:eastAsia="黑体"/>
          <w:bCs/>
          <w:sz w:val="18"/>
          <w:szCs w:val="18"/>
        </w:rPr>
        <w:t>表</w:t>
      </w:r>
      <w:r>
        <w:rPr>
          <w:rFonts w:eastAsia="黑体"/>
          <w:bCs/>
          <w:sz w:val="18"/>
          <w:szCs w:val="18"/>
        </w:rPr>
        <w:t xml:space="preserve">7.2.3  </w:t>
      </w:r>
      <w:r>
        <w:rPr>
          <w:rFonts w:hint="eastAsia" w:eastAsia="黑体"/>
          <w:bCs/>
          <w:sz w:val="18"/>
          <w:szCs w:val="18"/>
        </w:rPr>
        <w:t>预制管节外观质量缺陷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250"/>
        <w:gridCol w:w="2155"/>
        <w:gridCol w:w="2473"/>
        <w:gridCol w:w="2448"/>
      </w:tblGrid>
      <w:tr w14:paraId="0870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92" w:type="dxa"/>
            <w:vAlign w:val="center"/>
          </w:tcPr>
          <w:p w14:paraId="74177488">
            <w:pPr>
              <w:adjustRightInd w:val="0"/>
              <w:snapToGrid w:val="0"/>
              <w:jc w:val="center"/>
              <w:rPr>
                <w:rFonts w:hAnsi="Cambria Math"/>
                <w:bCs/>
                <w:sz w:val="15"/>
                <w:szCs w:val="15"/>
              </w:rPr>
            </w:pPr>
            <w:r>
              <w:rPr>
                <w:rFonts w:hint="eastAsia" w:hAnsi="Cambria Math"/>
                <w:bCs/>
                <w:sz w:val="15"/>
                <w:szCs w:val="15"/>
              </w:rPr>
              <w:t>序号</w:t>
            </w:r>
          </w:p>
        </w:tc>
        <w:tc>
          <w:tcPr>
            <w:tcW w:w="1250" w:type="dxa"/>
            <w:vAlign w:val="center"/>
          </w:tcPr>
          <w:p w14:paraId="4F269C57">
            <w:pPr>
              <w:adjustRightInd w:val="0"/>
              <w:snapToGrid w:val="0"/>
              <w:jc w:val="center"/>
              <w:rPr>
                <w:rFonts w:hAnsi="Cambria Math"/>
                <w:bCs/>
                <w:sz w:val="15"/>
                <w:szCs w:val="15"/>
              </w:rPr>
            </w:pPr>
            <w:r>
              <w:rPr>
                <w:rFonts w:hint="eastAsia" w:hAnsi="Cambria Math"/>
                <w:bCs/>
                <w:sz w:val="15"/>
                <w:szCs w:val="15"/>
              </w:rPr>
              <w:t>名称</w:t>
            </w:r>
          </w:p>
        </w:tc>
        <w:tc>
          <w:tcPr>
            <w:tcW w:w="2155" w:type="dxa"/>
            <w:vAlign w:val="center"/>
          </w:tcPr>
          <w:p w14:paraId="637DA433">
            <w:pPr>
              <w:adjustRightInd w:val="0"/>
              <w:snapToGrid w:val="0"/>
              <w:jc w:val="center"/>
              <w:rPr>
                <w:rFonts w:hAnsi="Cambria Math"/>
                <w:bCs/>
                <w:sz w:val="15"/>
                <w:szCs w:val="15"/>
              </w:rPr>
            </w:pPr>
            <w:r>
              <w:rPr>
                <w:rFonts w:hint="eastAsia" w:hAnsi="Cambria Math"/>
                <w:bCs/>
                <w:sz w:val="15"/>
                <w:szCs w:val="15"/>
              </w:rPr>
              <w:t>现象</w:t>
            </w:r>
          </w:p>
        </w:tc>
        <w:tc>
          <w:tcPr>
            <w:tcW w:w="2473" w:type="dxa"/>
            <w:vAlign w:val="center"/>
          </w:tcPr>
          <w:p w14:paraId="78C10F12">
            <w:pPr>
              <w:adjustRightInd w:val="0"/>
              <w:snapToGrid w:val="0"/>
              <w:jc w:val="center"/>
              <w:rPr>
                <w:rFonts w:hAnsi="Cambria Math"/>
                <w:bCs/>
                <w:sz w:val="15"/>
                <w:szCs w:val="15"/>
              </w:rPr>
            </w:pPr>
            <w:r>
              <w:rPr>
                <w:rFonts w:hint="eastAsia" w:hAnsi="Cambria Math"/>
                <w:bCs/>
                <w:sz w:val="15"/>
                <w:szCs w:val="15"/>
              </w:rPr>
              <w:t>严重缺陷</w:t>
            </w:r>
          </w:p>
        </w:tc>
        <w:tc>
          <w:tcPr>
            <w:tcW w:w="2448" w:type="dxa"/>
            <w:vAlign w:val="center"/>
          </w:tcPr>
          <w:p w14:paraId="6FB6F5E5">
            <w:pPr>
              <w:adjustRightInd w:val="0"/>
              <w:snapToGrid w:val="0"/>
              <w:jc w:val="center"/>
              <w:rPr>
                <w:rFonts w:hAnsi="Cambria Math"/>
                <w:bCs/>
                <w:sz w:val="15"/>
                <w:szCs w:val="15"/>
              </w:rPr>
            </w:pPr>
            <w:r>
              <w:rPr>
                <w:rFonts w:hint="eastAsia" w:hAnsi="Cambria Math"/>
                <w:bCs/>
                <w:sz w:val="15"/>
                <w:szCs w:val="15"/>
              </w:rPr>
              <w:t>一般缺陷</w:t>
            </w:r>
          </w:p>
        </w:tc>
      </w:tr>
      <w:tr w14:paraId="0743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92" w:type="dxa"/>
            <w:vAlign w:val="center"/>
          </w:tcPr>
          <w:p w14:paraId="551CEA22">
            <w:pPr>
              <w:adjustRightInd w:val="0"/>
              <w:snapToGrid w:val="0"/>
              <w:jc w:val="center"/>
              <w:rPr>
                <w:rFonts w:hAnsi="Cambria Math"/>
                <w:bCs/>
                <w:sz w:val="15"/>
                <w:szCs w:val="15"/>
              </w:rPr>
            </w:pPr>
            <w:r>
              <w:rPr>
                <w:rFonts w:hint="eastAsia" w:hAnsi="Cambria Math"/>
                <w:bCs/>
                <w:sz w:val="15"/>
                <w:szCs w:val="15"/>
              </w:rPr>
              <w:t>1</w:t>
            </w:r>
          </w:p>
        </w:tc>
        <w:tc>
          <w:tcPr>
            <w:tcW w:w="1250" w:type="dxa"/>
            <w:vAlign w:val="center"/>
          </w:tcPr>
          <w:p w14:paraId="08F6795D">
            <w:pPr>
              <w:adjustRightInd w:val="0"/>
              <w:snapToGrid w:val="0"/>
              <w:jc w:val="center"/>
              <w:rPr>
                <w:rFonts w:hAnsi="Cambria Math"/>
                <w:bCs/>
                <w:sz w:val="15"/>
                <w:szCs w:val="15"/>
              </w:rPr>
            </w:pPr>
            <w:r>
              <w:rPr>
                <w:rFonts w:hint="eastAsia" w:hAnsi="Cambria Math"/>
                <w:bCs/>
                <w:sz w:val="15"/>
                <w:szCs w:val="15"/>
              </w:rPr>
              <w:t>露筋</w:t>
            </w:r>
          </w:p>
        </w:tc>
        <w:tc>
          <w:tcPr>
            <w:tcW w:w="2155" w:type="dxa"/>
            <w:vAlign w:val="center"/>
          </w:tcPr>
          <w:p w14:paraId="67377A52">
            <w:pPr>
              <w:adjustRightInd w:val="0"/>
              <w:snapToGrid w:val="0"/>
              <w:jc w:val="center"/>
              <w:rPr>
                <w:rFonts w:hAnsi="Cambria Math"/>
                <w:bCs/>
                <w:sz w:val="15"/>
                <w:szCs w:val="15"/>
              </w:rPr>
            </w:pPr>
            <w:r>
              <w:rPr>
                <w:rFonts w:hint="eastAsia" w:hAnsi="Cambria Math"/>
                <w:bCs/>
                <w:sz w:val="15"/>
                <w:szCs w:val="15"/>
              </w:rPr>
              <w:t>构件内钢筋未被混凝土包裹而外露</w:t>
            </w:r>
          </w:p>
        </w:tc>
        <w:tc>
          <w:tcPr>
            <w:tcW w:w="2473" w:type="dxa"/>
            <w:vAlign w:val="center"/>
          </w:tcPr>
          <w:p w14:paraId="21095C43">
            <w:pPr>
              <w:adjustRightInd w:val="0"/>
              <w:snapToGrid w:val="0"/>
              <w:jc w:val="center"/>
              <w:rPr>
                <w:rFonts w:hAnsi="Cambria Math"/>
                <w:bCs/>
                <w:sz w:val="15"/>
                <w:szCs w:val="15"/>
              </w:rPr>
            </w:pPr>
            <w:r>
              <w:rPr>
                <w:rFonts w:hint="eastAsia" w:hAnsi="Cambria Math"/>
                <w:bCs/>
                <w:sz w:val="15"/>
                <w:szCs w:val="15"/>
              </w:rPr>
              <w:t>纵向受力钢筋有露筋</w:t>
            </w:r>
          </w:p>
        </w:tc>
        <w:tc>
          <w:tcPr>
            <w:tcW w:w="2448" w:type="dxa"/>
            <w:vAlign w:val="center"/>
          </w:tcPr>
          <w:p w14:paraId="64DF7D0A">
            <w:pPr>
              <w:adjustRightInd w:val="0"/>
              <w:snapToGrid w:val="0"/>
              <w:jc w:val="center"/>
              <w:rPr>
                <w:rFonts w:hAnsi="Cambria Math"/>
                <w:bCs/>
                <w:sz w:val="15"/>
                <w:szCs w:val="15"/>
              </w:rPr>
            </w:pPr>
            <w:r>
              <w:rPr>
                <w:rFonts w:hint="eastAsia" w:hAnsi="Cambria Math"/>
                <w:bCs/>
                <w:sz w:val="15"/>
                <w:szCs w:val="15"/>
              </w:rPr>
              <w:t>其他钢筋有少量露筋</w:t>
            </w:r>
          </w:p>
        </w:tc>
      </w:tr>
      <w:tr w14:paraId="0BB6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92" w:type="dxa"/>
            <w:vAlign w:val="center"/>
          </w:tcPr>
          <w:p w14:paraId="41FAF854">
            <w:pPr>
              <w:adjustRightInd w:val="0"/>
              <w:snapToGrid w:val="0"/>
              <w:jc w:val="center"/>
              <w:rPr>
                <w:rFonts w:hAnsi="Cambria Math"/>
                <w:bCs/>
                <w:sz w:val="15"/>
                <w:szCs w:val="15"/>
              </w:rPr>
            </w:pPr>
            <w:r>
              <w:rPr>
                <w:rFonts w:hint="eastAsia" w:hAnsi="Cambria Math"/>
                <w:bCs/>
                <w:sz w:val="15"/>
                <w:szCs w:val="15"/>
              </w:rPr>
              <w:t>2</w:t>
            </w:r>
          </w:p>
        </w:tc>
        <w:tc>
          <w:tcPr>
            <w:tcW w:w="1250" w:type="dxa"/>
            <w:vAlign w:val="center"/>
          </w:tcPr>
          <w:p w14:paraId="53ED0C67">
            <w:pPr>
              <w:adjustRightInd w:val="0"/>
              <w:snapToGrid w:val="0"/>
              <w:jc w:val="center"/>
              <w:rPr>
                <w:rFonts w:hAnsi="Cambria Math"/>
                <w:bCs/>
                <w:sz w:val="15"/>
                <w:szCs w:val="15"/>
              </w:rPr>
            </w:pPr>
            <w:r>
              <w:rPr>
                <w:rFonts w:hint="eastAsia" w:hAnsi="Cambria Math"/>
                <w:bCs/>
                <w:sz w:val="15"/>
                <w:szCs w:val="15"/>
              </w:rPr>
              <w:t>蜂窝</w:t>
            </w:r>
          </w:p>
        </w:tc>
        <w:tc>
          <w:tcPr>
            <w:tcW w:w="2155" w:type="dxa"/>
            <w:vAlign w:val="center"/>
          </w:tcPr>
          <w:p w14:paraId="12B312C9">
            <w:pPr>
              <w:adjustRightInd w:val="0"/>
              <w:snapToGrid w:val="0"/>
              <w:jc w:val="center"/>
              <w:rPr>
                <w:rFonts w:hAnsi="Cambria Math"/>
                <w:bCs/>
                <w:sz w:val="15"/>
                <w:szCs w:val="15"/>
              </w:rPr>
            </w:pPr>
            <w:r>
              <w:rPr>
                <w:rFonts w:hint="eastAsia" w:hAnsi="Cambria Math"/>
                <w:bCs/>
                <w:sz w:val="15"/>
                <w:szCs w:val="15"/>
              </w:rPr>
              <w:t>混凝土表面缺少水泥浆而形成石子外露</w:t>
            </w:r>
          </w:p>
        </w:tc>
        <w:tc>
          <w:tcPr>
            <w:tcW w:w="2473" w:type="dxa"/>
            <w:vAlign w:val="center"/>
          </w:tcPr>
          <w:p w14:paraId="63AE0431">
            <w:pPr>
              <w:adjustRightInd w:val="0"/>
              <w:snapToGrid w:val="0"/>
              <w:jc w:val="center"/>
              <w:rPr>
                <w:rFonts w:hAnsi="Cambria Math"/>
                <w:bCs/>
                <w:sz w:val="15"/>
                <w:szCs w:val="15"/>
              </w:rPr>
            </w:pPr>
            <w:r>
              <w:rPr>
                <w:rFonts w:hint="eastAsia" w:hAnsi="Cambria Math"/>
                <w:bCs/>
                <w:sz w:val="15"/>
                <w:szCs w:val="15"/>
              </w:rPr>
              <w:t>构件主要受力部位有蜂窝</w:t>
            </w:r>
          </w:p>
        </w:tc>
        <w:tc>
          <w:tcPr>
            <w:tcW w:w="2448" w:type="dxa"/>
            <w:vAlign w:val="center"/>
          </w:tcPr>
          <w:p w14:paraId="411B3964">
            <w:pPr>
              <w:adjustRightInd w:val="0"/>
              <w:snapToGrid w:val="0"/>
              <w:jc w:val="center"/>
              <w:rPr>
                <w:rFonts w:hAnsi="Cambria Math"/>
                <w:bCs/>
                <w:sz w:val="15"/>
                <w:szCs w:val="15"/>
              </w:rPr>
            </w:pPr>
            <w:r>
              <w:rPr>
                <w:rFonts w:hint="eastAsia" w:hAnsi="Cambria Math"/>
                <w:bCs/>
                <w:sz w:val="15"/>
                <w:szCs w:val="15"/>
              </w:rPr>
              <w:t>其他部位有少量蜂窝</w:t>
            </w:r>
          </w:p>
        </w:tc>
      </w:tr>
      <w:tr w14:paraId="269D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92" w:type="dxa"/>
            <w:vAlign w:val="center"/>
          </w:tcPr>
          <w:p w14:paraId="371F1453">
            <w:pPr>
              <w:adjustRightInd w:val="0"/>
              <w:snapToGrid w:val="0"/>
              <w:jc w:val="center"/>
              <w:rPr>
                <w:rFonts w:hAnsi="Cambria Math"/>
                <w:bCs/>
                <w:sz w:val="15"/>
                <w:szCs w:val="15"/>
              </w:rPr>
            </w:pPr>
            <w:r>
              <w:rPr>
                <w:rFonts w:hint="eastAsia" w:hAnsi="Cambria Math"/>
                <w:bCs/>
                <w:sz w:val="15"/>
                <w:szCs w:val="15"/>
              </w:rPr>
              <w:t>3</w:t>
            </w:r>
          </w:p>
        </w:tc>
        <w:tc>
          <w:tcPr>
            <w:tcW w:w="1250" w:type="dxa"/>
            <w:vAlign w:val="center"/>
          </w:tcPr>
          <w:p w14:paraId="16C23690">
            <w:pPr>
              <w:adjustRightInd w:val="0"/>
              <w:snapToGrid w:val="0"/>
              <w:jc w:val="center"/>
              <w:rPr>
                <w:rFonts w:hAnsi="Cambria Math"/>
                <w:bCs/>
                <w:sz w:val="15"/>
                <w:szCs w:val="15"/>
              </w:rPr>
            </w:pPr>
            <w:r>
              <w:rPr>
                <w:rFonts w:hint="eastAsia" w:hAnsi="Cambria Math"/>
                <w:bCs/>
                <w:sz w:val="15"/>
                <w:szCs w:val="15"/>
              </w:rPr>
              <w:t>孔洞</w:t>
            </w:r>
          </w:p>
        </w:tc>
        <w:tc>
          <w:tcPr>
            <w:tcW w:w="2155" w:type="dxa"/>
            <w:vAlign w:val="center"/>
          </w:tcPr>
          <w:p w14:paraId="2DF131FD">
            <w:pPr>
              <w:adjustRightInd w:val="0"/>
              <w:snapToGrid w:val="0"/>
              <w:jc w:val="center"/>
              <w:rPr>
                <w:rFonts w:hAnsi="Cambria Math"/>
                <w:bCs/>
                <w:sz w:val="15"/>
                <w:szCs w:val="15"/>
              </w:rPr>
            </w:pPr>
            <w:r>
              <w:rPr>
                <w:rFonts w:hint="eastAsia" w:hAnsi="Cambria Math"/>
                <w:bCs/>
                <w:sz w:val="15"/>
                <w:szCs w:val="15"/>
              </w:rPr>
              <w:t>混凝土中空穴深度和长度均超过保护层厚度</w:t>
            </w:r>
          </w:p>
        </w:tc>
        <w:tc>
          <w:tcPr>
            <w:tcW w:w="2473" w:type="dxa"/>
            <w:vAlign w:val="center"/>
          </w:tcPr>
          <w:p w14:paraId="05818A2F">
            <w:pPr>
              <w:adjustRightInd w:val="0"/>
              <w:snapToGrid w:val="0"/>
              <w:jc w:val="center"/>
              <w:rPr>
                <w:rFonts w:hAnsi="Cambria Math"/>
                <w:bCs/>
                <w:sz w:val="15"/>
                <w:szCs w:val="15"/>
              </w:rPr>
            </w:pPr>
            <w:r>
              <w:rPr>
                <w:rFonts w:hint="eastAsia" w:hAnsi="Cambria Math"/>
                <w:bCs/>
                <w:sz w:val="15"/>
                <w:szCs w:val="15"/>
              </w:rPr>
              <w:t>构件主要受力部位有孔洞</w:t>
            </w:r>
          </w:p>
        </w:tc>
        <w:tc>
          <w:tcPr>
            <w:tcW w:w="2448" w:type="dxa"/>
            <w:vAlign w:val="center"/>
          </w:tcPr>
          <w:p w14:paraId="25F7B37F">
            <w:pPr>
              <w:adjustRightInd w:val="0"/>
              <w:snapToGrid w:val="0"/>
              <w:jc w:val="center"/>
              <w:rPr>
                <w:rFonts w:hAnsi="Cambria Math"/>
                <w:bCs/>
                <w:sz w:val="15"/>
                <w:szCs w:val="15"/>
              </w:rPr>
            </w:pPr>
            <w:r>
              <w:rPr>
                <w:rFonts w:hint="eastAsia" w:hAnsi="Cambria Math"/>
                <w:bCs/>
                <w:sz w:val="15"/>
                <w:szCs w:val="15"/>
              </w:rPr>
              <w:t>其他部位有少量孔洞</w:t>
            </w:r>
          </w:p>
        </w:tc>
      </w:tr>
      <w:tr w14:paraId="72D5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92" w:type="dxa"/>
            <w:vAlign w:val="center"/>
          </w:tcPr>
          <w:p w14:paraId="30D8C453">
            <w:pPr>
              <w:adjustRightInd w:val="0"/>
              <w:snapToGrid w:val="0"/>
              <w:jc w:val="center"/>
              <w:rPr>
                <w:rFonts w:hAnsi="Cambria Math"/>
                <w:bCs/>
                <w:sz w:val="15"/>
                <w:szCs w:val="15"/>
              </w:rPr>
            </w:pPr>
            <w:r>
              <w:rPr>
                <w:rFonts w:hint="eastAsia" w:hAnsi="Cambria Math"/>
                <w:bCs/>
                <w:sz w:val="15"/>
                <w:szCs w:val="15"/>
              </w:rPr>
              <w:t>4</w:t>
            </w:r>
          </w:p>
        </w:tc>
        <w:tc>
          <w:tcPr>
            <w:tcW w:w="1250" w:type="dxa"/>
            <w:vAlign w:val="center"/>
          </w:tcPr>
          <w:p w14:paraId="5C0C210D">
            <w:pPr>
              <w:adjustRightInd w:val="0"/>
              <w:snapToGrid w:val="0"/>
              <w:jc w:val="center"/>
              <w:rPr>
                <w:rFonts w:hAnsi="Cambria Math"/>
                <w:bCs/>
                <w:sz w:val="15"/>
                <w:szCs w:val="15"/>
              </w:rPr>
            </w:pPr>
            <w:r>
              <w:rPr>
                <w:rFonts w:hint="eastAsia" w:hAnsi="Cambria Math"/>
                <w:bCs/>
                <w:sz w:val="15"/>
                <w:szCs w:val="15"/>
              </w:rPr>
              <w:t>夹渣</w:t>
            </w:r>
          </w:p>
        </w:tc>
        <w:tc>
          <w:tcPr>
            <w:tcW w:w="2155" w:type="dxa"/>
            <w:vAlign w:val="center"/>
          </w:tcPr>
          <w:p w14:paraId="5650C84D">
            <w:pPr>
              <w:adjustRightInd w:val="0"/>
              <w:snapToGrid w:val="0"/>
              <w:jc w:val="center"/>
              <w:rPr>
                <w:rFonts w:hAnsi="Cambria Math"/>
                <w:bCs/>
                <w:sz w:val="15"/>
                <w:szCs w:val="15"/>
              </w:rPr>
            </w:pPr>
            <w:r>
              <w:rPr>
                <w:rFonts w:hint="eastAsia" w:hAnsi="Cambria Math"/>
                <w:bCs/>
                <w:sz w:val="15"/>
                <w:szCs w:val="15"/>
              </w:rPr>
              <w:t>混凝土中夹有杂物且深度超过保护层厚度</w:t>
            </w:r>
          </w:p>
        </w:tc>
        <w:tc>
          <w:tcPr>
            <w:tcW w:w="2473" w:type="dxa"/>
            <w:vAlign w:val="center"/>
          </w:tcPr>
          <w:p w14:paraId="613C8F04">
            <w:pPr>
              <w:adjustRightInd w:val="0"/>
              <w:snapToGrid w:val="0"/>
              <w:jc w:val="center"/>
              <w:rPr>
                <w:rFonts w:hAnsi="Cambria Math"/>
                <w:bCs/>
                <w:sz w:val="15"/>
                <w:szCs w:val="15"/>
              </w:rPr>
            </w:pPr>
            <w:r>
              <w:rPr>
                <w:rFonts w:hint="eastAsia" w:hAnsi="Cambria Math"/>
                <w:bCs/>
                <w:sz w:val="15"/>
                <w:szCs w:val="15"/>
              </w:rPr>
              <w:t>构件主要受力部位有夹渣</w:t>
            </w:r>
          </w:p>
        </w:tc>
        <w:tc>
          <w:tcPr>
            <w:tcW w:w="2448" w:type="dxa"/>
            <w:vAlign w:val="center"/>
          </w:tcPr>
          <w:p w14:paraId="10ED21AA">
            <w:pPr>
              <w:adjustRightInd w:val="0"/>
              <w:snapToGrid w:val="0"/>
              <w:jc w:val="center"/>
              <w:rPr>
                <w:rFonts w:hAnsi="Cambria Math"/>
                <w:bCs/>
                <w:sz w:val="15"/>
                <w:szCs w:val="15"/>
              </w:rPr>
            </w:pPr>
            <w:r>
              <w:rPr>
                <w:rFonts w:hint="eastAsia" w:hAnsi="Cambria Math"/>
                <w:bCs/>
                <w:sz w:val="15"/>
                <w:szCs w:val="15"/>
              </w:rPr>
              <w:t>其他部位有少量夹渣</w:t>
            </w:r>
          </w:p>
          <w:p w14:paraId="0FE3698C">
            <w:pPr>
              <w:adjustRightInd w:val="0"/>
              <w:snapToGrid w:val="0"/>
              <w:jc w:val="center"/>
              <w:rPr>
                <w:rFonts w:hAnsi="Cambria Math"/>
                <w:bCs/>
                <w:sz w:val="15"/>
                <w:szCs w:val="15"/>
              </w:rPr>
            </w:pPr>
            <w:r>
              <w:rPr>
                <w:rFonts w:hint="eastAsia" w:hAnsi="Cambria Math"/>
                <w:bCs/>
                <w:sz w:val="15"/>
                <w:szCs w:val="15"/>
              </w:rPr>
              <w:t>其他部</w:t>
            </w:r>
          </w:p>
        </w:tc>
      </w:tr>
      <w:tr w14:paraId="5189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92" w:type="dxa"/>
            <w:tcBorders>
              <w:bottom w:val="single" w:color="auto" w:sz="4" w:space="0"/>
            </w:tcBorders>
            <w:vAlign w:val="center"/>
          </w:tcPr>
          <w:p w14:paraId="12E52954">
            <w:pPr>
              <w:adjustRightInd w:val="0"/>
              <w:snapToGrid w:val="0"/>
              <w:jc w:val="center"/>
              <w:rPr>
                <w:rFonts w:hAnsi="Cambria Math"/>
                <w:bCs/>
                <w:sz w:val="15"/>
                <w:szCs w:val="15"/>
              </w:rPr>
            </w:pPr>
            <w:r>
              <w:rPr>
                <w:rFonts w:hint="eastAsia" w:hAnsi="Cambria Math"/>
                <w:bCs/>
                <w:sz w:val="15"/>
                <w:szCs w:val="15"/>
              </w:rPr>
              <w:t>5</w:t>
            </w:r>
          </w:p>
        </w:tc>
        <w:tc>
          <w:tcPr>
            <w:tcW w:w="1250" w:type="dxa"/>
            <w:tcBorders>
              <w:bottom w:val="single" w:color="auto" w:sz="4" w:space="0"/>
            </w:tcBorders>
            <w:vAlign w:val="center"/>
          </w:tcPr>
          <w:p w14:paraId="55CB6A6E">
            <w:pPr>
              <w:adjustRightInd w:val="0"/>
              <w:snapToGrid w:val="0"/>
              <w:jc w:val="center"/>
              <w:rPr>
                <w:rFonts w:hAnsi="Cambria Math"/>
                <w:bCs/>
                <w:sz w:val="15"/>
                <w:szCs w:val="15"/>
              </w:rPr>
            </w:pPr>
            <w:r>
              <w:rPr>
                <w:rFonts w:hint="eastAsia" w:hAnsi="Cambria Math"/>
                <w:bCs/>
                <w:sz w:val="15"/>
                <w:szCs w:val="15"/>
              </w:rPr>
              <w:t>疏松</w:t>
            </w:r>
          </w:p>
        </w:tc>
        <w:tc>
          <w:tcPr>
            <w:tcW w:w="2155" w:type="dxa"/>
            <w:tcBorders>
              <w:bottom w:val="single" w:color="auto" w:sz="4" w:space="0"/>
            </w:tcBorders>
            <w:vAlign w:val="center"/>
          </w:tcPr>
          <w:p w14:paraId="2EB0D6B7">
            <w:pPr>
              <w:adjustRightInd w:val="0"/>
              <w:snapToGrid w:val="0"/>
              <w:jc w:val="center"/>
              <w:rPr>
                <w:rFonts w:hAnsi="Cambria Math"/>
                <w:bCs/>
                <w:sz w:val="15"/>
                <w:szCs w:val="15"/>
              </w:rPr>
            </w:pPr>
            <w:r>
              <w:rPr>
                <w:rFonts w:hint="eastAsia" w:hAnsi="Cambria Math"/>
                <w:bCs/>
                <w:sz w:val="15"/>
                <w:szCs w:val="15"/>
              </w:rPr>
              <w:t>混凝土中局部不密实</w:t>
            </w:r>
          </w:p>
        </w:tc>
        <w:tc>
          <w:tcPr>
            <w:tcW w:w="2473" w:type="dxa"/>
            <w:tcBorders>
              <w:bottom w:val="single" w:color="auto" w:sz="4" w:space="0"/>
            </w:tcBorders>
            <w:vAlign w:val="center"/>
          </w:tcPr>
          <w:p w14:paraId="5AC10B06">
            <w:pPr>
              <w:adjustRightInd w:val="0"/>
              <w:snapToGrid w:val="0"/>
              <w:jc w:val="center"/>
              <w:rPr>
                <w:rFonts w:hAnsi="Cambria Math"/>
                <w:bCs/>
                <w:sz w:val="15"/>
                <w:szCs w:val="15"/>
              </w:rPr>
            </w:pPr>
            <w:r>
              <w:rPr>
                <w:rFonts w:hint="eastAsia" w:hAnsi="Cambria Math"/>
                <w:bCs/>
                <w:sz w:val="15"/>
                <w:szCs w:val="15"/>
              </w:rPr>
              <w:t>构件主要受力部位有疏松</w:t>
            </w:r>
          </w:p>
        </w:tc>
        <w:tc>
          <w:tcPr>
            <w:tcW w:w="2448" w:type="dxa"/>
            <w:tcBorders>
              <w:bottom w:val="single" w:color="auto" w:sz="4" w:space="0"/>
            </w:tcBorders>
            <w:vAlign w:val="center"/>
          </w:tcPr>
          <w:p w14:paraId="51DEA0DB">
            <w:pPr>
              <w:adjustRightInd w:val="0"/>
              <w:snapToGrid w:val="0"/>
              <w:jc w:val="center"/>
              <w:rPr>
                <w:rFonts w:hAnsi="Cambria Math"/>
                <w:bCs/>
                <w:sz w:val="15"/>
                <w:szCs w:val="15"/>
              </w:rPr>
            </w:pPr>
            <w:r>
              <w:rPr>
                <w:rFonts w:hint="eastAsia" w:hAnsi="Cambria Math"/>
                <w:bCs/>
                <w:sz w:val="15"/>
                <w:szCs w:val="15"/>
              </w:rPr>
              <w:t>其他部位有少量疏松</w:t>
            </w:r>
          </w:p>
        </w:tc>
      </w:tr>
      <w:tr w14:paraId="055E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592" w:type="dxa"/>
            <w:tcBorders>
              <w:left w:val="nil"/>
              <w:bottom w:val="nil"/>
              <w:right w:val="nil"/>
            </w:tcBorders>
            <w:vAlign w:val="center"/>
          </w:tcPr>
          <w:p w14:paraId="5C298D22">
            <w:pPr>
              <w:adjustRightInd w:val="0"/>
              <w:snapToGrid w:val="0"/>
              <w:jc w:val="center"/>
              <w:rPr>
                <w:rFonts w:hint="eastAsia" w:hAnsi="Cambria Math"/>
                <w:bCs/>
                <w:sz w:val="15"/>
                <w:szCs w:val="15"/>
              </w:rPr>
            </w:pPr>
          </w:p>
        </w:tc>
        <w:tc>
          <w:tcPr>
            <w:tcW w:w="1250" w:type="dxa"/>
            <w:tcBorders>
              <w:left w:val="nil"/>
              <w:bottom w:val="nil"/>
              <w:right w:val="nil"/>
            </w:tcBorders>
            <w:vAlign w:val="center"/>
          </w:tcPr>
          <w:p w14:paraId="35881182">
            <w:pPr>
              <w:adjustRightInd w:val="0"/>
              <w:snapToGrid w:val="0"/>
              <w:jc w:val="center"/>
              <w:rPr>
                <w:rFonts w:hint="eastAsia" w:hAnsi="Cambria Math"/>
                <w:bCs/>
                <w:sz w:val="15"/>
                <w:szCs w:val="15"/>
              </w:rPr>
            </w:pPr>
          </w:p>
        </w:tc>
        <w:tc>
          <w:tcPr>
            <w:tcW w:w="2155" w:type="dxa"/>
            <w:tcBorders>
              <w:left w:val="nil"/>
              <w:bottom w:val="nil"/>
              <w:right w:val="nil"/>
            </w:tcBorders>
            <w:vAlign w:val="center"/>
          </w:tcPr>
          <w:p w14:paraId="0D4360CF">
            <w:pPr>
              <w:adjustRightInd w:val="0"/>
              <w:snapToGrid w:val="0"/>
              <w:jc w:val="center"/>
              <w:rPr>
                <w:rFonts w:hint="eastAsia" w:hAnsi="Cambria Math"/>
                <w:bCs/>
                <w:sz w:val="15"/>
                <w:szCs w:val="15"/>
              </w:rPr>
            </w:pPr>
          </w:p>
        </w:tc>
        <w:tc>
          <w:tcPr>
            <w:tcW w:w="2473" w:type="dxa"/>
            <w:tcBorders>
              <w:left w:val="nil"/>
              <w:bottom w:val="nil"/>
              <w:right w:val="nil"/>
            </w:tcBorders>
            <w:vAlign w:val="center"/>
          </w:tcPr>
          <w:p w14:paraId="22C50023">
            <w:pPr>
              <w:adjustRightInd w:val="0"/>
              <w:snapToGrid w:val="0"/>
              <w:jc w:val="center"/>
              <w:rPr>
                <w:rFonts w:hint="eastAsia" w:hAnsi="Cambria Math"/>
                <w:bCs/>
                <w:sz w:val="15"/>
                <w:szCs w:val="15"/>
              </w:rPr>
            </w:pPr>
          </w:p>
        </w:tc>
        <w:tc>
          <w:tcPr>
            <w:tcW w:w="2448" w:type="dxa"/>
            <w:tcBorders>
              <w:left w:val="nil"/>
              <w:bottom w:val="nil"/>
              <w:right w:val="nil"/>
            </w:tcBorders>
            <w:vAlign w:val="center"/>
          </w:tcPr>
          <w:p w14:paraId="167C0E1B">
            <w:pPr>
              <w:adjustRightInd w:val="0"/>
              <w:snapToGrid w:val="0"/>
              <w:jc w:val="center"/>
              <w:rPr>
                <w:rFonts w:hint="eastAsia" w:hAnsi="Cambria Math"/>
                <w:bCs/>
                <w:sz w:val="15"/>
                <w:szCs w:val="15"/>
              </w:rPr>
            </w:pPr>
          </w:p>
        </w:tc>
      </w:tr>
      <w:tr w14:paraId="4498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918" w:type="dxa"/>
            <w:gridSpan w:val="5"/>
            <w:tcBorders>
              <w:top w:val="nil"/>
              <w:left w:val="nil"/>
              <w:right w:val="nil"/>
            </w:tcBorders>
            <w:vAlign w:val="center"/>
          </w:tcPr>
          <w:p w14:paraId="73B283FA">
            <w:pPr>
              <w:adjustRightInd w:val="0"/>
              <w:snapToGrid w:val="0"/>
              <w:jc w:val="center"/>
              <w:rPr>
                <w:rFonts w:hint="eastAsia" w:hAnsi="Cambria Math"/>
                <w:bCs/>
                <w:sz w:val="15"/>
                <w:szCs w:val="15"/>
              </w:rPr>
            </w:pPr>
            <w:r>
              <w:rPr>
                <w:rFonts w:hint="eastAsia" w:hAnsi="Cambria Math"/>
                <w:bCs/>
                <w:sz w:val="15"/>
                <w:szCs w:val="15"/>
              </w:rPr>
              <w:t>续表7.2.3</w:t>
            </w:r>
          </w:p>
        </w:tc>
      </w:tr>
      <w:tr w14:paraId="1264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92" w:type="dxa"/>
            <w:vAlign w:val="center"/>
          </w:tcPr>
          <w:p w14:paraId="6AED6D1D">
            <w:pPr>
              <w:adjustRightInd w:val="0"/>
              <w:snapToGrid w:val="0"/>
              <w:jc w:val="center"/>
              <w:rPr>
                <w:rFonts w:hAnsi="Cambria Math"/>
                <w:bCs/>
                <w:sz w:val="15"/>
                <w:szCs w:val="15"/>
              </w:rPr>
            </w:pPr>
            <w:r>
              <w:rPr>
                <w:rFonts w:hint="eastAsia" w:hAnsi="Cambria Math"/>
                <w:bCs/>
                <w:sz w:val="15"/>
                <w:szCs w:val="15"/>
              </w:rPr>
              <w:t>序号</w:t>
            </w:r>
          </w:p>
        </w:tc>
        <w:tc>
          <w:tcPr>
            <w:tcW w:w="1250" w:type="dxa"/>
            <w:vAlign w:val="center"/>
          </w:tcPr>
          <w:p w14:paraId="041927CD">
            <w:pPr>
              <w:adjustRightInd w:val="0"/>
              <w:snapToGrid w:val="0"/>
              <w:jc w:val="center"/>
              <w:rPr>
                <w:rFonts w:hAnsi="Cambria Math"/>
                <w:bCs/>
                <w:sz w:val="15"/>
                <w:szCs w:val="15"/>
              </w:rPr>
            </w:pPr>
            <w:r>
              <w:rPr>
                <w:rFonts w:hint="eastAsia" w:hAnsi="Cambria Math"/>
                <w:bCs/>
                <w:sz w:val="15"/>
                <w:szCs w:val="15"/>
              </w:rPr>
              <w:t>名称</w:t>
            </w:r>
          </w:p>
        </w:tc>
        <w:tc>
          <w:tcPr>
            <w:tcW w:w="2155" w:type="dxa"/>
            <w:vAlign w:val="center"/>
          </w:tcPr>
          <w:p w14:paraId="5FDE6EBB">
            <w:pPr>
              <w:adjustRightInd w:val="0"/>
              <w:snapToGrid w:val="0"/>
              <w:jc w:val="center"/>
              <w:rPr>
                <w:rFonts w:hAnsi="Cambria Math"/>
                <w:bCs/>
                <w:sz w:val="15"/>
                <w:szCs w:val="15"/>
              </w:rPr>
            </w:pPr>
            <w:r>
              <w:rPr>
                <w:rFonts w:hint="eastAsia" w:hAnsi="Cambria Math"/>
                <w:bCs/>
                <w:sz w:val="15"/>
                <w:szCs w:val="15"/>
              </w:rPr>
              <w:t>现象</w:t>
            </w:r>
          </w:p>
        </w:tc>
        <w:tc>
          <w:tcPr>
            <w:tcW w:w="2473" w:type="dxa"/>
            <w:vAlign w:val="center"/>
          </w:tcPr>
          <w:p w14:paraId="04E56D6E">
            <w:pPr>
              <w:adjustRightInd w:val="0"/>
              <w:snapToGrid w:val="0"/>
              <w:jc w:val="center"/>
              <w:rPr>
                <w:rFonts w:hAnsi="Cambria Math"/>
                <w:bCs/>
                <w:sz w:val="15"/>
                <w:szCs w:val="15"/>
              </w:rPr>
            </w:pPr>
            <w:r>
              <w:rPr>
                <w:rFonts w:hint="eastAsia" w:hAnsi="Cambria Math"/>
                <w:bCs/>
                <w:sz w:val="15"/>
                <w:szCs w:val="15"/>
              </w:rPr>
              <w:t>严重缺陷</w:t>
            </w:r>
          </w:p>
        </w:tc>
        <w:tc>
          <w:tcPr>
            <w:tcW w:w="2448" w:type="dxa"/>
            <w:vAlign w:val="center"/>
          </w:tcPr>
          <w:p w14:paraId="69C3CEA5">
            <w:pPr>
              <w:adjustRightInd w:val="0"/>
              <w:snapToGrid w:val="0"/>
              <w:jc w:val="center"/>
              <w:rPr>
                <w:rFonts w:hAnsi="Cambria Math"/>
                <w:bCs/>
                <w:sz w:val="15"/>
                <w:szCs w:val="15"/>
              </w:rPr>
            </w:pPr>
            <w:r>
              <w:rPr>
                <w:rFonts w:hint="eastAsia" w:hAnsi="Cambria Math"/>
                <w:bCs/>
                <w:sz w:val="15"/>
                <w:szCs w:val="15"/>
              </w:rPr>
              <w:t>一般缺陷</w:t>
            </w:r>
          </w:p>
        </w:tc>
      </w:tr>
      <w:tr w14:paraId="2074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2" w:type="dxa"/>
            <w:vAlign w:val="center"/>
          </w:tcPr>
          <w:p w14:paraId="443109B7">
            <w:pPr>
              <w:adjustRightInd w:val="0"/>
              <w:snapToGrid w:val="0"/>
              <w:jc w:val="center"/>
              <w:rPr>
                <w:rFonts w:hAnsi="Cambria Math"/>
                <w:bCs/>
                <w:sz w:val="15"/>
                <w:szCs w:val="15"/>
              </w:rPr>
            </w:pPr>
            <w:r>
              <w:rPr>
                <w:rFonts w:hint="eastAsia" w:hAnsi="Cambria Math"/>
                <w:bCs/>
                <w:sz w:val="15"/>
                <w:szCs w:val="15"/>
              </w:rPr>
              <w:t>6</w:t>
            </w:r>
          </w:p>
        </w:tc>
        <w:tc>
          <w:tcPr>
            <w:tcW w:w="1250" w:type="dxa"/>
            <w:vAlign w:val="center"/>
          </w:tcPr>
          <w:p w14:paraId="6A5A7596">
            <w:pPr>
              <w:adjustRightInd w:val="0"/>
              <w:snapToGrid w:val="0"/>
              <w:jc w:val="center"/>
              <w:rPr>
                <w:rFonts w:hAnsi="Cambria Math"/>
                <w:bCs/>
                <w:sz w:val="15"/>
                <w:szCs w:val="15"/>
              </w:rPr>
            </w:pPr>
            <w:r>
              <w:rPr>
                <w:rFonts w:hint="eastAsia" w:hAnsi="Cambria Math"/>
                <w:bCs/>
                <w:sz w:val="15"/>
                <w:szCs w:val="15"/>
              </w:rPr>
              <w:t>裂缝</w:t>
            </w:r>
          </w:p>
        </w:tc>
        <w:tc>
          <w:tcPr>
            <w:tcW w:w="2155" w:type="dxa"/>
            <w:vAlign w:val="center"/>
          </w:tcPr>
          <w:p w14:paraId="16C0E4EE">
            <w:pPr>
              <w:adjustRightInd w:val="0"/>
              <w:snapToGrid w:val="0"/>
              <w:jc w:val="center"/>
              <w:rPr>
                <w:rFonts w:hAnsi="Cambria Math"/>
                <w:bCs/>
                <w:sz w:val="15"/>
                <w:szCs w:val="15"/>
              </w:rPr>
            </w:pPr>
            <w:r>
              <w:rPr>
                <w:rFonts w:hint="eastAsia" w:hAnsi="Cambria Math"/>
                <w:bCs/>
                <w:sz w:val="15"/>
                <w:szCs w:val="15"/>
              </w:rPr>
              <w:t>缝隙从混凝土表面延伸至混凝土内部</w:t>
            </w:r>
          </w:p>
        </w:tc>
        <w:tc>
          <w:tcPr>
            <w:tcW w:w="2473" w:type="dxa"/>
            <w:vAlign w:val="center"/>
          </w:tcPr>
          <w:p w14:paraId="15D921BB">
            <w:pPr>
              <w:adjustRightInd w:val="0"/>
              <w:snapToGrid w:val="0"/>
              <w:jc w:val="center"/>
              <w:rPr>
                <w:rFonts w:hAnsi="Cambria Math"/>
                <w:bCs/>
                <w:sz w:val="15"/>
                <w:szCs w:val="15"/>
              </w:rPr>
            </w:pPr>
            <w:r>
              <w:rPr>
                <w:rFonts w:hint="eastAsia" w:hAnsi="Cambria Math"/>
                <w:bCs/>
                <w:sz w:val="15"/>
                <w:szCs w:val="15"/>
              </w:rPr>
              <w:t>构件主要受力部位有影响结构性能或使用功能的裂缝</w:t>
            </w:r>
          </w:p>
        </w:tc>
        <w:tc>
          <w:tcPr>
            <w:tcW w:w="2448" w:type="dxa"/>
            <w:vAlign w:val="center"/>
          </w:tcPr>
          <w:p w14:paraId="20FB0404">
            <w:pPr>
              <w:adjustRightInd w:val="0"/>
              <w:snapToGrid w:val="0"/>
              <w:jc w:val="center"/>
              <w:rPr>
                <w:rFonts w:hAnsi="Cambria Math"/>
                <w:bCs/>
                <w:sz w:val="15"/>
                <w:szCs w:val="15"/>
              </w:rPr>
            </w:pPr>
            <w:r>
              <w:rPr>
                <w:rFonts w:hint="eastAsia" w:hAnsi="Cambria Math"/>
                <w:bCs/>
                <w:sz w:val="15"/>
                <w:szCs w:val="15"/>
              </w:rPr>
              <w:t>其他部位有基本不影响结构性能或使用功能的裂缝</w:t>
            </w:r>
          </w:p>
        </w:tc>
      </w:tr>
      <w:tr w14:paraId="7A57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2" w:type="dxa"/>
            <w:vAlign w:val="center"/>
          </w:tcPr>
          <w:p w14:paraId="0EB31CD6">
            <w:pPr>
              <w:adjustRightInd w:val="0"/>
              <w:snapToGrid w:val="0"/>
              <w:jc w:val="center"/>
              <w:rPr>
                <w:rFonts w:hAnsi="Cambria Math"/>
                <w:bCs/>
                <w:sz w:val="15"/>
                <w:szCs w:val="15"/>
              </w:rPr>
            </w:pPr>
            <w:r>
              <w:rPr>
                <w:rFonts w:hint="eastAsia" w:hAnsi="Cambria Math"/>
                <w:bCs/>
                <w:sz w:val="15"/>
                <w:szCs w:val="15"/>
              </w:rPr>
              <w:t>7</w:t>
            </w:r>
          </w:p>
        </w:tc>
        <w:tc>
          <w:tcPr>
            <w:tcW w:w="1250" w:type="dxa"/>
            <w:vAlign w:val="center"/>
          </w:tcPr>
          <w:p w14:paraId="5D5E1A33">
            <w:pPr>
              <w:adjustRightInd w:val="0"/>
              <w:snapToGrid w:val="0"/>
              <w:jc w:val="center"/>
              <w:rPr>
                <w:rFonts w:hAnsi="Cambria Math"/>
                <w:bCs/>
                <w:sz w:val="15"/>
                <w:szCs w:val="15"/>
              </w:rPr>
            </w:pPr>
            <w:r>
              <w:rPr>
                <w:rFonts w:hint="eastAsia" w:hAnsi="Cambria Math"/>
                <w:bCs/>
                <w:sz w:val="15"/>
                <w:szCs w:val="15"/>
              </w:rPr>
              <w:t>连续部位缺陷</w:t>
            </w:r>
          </w:p>
        </w:tc>
        <w:tc>
          <w:tcPr>
            <w:tcW w:w="2155" w:type="dxa"/>
            <w:vAlign w:val="center"/>
          </w:tcPr>
          <w:p w14:paraId="0D6BD98A">
            <w:pPr>
              <w:adjustRightInd w:val="0"/>
              <w:snapToGrid w:val="0"/>
              <w:jc w:val="center"/>
              <w:rPr>
                <w:rFonts w:hAnsi="Cambria Math"/>
                <w:bCs/>
                <w:sz w:val="15"/>
                <w:szCs w:val="15"/>
              </w:rPr>
            </w:pPr>
            <w:r>
              <w:rPr>
                <w:rFonts w:hint="eastAsia" w:hAnsi="Cambria Math"/>
                <w:bCs/>
                <w:sz w:val="15"/>
                <w:szCs w:val="15"/>
              </w:rPr>
              <w:t>构件连接处混凝土缺陷及连接钢筋、连接铁件松动</w:t>
            </w:r>
          </w:p>
        </w:tc>
        <w:tc>
          <w:tcPr>
            <w:tcW w:w="2473" w:type="dxa"/>
            <w:vAlign w:val="center"/>
          </w:tcPr>
          <w:p w14:paraId="71A829B7">
            <w:pPr>
              <w:adjustRightInd w:val="0"/>
              <w:snapToGrid w:val="0"/>
              <w:jc w:val="center"/>
              <w:rPr>
                <w:rFonts w:hAnsi="Cambria Math"/>
                <w:bCs/>
                <w:sz w:val="15"/>
                <w:szCs w:val="15"/>
              </w:rPr>
            </w:pPr>
            <w:r>
              <w:rPr>
                <w:rFonts w:hint="eastAsia" w:hAnsi="Cambria Math"/>
                <w:bCs/>
                <w:sz w:val="15"/>
                <w:szCs w:val="15"/>
              </w:rPr>
              <w:t>连接部位有影响结构传力性能的缺陷</w:t>
            </w:r>
          </w:p>
        </w:tc>
        <w:tc>
          <w:tcPr>
            <w:tcW w:w="2448" w:type="dxa"/>
            <w:vAlign w:val="center"/>
          </w:tcPr>
          <w:p w14:paraId="3C5547E8">
            <w:pPr>
              <w:adjustRightInd w:val="0"/>
              <w:snapToGrid w:val="0"/>
              <w:jc w:val="center"/>
              <w:rPr>
                <w:rFonts w:hAnsi="Cambria Math"/>
                <w:bCs/>
                <w:sz w:val="15"/>
                <w:szCs w:val="15"/>
              </w:rPr>
            </w:pPr>
            <w:r>
              <w:rPr>
                <w:rFonts w:hint="eastAsia" w:hAnsi="Cambria Math"/>
                <w:bCs/>
                <w:sz w:val="15"/>
                <w:szCs w:val="15"/>
              </w:rPr>
              <w:t>连接部位有基本不影响结构传力性能的缺陷</w:t>
            </w:r>
          </w:p>
        </w:tc>
      </w:tr>
      <w:tr w14:paraId="29E3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2" w:type="dxa"/>
            <w:vAlign w:val="center"/>
          </w:tcPr>
          <w:p w14:paraId="4D245A36">
            <w:pPr>
              <w:adjustRightInd w:val="0"/>
              <w:snapToGrid w:val="0"/>
              <w:jc w:val="center"/>
              <w:rPr>
                <w:rFonts w:hAnsi="Cambria Math"/>
                <w:bCs/>
                <w:sz w:val="15"/>
                <w:szCs w:val="15"/>
              </w:rPr>
            </w:pPr>
            <w:r>
              <w:rPr>
                <w:rFonts w:hint="eastAsia" w:hAnsi="Cambria Math"/>
                <w:bCs/>
                <w:sz w:val="15"/>
                <w:szCs w:val="15"/>
              </w:rPr>
              <w:t>8</w:t>
            </w:r>
          </w:p>
        </w:tc>
        <w:tc>
          <w:tcPr>
            <w:tcW w:w="1250" w:type="dxa"/>
            <w:vAlign w:val="center"/>
          </w:tcPr>
          <w:p w14:paraId="632BD891">
            <w:pPr>
              <w:adjustRightInd w:val="0"/>
              <w:snapToGrid w:val="0"/>
              <w:jc w:val="center"/>
              <w:rPr>
                <w:rFonts w:hAnsi="Cambria Math"/>
                <w:bCs/>
                <w:sz w:val="15"/>
                <w:szCs w:val="15"/>
              </w:rPr>
            </w:pPr>
            <w:r>
              <w:rPr>
                <w:rFonts w:hint="eastAsia" w:hAnsi="Cambria Math"/>
                <w:bCs/>
                <w:sz w:val="15"/>
                <w:szCs w:val="15"/>
              </w:rPr>
              <w:t>外形缺陷</w:t>
            </w:r>
          </w:p>
        </w:tc>
        <w:tc>
          <w:tcPr>
            <w:tcW w:w="2155" w:type="dxa"/>
            <w:vAlign w:val="center"/>
          </w:tcPr>
          <w:p w14:paraId="55C6D59A">
            <w:pPr>
              <w:adjustRightInd w:val="0"/>
              <w:snapToGrid w:val="0"/>
              <w:jc w:val="center"/>
              <w:rPr>
                <w:rFonts w:hAnsi="Cambria Math"/>
                <w:bCs/>
                <w:sz w:val="15"/>
                <w:szCs w:val="15"/>
              </w:rPr>
            </w:pPr>
            <w:r>
              <w:rPr>
                <w:rFonts w:hint="eastAsia" w:hAnsi="Cambria Math"/>
                <w:bCs/>
                <w:sz w:val="15"/>
                <w:szCs w:val="15"/>
              </w:rPr>
              <w:t>缺棱掉角、棱角不直、翘曲不平、飞出凸肋等</w:t>
            </w:r>
          </w:p>
        </w:tc>
        <w:tc>
          <w:tcPr>
            <w:tcW w:w="2473" w:type="dxa"/>
            <w:vAlign w:val="center"/>
          </w:tcPr>
          <w:p w14:paraId="3F166163">
            <w:pPr>
              <w:adjustRightInd w:val="0"/>
              <w:snapToGrid w:val="0"/>
              <w:jc w:val="center"/>
              <w:rPr>
                <w:rFonts w:hAnsi="Cambria Math"/>
                <w:bCs/>
                <w:sz w:val="15"/>
                <w:szCs w:val="15"/>
              </w:rPr>
            </w:pPr>
            <w:r>
              <w:rPr>
                <w:rFonts w:hint="eastAsia" w:hAnsi="Cambria Math"/>
                <w:bCs/>
                <w:sz w:val="15"/>
                <w:szCs w:val="15"/>
              </w:rPr>
              <w:t>清水混凝土构件内有影响使用功能或装饰效果的外形缺陷</w:t>
            </w:r>
          </w:p>
        </w:tc>
        <w:tc>
          <w:tcPr>
            <w:tcW w:w="2448" w:type="dxa"/>
            <w:vAlign w:val="center"/>
          </w:tcPr>
          <w:p w14:paraId="40D1CC87">
            <w:pPr>
              <w:adjustRightInd w:val="0"/>
              <w:snapToGrid w:val="0"/>
              <w:jc w:val="center"/>
              <w:rPr>
                <w:rFonts w:hAnsi="Cambria Math"/>
                <w:bCs/>
                <w:sz w:val="15"/>
                <w:szCs w:val="15"/>
              </w:rPr>
            </w:pPr>
            <w:r>
              <w:rPr>
                <w:rFonts w:hint="eastAsia" w:hAnsi="Cambria Math"/>
                <w:bCs/>
                <w:sz w:val="15"/>
                <w:szCs w:val="15"/>
              </w:rPr>
              <w:t>其他混凝土构件有不影响使用功能的外形缺陷</w:t>
            </w:r>
          </w:p>
        </w:tc>
      </w:tr>
      <w:tr w14:paraId="07AA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2" w:type="dxa"/>
            <w:vAlign w:val="center"/>
          </w:tcPr>
          <w:p w14:paraId="58BFE1D2">
            <w:pPr>
              <w:adjustRightInd w:val="0"/>
              <w:snapToGrid w:val="0"/>
              <w:jc w:val="center"/>
              <w:rPr>
                <w:rFonts w:hAnsi="Cambria Math"/>
                <w:bCs/>
                <w:sz w:val="15"/>
                <w:szCs w:val="15"/>
              </w:rPr>
            </w:pPr>
            <w:r>
              <w:rPr>
                <w:rFonts w:hint="eastAsia" w:hAnsi="Cambria Math"/>
                <w:bCs/>
                <w:sz w:val="15"/>
                <w:szCs w:val="15"/>
              </w:rPr>
              <w:t>9</w:t>
            </w:r>
          </w:p>
        </w:tc>
        <w:tc>
          <w:tcPr>
            <w:tcW w:w="1250" w:type="dxa"/>
            <w:vAlign w:val="center"/>
          </w:tcPr>
          <w:p w14:paraId="2E5588E6">
            <w:pPr>
              <w:adjustRightInd w:val="0"/>
              <w:snapToGrid w:val="0"/>
              <w:jc w:val="center"/>
              <w:rPr>
                <w:rFonts w:hAnsi="Cambria Math"/>
                <w:bCs/>
                <w:sz w:val="15"/>
                <w:szCs w:val="15"/>
              </w:rPr>
            </w:pPr>
            <w:r>
              <w:rPr>
                <w:rFonts w:hint="eastAsia" w:hAnsi="Cambria Math"/>
                <w:bCs/>
                <w:sz w:val="15"/>
                <w:szCs w:val="15"/>
              </w:rPr>
              <w:t>外表缺陷</w:t>
            </w:r>
          </w:p>
        </w:tc>
        <w:tc>
          <w:tcPr>
            <w:tcW w:w="2155" w:type="dxa"/>
            <w:vAlign w:val="center"/>
          </w:tcPr>
          <w:p w14:paraId="24E346E9">
            <w:pPr>
              <w:adjustRightInd w:val="0"/>
              <w:snapToGrid w:val="0"/>
              <w:jc w:val="center"/>
              <w:rPr>
                <w:rFonts w:hAnsi="Cambria Math"/>
                <w:bCs/>
                <w:sz w:val="15"/>
                <w:szCs w:val="15"/>
              </w:rPr>
            </w:pPr>
            <w:r>
              <w:rPr>
                <w:rFonts w:hint="eastAsia" w:hAnsi="Cambria Math"/>
                <w:bCs/>
                <w:sz w:val="15"/>
                <w:szCs w:val="15"/>
              </w:rPr>
              <w:t>构件表面麻面、掉皮、起砂、沾污等</w:t>
            </w:r>
          </w:p>
        </w:tc>
        <w:tc>
          <w:tcPr>
            <w:tcW w:w="2473" w:type="dxa"/>
            <w:vAlign w:val="center"/>
          </w:tcPr>
          <w:p w14:paraId="778597E3">
            <w:pPr>
              <w:adjustRightInd w:val="0"/>
              <w:snapToGrid w:val="0"/>
              <w:jc w:val="center"/>
              <w:rPr>
                <w:rFonts w:hAnsi="Cambria Math"/>
                <w:bCs/>
                <w:sz w:val="15"/>
                <w:szCs w:val="15"/>
              </w:rPr>
            </w:pPr>
            <w:r>
              <w:rPr>
                <w:rFonts w:hint="eastAsia" w:hAnsi="Cambria Math"/>
                <w:bCs/>
                <w:sz w:val="15"/>
                <w:szCs w:val="15"/>
              </w:rPr>
              <w:t>具有重要装饰效果的清水混凝土构件有外表缺陷</w:t>
            </w:r>
          </w:p>
        </w:tc>
        <w:tc>
          <w:tcPr>
            <w:tcW w:w="2448" w:type="dxa"/>
            <w:vAlign w:val="center"/>
          </w:tcPr>
          <w:p w14:paraId="76B5A500">
            <w:pPr>
              <w:adjustRightInd w:val="0"/>
              <w:snapToGrid w:val="0"/>
              <w:jc w:val="center"/>
              <w:rPr>
                <w:rFonts w:hAnsi="Cambria Math"/>
                <w:bCs/>
                <w:sz w:val="15"/>
                <w:szCs w:val="15"/>
              </w:rPr>
            </w:pPr>
            <w:r>
              <w:rPr>
                <w:rFonts w:hint="eastAsia" w:hAnsi="Cambria Math"/>
                <w:bCs/>
                <w:sz w:val="15"/>
                <w:szCs w:val="15"/>
              </w:rPr>
              <w:t>其他混凝土构件有不影响使用功能的外表缺陷</w:t>
            </w:r>
          </w:p>
        </w:tc>
      </w:tr>
    </w:tbl>
    <w:p w14:paraId="591C0034">
      <w:pPr>
        <w:snapToGrid w:val="0"/>
        <w:spacing w:line="288" w:lineRule="auto"/>
        <w:ind w:firstLine="300" w:firstLineChars="150"/>
        <w:rPr>
          <w:sz w:val="20"/>
        </w:rPr>
      </w:pPr>
    </w:p>
    <w:sectPr>
      <w:headerReference r:id="rId6" w:type="default"/>
      <w:footerReference r:id="rId8" w:type="default"/>
      <w:headerReference r:id="rId7" w:type="even"/>
      <w:footerReference r:id="rId9" w:type="even"/>
      <w:pgSz w:w="11850" w:h="16840"/>
      <w:pgMar w:top="1361" w:right="1021" w:bottom="1134" w:left="1021" w:header="102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G Times">
    <w:altName w:val="AMGDT"/>
    <w:panose1 w:val="00000000000000000000"/>
    <w:charset w:val="00"/>
    <w:family w:val="roman"/>
    <w:pitch w:val="default"/>
    <w:sig w:usb0="00000000" w:usb1="00000000" w:usb2="00000000" w:usb3="00000000" w:csb0="00000093"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ì.">
    <w:altName w:val="宋体"/>
    <w:panose1 w:val="00000000000000000000"/>
    <w:charset w:val="86"/>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Yu Mincho Light">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体">
    <w:altName w:val="宋体"/>
    <w:panose1 w:val="00000000000000000000"/>
    <w:charset w:val="86"/>
    <w:family w:val="roman"/>
    <w:pitch w:val="default"/>
    <w:sig w:usb0="00000000" w:usb1="00000000" w:usb2="00000010" w:usb3="00000000" w:csb0="00040001" w:csb1="00000000"/>
  </w:font>
  <w:font w:name="AMGDT">
    <w:panose1 w:val="02000400000000000000"/>
    <w:charset w:val="00"/>
    <w:family w:val="auto"/>
    <w:pitch w:val="default"/>
    <w:sig w:usb0="80000003" w:usb1="10000000" w:usb2="00000000" w:usb3="00000000" w:csb0="0000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DD733">
    <w:pPr>
      <w:pStyle w:val="2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541"/>
                          </w:sdtPr>
                          <w:sdtContent>
                            <w:p w14:paraId="70D5F4C0">
                              <w:pPr>
                                <w:pStyle w:val="29"/>
                                <w:jc w:val="center"/>
                              </w:pPr>
                              <w:r>
                                <w:fldChar w:fldCharType="begin"/>
                              </w:r>
                              <w:r>
                                <w:instrText xml:space="preserve">PAGE   \* MERGEFORMAT</w:instrText>
                              </w:r>
                              <w:r>
                                <w:fldChar w:fldCharType="separate"/>
                              </w:r>
                              <w:r>
                                <w:rPr>
                                  <w:lang w:val="zh-CN"/>
                                </w:rPr>
                                <w:t>5</w:t>
                              </w:r>
                              <w:r>
                                <w:fldChar w:fldCharType="end"/>
                              </w:r>
                            </w:p>
                          </w:sdtContent>
                        </w:sdt>
                        <w:p w14:paraId="1CBDBBF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79541"/>
                    </w:sdtPr>
                    <w:sdtContent>
                      <w:p w14:paraId="70D5F4C0">
                        <w:pPr>
                          <w:pStyle w:val="29"/>
                          <w:jc w:val="center"/>
                        </w:pPr>
                        <w:r>
                          <w:fldChar w:fldCharType="begin"/>
                        </w:r>
                        <w:r>
                          <w:instrText xml:space="preserve">PAGE   \* MERGEFORMAT</w:instrText>
                        </w:r>
                        <w:r>
                          <w:fldChar w:fldCharType="separate"/>
                        </w:r>
                        <w:r>
                          <w:rPr>
                            <w:lang w:val="zh-CN"/>
                          </w:rPr>
                          <w:t>5</w:t>
                        </w:r>
                        <w:r>
                          <w:fldChar w:fldCharType="end"/>
                        </w:r>
                      </w:p>
                    </w:sdtContent>
                  </w:sdt>
                  <w:p w14:paraId="1CBDBBF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D2BB6">
    <w:pPr>
      <w:pStyle w:val="29"/>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347"/>
                          </w:sdtPr>
                          <w:sdtContent>
                            <w:p w14:paraId="5AC5D570">
                              <w:pPr>
                                <w:pStyle w:val="29"/>
                                <w:jc w:val="center"/>
                              </w:pPr>
                              <w:r>
                                <w:fldChar w:fldCharType="begin"/>
                              </w:r>
                              <w:r>
                                <w:instrText xml:space="preserve">PAGE   \* MERGEFORMAT</w:instrText>
                              </w:r>
                              <w:r>
                                <w:fldChar w:fldCharType="separate"/>
                              </w:r>
                              <w:r>
                                <w:rPr>
                                  <w:lang w:val="zh-CN"/>
                                </w:rPr>
                                <w:t>6</w:t>
                              </w:r>
                              <w:r>
                                <w:fldChar w:fldCharType="end"/>
                              </w:r>
                            </w:p>
                          </w:sdtContent>
                        </w:sdt>
                        <w:p w14:paraId="721CA38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47459347"/>
                    </w:sdtPr>
                    <w:sdtContent>
                      <w:p w14:paraId="5AC5D570">
                        <w:pPr>
                          <w:pStyle w:val="29"/>
                          <w:jc w:val="center"/>
                        </w:pPr>
                        <w:r>
                          <w:fldChar w:fldCharType="begin"/>
                        </w:r>
                        <w:r>
                          <w:instrText xml:space="preserve">PAGE   \* MERGEFORMAT</w:instrText>
                        </w:r>
                        <w:r>
                          <w:fldChar w:fldCharType="separate"/>
                        </w:r>
                        <w:r>
                          <w:rPr>
                            <w:lang w:val="zh-CN"/>
                          </w:rPr>
                          <w:t>6</w:t>
                        </w:r>
                        <w:r>
                          <w:fldChar w:fldCharType="end"/>
                        </w:r>
                      </w:p>
                    </w:sdtContent>
                  </w:sdt>
                  <w:p w14:paraId="721CA38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95770">
    <w:pPr>
      <w:pStyle w:val="29"/>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083"/>
                          </w:sdtPr>
                          <w:sdtContent>
                            <w:p w14:paraId="646AAC1F">
                              <w:pPr>
                                <w:pStyle w:val="29"/>
                                <w:jc w:val="center"/>
                              </w:pPr>
                              <w:r>
                                <w:fldChar w:fldCharType="begin"/>
                              </w:r>
                              <w:r>
                                <w:instrText xml:space="preserve">PAGE   \* MERGEFORMAT</w:instrText>
                              </w:r>
                              <w:r>
                                <w:fldChar w:fldCharType="separate"/>
                              </w:r>
                              <w:r>
                                <w:rPr>
                                  <w:lang w:val="zh-CN"/>
                                </w:rPr>
                                <w:t>1</w:t>
                              </w:r>
                              <w:r>
                                <w:fldChar w:fldCharType="end"/>
                              </w:r>
                            </w:p>
                          </w:sdtContent>
                        </w:sdt>
                        <w:p w14:paraId="1F25004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147467083"/>
                    </w:sdtPr>
                    <w:sdtContent>
                      <w:p w14:paraId="646AAC1F">
                        <w:pPr>
                          <w:pStyle w:val="29"/>
                          <w:jc w:val="center"/>
                        </w:pPr>
                        <w:r>
                          <w:fldChar w:fldCharType="begin"/>
                        </w:r>
                        <w:r>
                          <w:instrText xml:space="preserve">PAGE   \* MERGEFORMAT</w:instrText>
                        </w:r>
                        <w:r>
                          <w:fldChar w:fldCharType="separate"/>
                        </w:r>
                        <w:r>
                          <w:rPr>
                            <w:lang w:val="zh-CN"/>
                          </w:rPr>
                          <w:t>1</w:t>
                        </w:r>
                        <w:r>
                          <w:fldChar w:fldCharType="end"/>
                        </w:r>
                      </w:p>
                    </w:sdtContent>
                  </w:sdt>
                  <w:p w14:paraId="1F250040"/>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D8F7">
    <w:pPr>
      <w:pStyle w:val="29"/>
      <w:jc w:val="right"/>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AD0DD">
                          <w:pPr>
                            <w:pStyle w:val="2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5BAD0DD">
                    <w:pPr>
                      <w:pStyle w:val="2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1BA18">
    <w:pPr>
      <w:pStyle w:val="29"/>
      <w:rPr>
        <w:rFonts w:ascii="宋体" w:hAnsi="宋体"/>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9870B">
                          <w:pPr>
                            <w:pStyle w:val="2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E29870B">
                    <w:pPr>
                      <w:pStyle w:val="2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FE6F6">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D47AD">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C1670"/>
    <w:multiLevelType w:val="multilevel"/>
    <w:tmpl w:val="0BDC1670"/>
    <w:lvl w:ilvl="0" w:tentative="0">
      <w:start w:val="1"/>
      <w:numFmt w:val="decimal"/>
      <w:pStyle w:val="30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EB53B7C"/>
    <w:multiLevelType w:val="multilevel"/>
    <w:tmpl w:val="1EB53B7C"/>
    <w:lvl w:ilvl="0" w:tentative="0">
      <w:start w:val="1"/>
      <w:numFmt w:val="decimal"/>
      <w:pStyle w:val="235"/>
      <w:lvlText w:val="%1"/>
      <w:lvlJc w:val="left"/>
      <w:pPr>
        <w:tabs>
          <w:tab w:val="left" w:pos="3261"/>
        </w:tabs>
        <w:ind w:left="3261" w:hanging="425"/>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0"/>
        <w:u w:val="none"/>
        <w:vertAlign w:val="baseline"/>
      </w:rPr>
    </w:lvl>
    <w:lvl w:ilvl="1" w:tentative="0">
      <w:start w:val="0"/>
      <w:numFmt w:val="decimal"/>
      <w:lvlText w:val="%1.%2"/>
      <w:lvlJc w:val="left"/>
      <w:pPr>
        <w:tabs>
          <w:tab w:val="left" w:pos="3828"/>
        </w:tabs>
        <w:ind w:left="3828" w:hanging="567"/>
      </w:pPr>
      <w:rPr>
        <w:rFonts w:hint="default"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tentative="0">
      <w:start w:val="1"/>
      <w:numFmt w:val="decimal"/>
      <w:pStyle w:val="233"/>
      <w:lvlText w:val="%1.%2.%3"/>
      <w:lvlJc w:val="left"/>
      <w:pPr>
        <w:tabs>
          <w:tab w:val="left" w:pos="567"/>
        </w:tabs>
        <w:ind w:left="0"/>
      </w:pPr>
      <w:rPr>
        <w:rFonts w:hint="default" w:ascii="Times New Roman" w:hAnsi="Times New Roman" w:cs="Times New Roman"/>
        <w:b/>
        <w:i w:val="0"/>
        <w:color w:val="auto"/>
        <w:sz w:val="24"/>
        <w:szCs w:val="24"/>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
    <w:nsid w:val="4F302902"/>
    <w:multiLevelType w:val="multilevel"/>
    <w:tmpl w:val="4F302902"/>
    <w:lvl w:ilvl="0" w:tentative="0">
      <w:start w:val="1"/>
      <w:numFmt w:val="none"/>
      <w:pStyle w:val="150"/>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CEA2025"/>
    <w:multiLevelType w:val="multilevel"/>
    <w:tmpl w:val="6CEA2025"/>
    <w:lvl w:ilvl="0" w:tentative="0">
      <w:start w:val="1"/>
      <w:numFmt w:val="none"/>
      <w:pStyle w:val="154"/>
      <w:suff w:val="nothing"/>
      <w:lvlText w:val="%1"/>
      <w:lvlJc w:val="left"/>
      <w:pPr>
        <w:ind w:left="0" w:firstLine="0"/>
      </w:pPr>
      <w:rPr>
        <w:rFonts w:hint="default" w:ascii="Times New Roman" w:hAnsi="Times New Roman"/>
        <w:b/>
        <w:i w:val="0"/>
        <w:sz w:val="21"/>
      </w:rPr>
    </w:lvl>
    <w:lvl w:ilvl="1" w:tentative="0">
      <w:start w:val="1"/>
      <w:numFmt w:val="decimal"/>
      <w:pStyle w:val="155"/>
      <w:suff w:val="nothing"/>
      <w:lvlText w:val="%1%2　"/>
      <w:lvlJc w:val="left"/>
      <w:pPr>
        <w:ind w:left="0" w:firstLine="0"/>
      </w:pPr>
      <w:rPr>
        <w:rFonts w:hint="eastAsia" w:ascii="黑体" w:hAnsi="Times New Roman" w:eastAsia="黑体"/>
        <w:b w:val="0"/>
        <w:i w:val="0"/>
        <w:sz w:val="21"/>
      </w:rPr>
    </w:lvl>
    <w:lvl w:ilvl="2" w:tentative="0">
      <w:start w:val="1"/>
      <w:numFmt w:val="decimal"/>
      <w:pStyle w:val="156"/>
      <w:suff w:val="nothing"/>
      <w:lvlText w:val="%1%2.%3　"/>
      <w:lvlJc w:val="left"/>
      <w:pPr>
        <w:ind w:left="360" w:firstLine="0"/>
      </w:pPr>
      <w:rPr>
        <w:rFonts w:hint="eastAsia" w:ascii="黑体" w:hAnsi="Times New Roman" w:eastAsia="黑体"/>
        <w:b w:val="0"/>
        <w:i w:val="0"/>
        <w:sz w:val="21"/>
      </w:rPr>
    </w:lvl>
    <w:lvl w:ilvl="3" w:tentative="0">
      <w:start w:val="1"/>
      <w:numFmt w:val="decimal"/>
      <w:pStyle w:val="157"/>
      <w:suff w:val="nothing"/>
      <w:lvlText w:val="%1%2.%3.%4　"/>
      <w:lvlJc w:val="left"/>
      <w:pPr>
        <w:ind w:left="0" w:firstLine="0"/>
      </w:pPr>
      <w:rPr>
        <w:rFonts w:hint="eastAsia" w:ascii="黑体" w:hAnsi="Times New Roman" w:eastAsia="黑体"/>
        <w:b w:val="0"/>
        <w:i w:val="0"/>
        <w:sz w:val="21"/>
      </w:rPr>
    </w:lvl>
    <w:lvl w:ilvl="4" w:tentative="0">
      <w:start w:val="1"/>
      <w:numFmt w:val="decimal"/>
      <w:pStyle w:val="158"/>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6933334"/>
    <w:multiLevelType w:val="multilevel"/>
    <w:tmpl w:val="76933334"/>
    <w:lvl w:ilvl="0" w:tentative="0">
      <w:start w:val="1"/>
      <w:numFmt w:val="none"/>
      <w:pStyle w:val="148"/>
      <w:lvlText w:val="%1——"/>
      <w:lvlJc w:val="left"/>
      <w:pPr>
        <w:tabs>
          <w:tab w:val="left" w:pos="1140"/>
        </w:tabs>
        <w:ind w:left="840" w:hanging="420"/>
      </w:pPr>
      <w:rPr>
        <w:rFonts w:hint="eastAsia"/>
      </w:rPr>
    </w:lvl>
    <w:lvl w:ilvl="1" w:tentative="0">
      <w:start w:val="1"/>
      <w:numFmt w:val="lowerLetter"/>
      <w:pStyle w:val="27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68"/>
      <w:lvlText w:val="%4."/>
      <w:lvlJc w:val="left"/>
      <w:pPr>
        <w:tabs>
          <w:tab w:val="left" w:pos="1680"/>
        </w:tabs>
        <w:ind w:left="1680" w:hanging="420"/>
      </w:pPr>
    </w:lvl>
    <w:lvl w:ilvl="4" w:tentative="0">
      <w:start w:val="1"/>
      <w:numFmt w:val="lowerLetter"/>
      <w:pStyle w:val="267"/>
      <w:lvlText w:val="%5)"/>
      <w:lvlJc w:val="left"/>
      <w:pPr>
        <w:tabs>
          <w:tab w:val="left" w:pos="2100"/>
        </w:tabs>
        <w:ind w:left="2100" w:hanging="420"/>
      </w:pPr>
    </w:lvl>
    <w:lvl w:ilvl="5" w:tentative="0">
      <w:start w:val="1"/>
      <w:numFmt w:val="lowerRoman"/>
      <w:pStyle w:val="271"/>
      <w:lvlText w:val="%6."/>
      <w:lvlJc w:val="right"/>
      <w:pPr>
        <w:tabs>
          <w:tab w:val="left" w:pos="2520"/>
        </w:tabs>
        <w:ind w:left="2520" w:hanging="420"/>
      </w:pPr>
    </w:lvl>
    <w:lvl w:ilvl="6" w:tentative="0">
      <w:start w:val="1"/>
      <w:numFmt w:val="decimal"/>
      <w:pStyle w:val="277"/>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0F"/>
    <w:rsid w:val="00000544"/>
    <w:rsid w:val="00000741"/>
    <w:rsid w:val="00000BBF"/>
    <w:rsid w:val="00001194"/>
    <w:rsid w:val="00001C2E"/>
    <w:rsid w:val="00001E98"/>
    <w:rsid w:val="00002CF5"/>
    <w:rsid w:val="0000324A"/>
    <w:rsid w:val="000036B8"/>
    <w:rsid w:val="0000375E"/>
    <w:rsid w:val="00003CB4"/>
    <w:rsid w:val="00003D7C"/>
    <w:rsid w:val="00003FE2"/>
    <w:rsid w:val="0000472D"/>
    <w:rsid w:val="00004A97"/>
    <w:rsid w:val="00004C78"/>
    <w:rsid w:val="00004D37"/>
    <w:rsid w:val="000051C6"/>
    <w:rsid w:val="0000535F"/>
    <w:rsid w:val="00005444"/>
    <w:rsid w:val="00005575"/>
    <w:rsid w:val="00005966"/>
    <w:rsid w:val="00005CF6"/>
    <w:rsid w:val="00005FAD"/>
    <w:rsid w:val="00006265"/>
    <w:rsid w:val="00006A00"/>
    <w:rsid w:val="00006AC6"/>
    <w:rsid w:val="00006CA9"/>
    <w:rsid w:val="00007326"/>
    <w:rsid w:val="000076A7"/>
    <w:rsid w:val="00010397"/>
    <w:rsid w:val="000106F7"/>
    <w:rsid w:val="00010709"/>
    <w:rsid w:val="00010893"/>
    <w:rsid w:val="000108B1"/>
    <w:rsid w:val="000109BF"/>
    <w:rsid w:val="00010F76"/>
    <w:rsid w:val="000111CD"/>
    <w:rsid w:val="000116B1"/>
    <w:rsid w:val="00011857"/>
    <w:rsid w:val="00011A5F"/>
    <w:rsid w:val="00011AB9"/>
    <w:rsid w:val="00011EEB"/>
    <w:rsid w:val="00012711"/>
    <w:rsid w:val="0001275F"/>
    <w:rsid w:val="0001277F"/>
    <w:rsid w:val="00012A33"/>
    <w:rsid w:val="00012AF8"/>
    <w:rsid w:val="00012BE3"/>
    <w:rsid w:val="00012E09"/>
    <w:rsid w:val="00013236"/>
    <w:rsid w:val="00013320"/>
    <w:rsid w:val="000134E0"/>
    <w:rsid w:val="00013856"/>
    <w:rsid w:val="00013F49"/>
    <w:rsid w:val="00014A22"/>
    <w:rsid w:val="0001577E"/>
    <w:rsid w:val="000157D9"/>
    <w:rsid w:val="000157EB"/>
    <w:rsid w:val="00015995"/>
    <w:rsid w:val="00015C0D"/>
    <w:rsid w:val="00016895"/>
    <w:rsid w:val="0001707E"/>
    <w:rsid w:val="000170D7"/>
    <w:rsid w:val="00017975"/>
    <w:rsid w:val="00017F90"/>
    <w:rsid w:val="00020147"/>
    <w:rsid w:val="00020B3B"/>
    <w:rsid w:val="00020B72"/>
    <w:rsid w:val="00020CE5"/>
    <w:rsid w:val="00021EF2"/>
    <w:rsid w:val="000224F6"/>
    <w:rsid w:val="000225E8"/>
    <w:rsid w:val="000227FC"/>
    <w:rsid w:val="00022A0C"/>
    <w:rsid w:val="00022D66"/>
    <w:rsid w:val="00023182"/>
    <w:rsid w:val="00024027"/>
    <w:rsid w:val="00024DFD"/>
    <w:rsid w:val="00025090"/>
    <w:rsid w:val="00025486"/>
    <w:rsid w:val="00025626"/>
    <w:rsid w:val="000256F6"/>
    <w:rsid w:val="000262A8"/>
    <w:rsid w:val="00026503"/>
    <w:rsid w:val="0002688C"/>
    <w:rsid w:val="000268D4"/>
    <w:rsid w:val="000275E1"/>
    <w:rsid w:val="0002764A"/>
    <w:rsid w:val="00027657"/>
    <w:rsid w:val="000276C5"/>
    <w:rsid w:val="000276E1"/>
    <w:rsid w:val="00027B6A"/>
    <w:rsid w:val="00027B7A"/>
    <w:rsid w:val="00027E27"/>
    <w:rsid w:val="00030129"/>
    <w:rsid w:val="000303D3"/>
    <w:rsid w:val="00031081"/>
    <w:rsid w:val="0003170B"/>
    <w:rsid w:val="00031E45"/>
    <w:rsid w:val="00031F09"/>
    <w:rsid w:val="00032253"/>
    <w:rsid w:val="0003260C"/>
    <w:rsid w:val="0003292F"/>
    <w:rsid w:val="00032BE6"/>
    <w:rsid w:val="00032E8A"/>
    <w:rsid w:val="00033964"/>
    <w:rsid w:val="00033D06"/>
    <w:rsid w:val="0003410A"/>
    <w:rsid w:val="0003421E"/>
    <w:rsid w:val="000346F3"/>
    <w:rsid w:val="000351A3"/>
    <w:rsid w:val="00035200"/>
    <w:rsid w:val="0003530E"/>
    <w:rsid w:val="00035599"/>
    <w:rsid w:val="000355B2"/>
    <w:rsid w:val="00035697"/>
    <w:rsid w:val="00035BA9"/>
    <w:rsid w:val="00035E51"/>
    <w:rsid w:val="000368E9"/>
    <w:rsid w:val="00036908"/>
    <w:rsid w:val="00036D0F"/>
    <w:rsid w:val="00037349"/>
    <w:rsid w:val="00037BCF"/>
    <w:rsid w:val="00037D33"/>
    <w:rsid w:val="00040042"/>
    <w:rsid w:val="00040709"/>
    <w:rsid w:val="00040858"/>
    <w:rsid w:val="00040C36"/>
    <w:rsid w:val="00040EE4"/>
    <w:rsid w:val="0004102F"/>
    <w:rsid w:val="00041067"/>
    <w:rsid w:val="000415A7"/>
    <w:rsid w:val="00041EA7"/>
    <w:rsid w:val="00041FC2"/>
    <w:rsid w:val="00042032"/>
    <w:rsid w:val="000423F2"/>
    <w:rsid w:val="000425CD"/>
    <w:rsid w:val="000428CE"/>
    <w:rsid w:val="0004334E"/>
    <w:rsid w:val="000434B3"/>
    <w:rsid w:val="00043541"/>
    <w:rsid w:val="000435E9"/>
    <w:rsid w:val="00043B25"/>
    <w:rsid w:val="0004408B"/>
    <w:rsid w:val="00044436"/>
    <w:rsid w:val="0004489A"/>
    <w:rsid w:val="00044956"/>
    <w:rsid w:val="00045486"/>
    <w:rsid w:val="000457AC"/>
    <w:rsid w:val="00045C0C"/>
    <w:rsid w:val="00046953"/>
    <w:rsid w:val="00046F89"/>
    <w:rsid w:val="00047611"/>
    <w:rsid w:val="00047672"/>
    <w:rsid w:val="00050168"/>
    <w:rsid w:val="000506F3"/>
    <w:rsid w:val="00050C3E"/>
    <w:rsid w:val="00050D90"/>
    <w:rsid w:val="00050DC0"/>
    <w:rsid w:val="000518C8"/>
    <w:rsid w:val="0005249D"/>
    <w:rsid w:val="000530D2"/>
    <w:rsid w:val="00053284"/>
    <w:rsid w:val="0005329E"/>
    <w:rsid w:val="000535C8"/>
    <w:rsid w:val="000536CE"/>
    <w:rsid w:val="00053AA2"/>
    <w:rsid w:val="00053E3B"/>
    <w:rsid w:val="00054337"/>
    <w:rsid w:val="00054516"/>
    <w:rsid w:val="00055086"/>
    <w:rsid w:val="00055196"/>
    <w:rsid w:val="00055464"/>
    <w:rsid w:val="00055572"/>
    <w:rsid w:val="000557A7"/>
    <w:rsid w:val="0005583C"/>
    <w:rsid w:val="0005612C"/>
    <w:rsid w:val="00056166"/>
    <w:rsid w:val="00056B15"/>
    <w:rsid w:val="00056CF9"/>
    <w:rsid w:val="00057408"/>
    <w:rsid w:val="000577A7"/>
    <w:rsid w:val="00057C23"/>
    <w:rsid w:val="00057E36"/>
    <w:rsid w:val="00057F32"/>
    <w:rsid w:val="00060021"/>
    <w:rsid w:val="000600CB"/>
    <w:rsid w:val="000601FB"/>
    <w:rsid w:val="00060996"/>
    <w:rsid w:val="00060D34"/>
    <w:rsid w:val="0006116D"/>
    <w:rsid w:val="00061362"/>
    <w:rsid w:val="00061771"/>
    <w:rsid w:val="00061E1F"/>
    <w:rsid w:val="00061E72"/>
    <w:rsid w:val="00062A08"/>
    <w:rsid w:val="000635AF"/>
    <w:rsid w:val="00063ED2"/>
    <w:rsid w:val="00063F00"/>
    <w:rsid w:val="00064317"/>
    <w:rsid w:val="00064A58"/>
    <w:rsid w:val="00064BA9"/>
    <w:rsid w:val="00064D20"/>
    <w:rsid w:val="00065104"/>
    <w:rsid w:val="000653A6"/>
    <w:rsid w:val="000655D6"/>
    <w:rsid w:val="00065852"/>
    <w:rsid w:val="000659FA"/>
    <w:rsid w:val="00066244"/>
    <w:rsid w:val="00066454"/>
    <w:rsid w:val="0006663A"/>
    <w:rsid w:val="00066D98"/>
    <w:rsid w:val="000676C3"/>
    <w:rsid w:val="00067BA4"/>
    <w:rsid w:val="00070080"/>
    <w:rsid w:val="0007064B"/>
    <w:rsid w:val="00070A48"/>
    <w:rsid w:val="00070A6C"/>
    <w:rsid w:val="00070FA3"/>
    <w:rsid w:val="0007144F"/>
    <w:rsid w:val="00071513"/>
    <w:rsid w:val="00071E3C"/>
    <w:rsid w:val="000723B2"/>
    <w:rsid w:val="00072916"/>
    <w:rsid w:val="00072A6C"/>
    <w:rsid w:val="00072C15"/>
    <w:rsid w:val="0007321A"/>
    <w:rsid w:val="000736D1"/>
    <w:rsid w:val="000739D9"/>
    <w:rsid w:val="00073C97"/>
    <w:rsid w:val="00073D29"/>
    <w:rsid w:val="00073F38"/>
    <w:rsid w:val="00074067"/>
    <w:rsid w:val="0007425B"/>
    <w:rsid w:val="00074446"/>
    <w:rsid w:val="00074889"/>
    <w:rsid w:val="00074A44"/>
    <w:rsid w:val="0007513B"/>
    <w:rsid w:val="000752DF"/>
    <w:rsid w:val="0007595C"/>
    <w:rsid w:val="00075FED"/>
    <w:rsid w:val="00076210"/>
    <w:rsid w:val="000762C2"/>
    <w:rsid w:val="00076337"/>
    <w:rsid w:val="000768E8"/>
    <w:rsid w:val="00076D62"/>
    <w:rsid w:val="00076DA0"/>
    <w:rsid w:val="00077299"/>
    <w:rsid w:val="00077AA1"/>
    <w:rsid w:val="00077D4C"/>
    <w:rsid w:val="00077F30"/>
    <w:rsid w:val="00077F76"/>
    <w:rsid w:val="000801B1"/>
    <w:rsid w:val="000801C6"/>
    <w:rsid w:val="0008089E"/>
    <w:rsid w:val="00081207"/>
    <w:rsid w:val="0008167A"/>
    <w:rsid w:val="00081AAE"/>
    <w:rsid w:val="00082343"/>
    <w:rsid w:val="00082447"/>
    <w:rsid w:val="0008252F"/>
    <w:rsid w:val="00082CEF"/>
    <w:rsid w:val="00083090"/>
    <w:rsid w:val="000830A8"/>
    <w:rsid w:val="00083739"/>
    <w:rsid w:val="0008380F"/>
    <w:rsid w:val="00083B3C"/>
    <w:rsid w:val="0008487D"/>
    <w:rsid w:val="00084B06"/>
    <w:rsid w:val="00084BE0"/>
    <w:rsid w:val="00084D9E"/>
    <w:rsid w:val="00085590"/>
    <w:rsid w:val="00085753"/>
    <w:rsid w:val="00085D80"/>
    <w:rsid w:val="0008650F"/>
    <w:rsid w:val="00086814"/>
    <w:rsid w:val="00086964"/>
    <w:rsid w:val="00086A92"/>
    <w:rsid w:val="000875ED"/>
    <w:rsid w:val="000876F7"/>
    <w:rsid w:val="00087C09"/>
    <w:rsid w:val="00087DA8"/>
    <w:rsid w:val="00090279"/>
    <w:rsid w:val="0009065D"/>
    <w:rsid w:val="00090DBD"/>
    <w:rsid w:val="00091088"/>
    <w:rsid w:val="000911A9"/>
    <w:rsid w:val="000913EA"/>
    <w:rsid w:val="00091458"/>
    <w:rsid w:val="000918C7"/>
    <w:rsid w:val="000918D7"/>
    <w:rsid w:val="00092009"/>
    <w:rsid w:val="0009224E"/>
    <w:rsid w:val="00092274"/>
    <w:rsid w:val="00093072"/>
    <w:rsid w:val="00093304"/>
    <w:rsid w:val="00093648"/>
    <w:rsid w:val="00093AD5"/>
    <w:rsid w:val="00093E90"/>
    <w:rsid w:val="0009447C"/>
    <w:rsid w:val="00094A7D"/>
    <w:rsid w:val="000958C8"/>
    <w:rsid w:val="00096269"/>
    <w:rsid w:val="00096366"/>
    <w:rsid w:val="00096E46"/>
    <w:rsid w:val="0009766B"/>
    <w:rsid w:val="000A0047"/>
    <w:rsid w:val="000A0A40"/>
    <w:rsid w:val="000A0C28"/>
    <w:rsid w:val="000A0D68"/>
    <w:rsid w:val="000A0E44"/>
    <w:rsid w:val="000A0F68"/>
    <w:rsid w:val="000A1AD6"/>
    <w:rsid w:val="000A2481"/>
    <w:rsid w:val="000A2980"/>
    <w:rsid w:val="000A3904"/>
    <w:rsid w:val="000A39AC"/>
    <w:rsid w:val="000A3AD1"/>
    <w:rsid w:val="000A40DA"/>
    <w:rsid w:val="000A41D2"/>
    <w:rsid w:val="000A41E2"/>
    <w:rsid w:val="000A4528"/>
    <w:rsid w:val="000A46B3"/>
    <w:rsid w:val="000A475B"/>
    <w:rsid w:val="000A4965"/>
    <w:rsid w:val="000A4EC4"/>
    <w:rsid w:val="000A5239"/>
    <w:rsid w:val="000A5A02"/>
    <w:rsid w:val="000A64CB"/>
    <w:rsid w:val="000A652E"/>
    <w:rsid w:val="000A66DC"/>
    <w:rsid w:val="000A6855"/>
    <w:rsid w:val="000A70CE"/>
    <w:rsid w:val="000A7923"/>
    <w:rsid w:val="000A7AE2"/>
    <w:rsid w:val="000B0074"/>
    <w:rsid w:val="000B00A2"/>
    <w:rsid w:val="000B13F5"/>
    <w:rsid w:val="000B1948"/>
    <w:rsid w:val="000B2027"/>
    <w:rsid w:val="000B20D7"/>
    <w:rsid w:val="000B2586"/>
    <w:rsid w:val="000B25B1"/>
    <w:rsid w:val="000B2789"/>
    <w:rsid w:val="000B2924"/>
    <w:rsid w:val="000B2B52"/>
    <w:rsid w:val="000B2E48"/>
    <w:rsid w:val="000B309B"/>
    <w:rsid w:val="000B37DD"/>
    <w:rsid w:val="000B37E5"/>
    <w:rsid w:val="000B4301"/>
    <w:rsid w:val="000B4B4D"/>
    <w:rsid w:val="000B4B7C"/>
    <w:rsid w:val="000B52E9"/>
    <w:rsid w:val="000B5931"/>
    <w:rsid w:val="000B599A"/>
    <w:rsid w:val="000B59D1"/>
    <w:rsid w:val="000B5C5B"/>
    <w:rsid w:val="000B6308"/>
    <w:rsid w:val="000B6537"/>
    <w:rsid w:val="000B6724"/>
    <w:rsid w:val="000B686B"/>
    <w:rsid w:val="000B6ABC"/>
    <w:rsid w:val="000B6BE6"/>
    <w:rsid w:val="000B6C8E"/>
    <w:rsid w:val="000B7707"/>
    <w:rsid w:val="000B7C34"/>
    <w:rsid w:val="000B7DC6"/>
    <w:rsid w:val="000C0E32"/>
    <w:rsid w:val="000C10D3"/>
    <w:rsid w:val="000C1149"/>
    <w:rsid w:val="000C13ED"/>
    <w:rsid w:val="000C18C0"/>
    <w:rsid w:val="000C1936"/>
    <w:rsid w:val="000C2377"/>
    <w:rsid w:val="000C2602"/>
    <w:rsid w:val="000C29C5"/>
    <w:rsid w:val="000C3234"/>
    <w:rsid w:val="000C33DE"/>
    <w:rsid w:val="000C3C12"/>
    <w:rsid w:val="000C3E65"/>
    <w:rsid w:val="000C3E68"/>
    <w:rsid w:val="000C42A9"/>
    <w:rsid w:val="000C4892"/>
    <w:rsid w:val="000C49C4"/>
    <w:rsid w:val="000C4FC5"/>
    <w:rsid w:val="000C5C45"/>
    <w:rsid w:val="000C60A1"/>
    <w:rsid w:val="000C63E0"/>
    <w:rsid w:val="000C64BF"/>
    <w:rsid w:val="000C6891"/>
    <w:rsid w:val="000C6B0B"/>
    <w:rsid w:val="000C728A"/>
    <w:rsid w:val="000C763E"/>
    <w:rsid w:val="000C7656"/>
    <w:rsid w:val="000C7687"/>
    <w:rsid w:val="000C76F2"/>
    <w:rsid w:val="000C7889"/>
    <w:rsid w:val="000D0002"/>
    <w:rsid w:val="000D0213"/>
    <w:rsid w:val="000D0457"/>
    <w:rsid w:val="000D2005"/>
    <w:rsid w:val="000D2E6A"/>
    <w:rsid w:val="000D31F8"/>
    <w:rsid w:val="000D3776"/>
    <w:rsid w:val="000D4D53"/>
    <w:rsid w:val="000D520E"/>
    <w:rsid w:val="000D5715"/>
    <w:rsid w:val="000D5EF5"/>
    <w:rsid w:val="000D65F8"/>
    <w:rsid w:val="000D7160"/>
    <w:rsid w:val="000D78E2"/>
    <w:rsid w:val="000D7AE5"/>
    <w:rsid w:val="000D7BB7"/>
    <w:rsid w:val="000D7C24"/>
    <w:rsid w:val="000D7E1D"/>
    <w:rsid w:val="000D7E28"/>
    <w:rsid w:val="000D7E5F"/>
    <w:rsid w:val="000D7F59"/>
    <w:rsid w:val="000E05EA"/>
    <w:rsid w:val="000E070A"/>
    <w:rsid w:val="000E131D"/>
    <w:rsid w:val="000E15BF"/>
    <w:rsid w:val="000E1A95"/>
    <w:rsid w:val="000E1BAB"/>
    <w:rsid w:val="000E1D0F"/>
    <w:rsid w:val="000E2082"/>
    <w:rsid w:val="000E2888"/>
    <w:rsid w:val="000E3052"/>
    <w:rsid w:val="000E3121"/>
    <w:rsid w:val="000E3582"/>
    <w:rsid w:val="000E37DD"/>
    <w:rsid w:val="000E3C97"/>
    <w:rsid w:val="000E3D0D"/>
    <w:rsid w:val="000E3DBC"/>
    <w:rsid w:val="000E3ED3"/>
    <w:rsid w:val="000E406E"/>
    <w:rsid w:val="000E407B"/>
    <w:rsid w:val="000E41C0"/>
    <w:rsid w:val="000E4217"/>
    <w:rsid w:val="000E4246"/>
    <w:rsid w:val="000E4250"/>
    <w:rsid w:val="000E4431"/>
    <w:rsid w:val="000E4EA4"/>
    <w:rsid w:val="000E50F8"/>
    <w:rsid w:val="000E52A0"/>
    <w:rsid w:val="000E534E"/>
    <w:rsid w:val="000E58E8"/>
    <w:rsid w:val="000E5C63"/>
    <w:rsid w:val="000E654A"/>
    <w:rsid w:val="000E660A"/>
    <w:rsid w:val="000E6694"/>
    <w:rsid w:val="000E67D8"/>
    <w:rsid w:val="000E6D15"/>
    <w:rsid w:val="000E70C6"/>
    <w:rsid w:val="000E70DC"/>
    <w:rsid w:val="000E7417"/>
    <w:rsid w:val="000E742C"/>
    <w:rsid w:val="000E7469"/>
    <w:rsid w:val="000E7EBB"/>
    <w:rsid w:val="000F01E6"/>
    <w:rsid w:val="000F0445"/>
    <w:rsid w:val="000F0688"/>
    <w:rsid w:val="000F089E"/>
    <w:rsid w:val="000F08FF"/>
    <w:rsid w:val="000F1655"/>
    <w:rsid w:val="000F1832"/>
    <w:rsid w:val="000F1F48"/>
    <w:rsid w:val="000F1FEB"/>
    <w:rsid w:val="000F24E0"/>
    <w:rsid w:val="000F27E7"/>
    <w:rsid w:val="000F2BD3"/>
    <w:rsid w:val="000F2C0B"/>
    <w:rsid w:val="000F3094"/>
    <w:rsid w:val="000F36F2"/>
    <w:rsid w:val="000F386F"/>
    <w:rsid w:val="000F3891"/>
    <w:rsid w:val="000F39AE"/>
    <w:rsid w:val="000F3DE0"/>
    <w:rsid w:val="000F40F7"/>
    <w:rsid w:val="000F4440"/>
    <w:rsid w:val="000F4469"/>
    <w:rsid w:val="000F4ABC"/>
    <w:rsid w:val="000F4C8A"/>
    <w:rsid w:val="000F4D40"/>
    <w:rsid w:val="000F4FCB"/>
    <w:rsid w:val="000F514B"/>
    <w:rsid w:val="000F52A4"/>
    <w:rsid w:val="000F568E"/>
    <w:rsid w:val="000F5A7E"/>
    <w:rsid w:val="000F60F3"/>
    <w:rsid w:val="000F635B"/>
    <w:rsid w:val="000F6712"/>
    <w:rsid w:val="000F69C9"/>
    <w:rsid w:val="000F6BB7"/>
    <w:rsid w:val="000F6D96"/>
    <w:rsid w:val="000F71B2"/>
    <w:rsid w:val="000F74A3"/>
    <w:rsid w:val="000F755C"/>
    <w:rsid w:val="000F7F75"/>
    <w:rsid w:val="001000DA"/>
    <w:rsid w:val="00100761"/>
    <w:rsid w:val="00100B02"/>
    <w:rsid w:val="001014FA"/>
    <w:rsid w:val="00101EEC"/>
    <w:rsid w:val="00101FEE"/>
    <w:rsid w:val="0010255B"/>
    <w:rsid w:val="00102C63"/>
    <w:rsid w:val="00102EB3"/>
    <w:rsid w:val="00103344"/>
    <w:rsid w:val="00103569"/>
    <w:rsid w:val="0010364E"/>
    <w:rsid w:val="00103833"/>
    <w:rsid w:val="00103A2F"/>
    <w:rsid w:val="001040C5"/>
    <w:rsid w:val="00104200"/>
    <w:rsid w:val="0010422A"/>
    <w:rsid w:val="001045F3"/>
    <w:rsid w:val="00104DF9"/>
    <w:rsid w:val="00105B95"/>
    <w:rsid w:val="00106665"/>
    <w:rsid w:val="00106EEC"/>
    <w:rsid w:val="001071D1"/>
    <w:rsid w:val="00107447"/>
    <w:rsid w:val="001078AF"/>
    <w:rsid w:val="00107BD4"/>
    <w:rsid w:val="00107EA5"/>
    <w:rsid w:val="00110E41"/>
    <w:rsid w:val="00111156"/>
    <w:rsid w:val="0011130B"/>
    <w:rsid w:val="00111C13"/>
    <w:rsid w:val="001121E2"/>
    <w:rsid w:val="00112257"/>
    <w:rsid w:val="001123D5"/>
    <w:rsid w:val="00112A14"/>
    <w:rsid w:val="00112D2B"/>
    <w:rsid w:val="001132B1"/>
    <w:rsid w:val="00113831"/>
    <w:rsid w:val="001141DB"/>
    <w:rsid w:val="0011447B"/>
    <w:rsid w:val="00114758"/>
    <w:rsid w:val="00114BC8"/>
    <w:rsid w:val="00114CC3"/>
    <w:rsid w:val="00115186"/>
    <w:rsid w:val="00115444"/>
    <w:rsid w:val="00115838"/>
    <w:rsid w:val="00115A17"/>
    <w:rsid w:val="00115B59"/>
    <w:rsid w:val="001162EC"/>
    <w:rsid w:val="00116595"/>
    <w:rsid w:val="001165CE"/>
    <w:rsid w:val="0011661F"/>
    <w:rsid w:val="001168A5"/>
    <w:rsid w:val="00116AE7"/>
    <w:rsid w:val="00116EF2"/>
    <w:rsid w:val="0011724F"/>
    <w:rsid w:val="001176EF"/>
    <w:rsid w:val="00117A50"/>
    <w:rsid w:val="00117F11"/>
    <w:rsid w:val="00120131"/>
    <w:rsid w:val="00120460"/>
    <w:rsid w:val="00120655"/>
    <w:rsid w:val="00120833"/>
    <w:rsid w:val="00120EAC"/>
    <w:rsid w:val="00120ED8"/>
    <w:rsid w:val="00121163"/>
    <w:rsid w:val="0012176D"/>
    <w:rsid w:val="001218E1"/>
    <w:rsid w:val="00121DF4"/>
    <w:rsid w:val="00121E86"/>
    <w:rsid w:val="0012222B"/>
    <w:rsid w:val="001224BF"/>
    <w:rsid w:val="00122824"/>
    <w:rsid w:val="00122B47"/>
    <w:rsid w:val="00122F0A"/>
    <w:rsid w:val="00123089"/>
    <w:rsid w:val="001231A7"/>
    <w:rsid w:val="00123428"/>
    <w:rsid w:val="0012372F"/>
    <w:rsid w:val="0012398D"/>
    <w:rsid w:val="00123A97"/>
    <w:rsid w:val="00124342"/>
    <w:rsid w:val="001247AC"/>
    <w:rsid w:val="001248D1"/>
    <w:rsid w:val="00124923"/>
    <w:rsid w:val="001258D7"/>
    <w:rsid w:val="0012624E"/>
    <w:rsid w:val="00126364"/>
    <w:rsid w:val="00126544"/>
    <w:rsid w:val="001269AE"/>
    <w:rsid w:val="00126E4D"/>
    <w:rsid w:val="001275FD"/>
    <w:rsid w:val="001300F5"/>
    <w:rsid w:val="00130259"/>
    <w:rsid w:val="00130BF3"/>
    <w:rsid w:val="0013104B"/>
    <w:rsid w:val="00131EBF"/>
    <w:rsid w:val="001322FE"/>
    <w:rsid w:val="001323F7"/>
    <w:rsid w:val="00132481"/>
    <w:rsid w:val="001324F3"/>
    <w:rsid w:val="00132797"/>
    <w:rsid w:val="00132966"/>
    <w:rsid w:val="00132B06"/>
    <w:rsid w:val="00132CF2"/>
    <w:rsid w:val="00132D99"/>
    <w:rsid w:val="00132DD6"/>
    <w:rsid w:val="0013300C"/>
    <w:rsid w:val="0013347F"/>
    <w:rsid w:val="0013363D"/>
    <w:rsid w:val="0013369B"/>
    <w:rsid w:val="00133951"/>
    <w:rsid w:val="00134807"/>
    <w:rsid w:val="00134A11"/>
    <w:rsid w:val="00134C4D"/>
    <w:rsid w:val="001352E5"/>
    <w:rsid w:val="0013551F"/>
    <w:rsid w:val="0013569A"/>
    <w:rsid w:val="00135877"/>
    <w:rsid w:val="0013602C"/>
    <w:rsid w:val="001360E3"/>
    <w:rsid w:val="001362A1"/>
    <w:rsid w:val="0013645B"/>
    <w:rsid w:val="001369E9"/>
    <w:rsid w:val="00136F30"/>
    <w:rsid w:val="0013759D"/>
    <w:rsid w:val="00140097"/>
    <w:rsid w:val="001402E4"/>
    <w:rsid w:val="0014098A"/>
    <w:rsid w:val="00140AC6"/>
    <w:rsid w:val="00140CB9"/>
    <w:rsid w:val="00140FFE"/>
    <w:rsid w:val="001411F2"/>
    <w:rsid w:val="0014139F"/>
    <w:rsid w:val="00141443"/>
    <w:rsid w:val="00141AF5"/>
    <w:rsid w:val="00141D9B"/>
    <w:rsid w:val="00142094"/>
    <w:rsid w:val="001429D1"/>
    <w:rsid w:val="00142B2C"/>
    <w:rsid w:val="001431D0"/>
    <w:rsid w:val="00143392"/>
    <w:rsid w:val="00143DB2"/>
    <w:rsid w:val="00143E76"/>
    <w:rsid w:val="00143ECB"/>
    <w:rsid w:val="00144828"/>
    <w:rsid w:val="001449C8"/>
    <w:rsid w:val="00144B26"/>
    <w:rsid w:val="001454D5"/>
    <w:rsid w:val="00145CF6"/>
    <w:rsid w:val="001466C9"/>
    <w:rsid w:val="00146F63"/>
    <w:rsid w:val="001470EF"/>
    <w:rsid w:val="0014740C"/>
    <w:rsid w:val="00147768"/>
    <w:rsid w:val="00147ACC"/>
    <w:rsid w:val="00147C6A"/>
    <w:rsid w:val="00147E3F"/>
    <w:rsid w:val="00147EA2"/>
    <w:rsid w:val="0015075B"/>
    <w:rsid w:val="0015091B"/>
    <w:rsid w:val="00150E48"/>
    <w:rsid w:val="00151298"/>
    <w:rsid w:val="0015129B"/>
    <w:rsid w:val="00151EAE"/>
    <w:rsid w:val="00151F1F"/>
    <w:rsid w:val="0015215A"/>
    <w:rsid w:val="001522A8"/>
    <w:rsid w:val="00152FBF"/>
    <w:rsid w:val="0015313B"/>
    <w:rsid w:val="001534DF"/>
    <w:rsid w:val="0015352C"/>
    <w:rsid w:val="00153D1E"/>
    <w:rsid w:val="001541B3"/>
    <w:rsid w:val="00154718"/>
    <w:rsid w:val="00154790"/>
    <w:rsid w:val="00154EE2"/>
    <w:rsid w:val="00154FA8"/>
    <w:rsid w:val="001553F0"/>
    <w:rsid w:val="00155D4C"/>
    <w:rsid w:val="00155EA5"/>
    <w:rsid w:val="00155ED5"/>
    <w:rsid w:val="001560D6"/>
    <w:rsid w:val="00156387"/>
    <w:rsid w:val="0015643F"/>
    <w:rsid w:val="001566D4"/>
    <w:rsid w:val="00156A4F"/>
    <w:rsid w:val="00156C68"/>
    <w:rsid w:val="001571FC"/>
    <w:rsid w:val="001573FB"/>
    <w:rsid w:val="001579BE"/>
    <w:rsid w:val="00157C71"/>
    <w:rsid w:val="00157C7A"/>
    <w:rsid w:val="001602D3"/>
    <w:rsid w:val="00160810"/>
    <w:rsid w:val="00160C0C"/>
    <w:rsid w:val="00160E46"/>
    <w:rsid w:val="00161098"/>
    <w:rsid w:val="001614C7"/>
    <w:rsid w:val="001617E8"/>
    <w:rsid w:val="001619DC"/>
    <w:rsid w:val="00161E61"/>
    <w:rsid w:val="00161F3F"/>
    <w:rsid w:val="001626C6"/>
    <w:rsid w:val="001627DA"/>
    <w:rsid w:val="00162C32"/>
    <w:rsid w:val="00163082"/>
    <w:rsid w:val="00163571"/>
    <w:rsid w:val="001635FF"/>
    <w:rsid w:val="00163854"/>
    <w:rsid w:val="00163A09"/>
    <w:rsid w:val="00163AFA"/>
    <w:rsid w:val="00163CB8"/>
    <w:rsid w:val="00163EAF"/>
    <w:rsid w:val="0016407F"/>
    <w:rsid w:val="00164314"/>
    <w:rsid w:val="00164757"/>
    <w:rsid w:val="00164918"/>
    <w:rsid w:val="0016521C"/>
    <w:rsid w:val="0016532E"/>
    <w:rsid w:val="001653BF"/>
    <w:rsid w:val="001657DF"/>
    <w:rsid w:val="00165AC1"/>
    <w:rsid w:val="00165D8C"/>
    <w:rsid w:val="00165E52"/>
    <w:rsid w:val="00165EE3"/>
    <w:rsid w:val="00165FAF"/>
    <w:rsid w:val="001660CF"/>
    <w:rsid w:val="00166511"/>
    <w:rsid w:val="00167DF8"/>
    <w:rsid w:val="00170B0A"/>
    <w:rsid w:val="00170FB1"/>
    <w:rsid w:val="00171141"/>
    <w:rsid w:val="00171638"/>
    <w:rsid w:val="00171AFE"/>
    <w:rsid w:val="00171D3C"/>
    <w:rsid w:val="001720E9"/>
    <w:rsid w:val="001728A3"/>
    <w:rsid w:val="00172A8D"/>
    <w:rsid w:val="00172C2F"/>
    <w:rsid w:val="00172F5A"/>
    <w:rsid w:val="00173500"/>
    <w:rsid w:val="0017393E"/>
    <w:rsid w:val="00173E5E"/>
    <w:rsid w:val="00174129"/>
    <w:rsid w:val="00174349"/>
    <w:rsid w:val="001753A0"/>
    <w:rsid w:val="00175593"/>
    <w:rsid w:val="00175811"/>
    <w:rsid w:val="001758A4"/>
    <w:rsid w:val="001759EF"/>
    <w:rsid w:val="00175BC4"/>
    <w:rsid w:val="00175E4F"/>
    <w:rsid w:val="00175F12"/>
    <w:rsid w:val="00176089"/>
    <w:rsid w:val="001762D8"/>
    <w:rsid w:val="00176550"/>
    <w:rsid w:val="001767F2"/>
    <w:rsid w:val="00176887"/>
    <w:rsid w:val="0017688D"/>
    <w:rsid w:val="00177102"/>
    <w:rsid w:val="0017781D"/>
    <w:rsid w:val="00177AE0"/>
    <w:rsid w:val="00177CC9"/>
    <w:rsid w:val="00180A43"/>
    <w:rsid w:val="00180B07"/>
    <w:rsid w:val="00180E0F"/>
    <w:rsid w:val="00180FEF"/>
    <w:rsid w:val="00181445"/>
    <w:rsid w:val="0018152A"/>
    <w:rsid w:val="00181B2C"/>
    <w:rsid w:val="00181DC7"/>
    <w:rsid w:val="001822DD"/>
    <w:rsid w:val="00182EB5"/>
    <w:rsid w:val="00182F78"/>
    <w:rsid w:val="00183128"/>
    <w:rsid w:val="00183AF7"/>
    <w:rsid w:val="00184215"/>
    <w:rsid w:val="00184291"/>
    <w:rsid w:val="00184583"/>
    <w:rsid w:val="00184922"/>
    <w:rsid w:val="001852E6"/>
    <w:rsid w:val="001854B9"/>
    <w:rsid w:val="001858FE"/>
    <w:rsid w:val="00185AD5"/>
    <w:rsid w:val="0018666E"/>
    <w:rsid w:val="0018700D"/>
    <w:rsid w:val="00187170"/>
    <w:rsid w:val="00187596"/>
    <w:rsid w:val="00187B0E"/>
    <w:rsid w:val="00187C65"/>
    <w:rsid w:val="00187EA1"/>
    <w:rsid w:val="00187FB6"/>
    <w:rsid w:val="00190166"/>
    <w:rsid w:val="00190545"/>
    <w:rsid w:val="00190B82"/>
    <w:rsid w:val="00190C8D"/>
    <w:rsid w:val="00191552"/>
    <w:rsid w:val="00191835"/>
    <w:rsid w:val="00191C3F"/>
    <w:rsid w:val="00192236"/>
    <w:rsid w:val="001930A4"/>
    <w:rsid w:val="001932ED"/>
    <w:rsid w:val="001935F9"/>
    <w:rsid w:val="00193698"/>
    <w:rsid w:val="00193D0B"/>
    <w:rsid w:val="00193D38"/>
    <w:rsid w:val="001947D1"/>
    <w:rsid w:val="00194EA3"/>
    <w:rsid w:val="00195698"/>
    <w:rsid w:val="00195E03"/>
    <w:rsid w:val="0019643C"/>
    <w:rsid w:val="00197027"/>
    <w:rsid w:val="00197D1B"/>
    <w:rsid w:val="001A045F"/>
    <w:rsid w:val="001A05F2"/>
    <w:rsid w:val="001A0F08"/>
    <w:rsid w:val="001A0F48"/>
    <w:rsid w:val="001A1055"/>
    <w:rsid w:val="001A1903"/>
    <w:rsid w:val="001A1F1D"/>
    <w:rsid w:val="001A1FC1"/>
    <w:rsid w:val="001A208D"/>
    <w:rsid w:val="001A2640"/>
    <w:rsid w:val="001A277F"/>
    <w:rsid w:val="001A2863"/>
    <w:rsid w:val="001A2BA6"/>
    <w:rsid w:val="001A2BC0"/>
    <w:rsid w:val="001A2CD8"/>
    <w:rsid w:val="001A2CF2"/>
    <w:rsid w:val="001A2DF8"/>
    <w:rsid w:val="001A38B1"/>
    <w:rsid w:val="001A3C7A"/>
    <w:rsid w:val="001A4066"/>
    <w:rsid w:val="001A43CF"/>
    <w:rsid w:val="001A4AAC"/>
    <w:rsid w:val="001A4C66"/>
    <w:rsid w:val="001A4D4E"/>
    <w:rsid w:val="001A4F2C"/>
    <w:rsid w:val="001A560D"/>
    <w:rsid w:val="001A5765"/>
    <w:rsid w:val="001A5846"/>
    <w:rsid w:val="001A5AE9"/>
    <w:rsid w:val="001A5EA8"/>
    <w:rsid w:val="001A6350"/>
    <w:rsid w:val="001A6874"/>
    <w:rsid w:val="001A68C7"/>
    <w:rsid w:val="001A695F"/>
    <w:rsid w:val="001A6BED"/>
    <w:rsid w:val="001A7046"/>
    <w:rsid w:val="001A71D8"/>
    <w:rsid w:val="001A7389"/>
    <w:rsid w:val="001A7C21"/>
    <w:rsid w:val="001B031D"/>
    <w:rsid w:val="001B07BD"/>
    <w:rsid w:val="001B0DB7"/>
    <w:rsid w:val="001B109C"/>
    <w:rsid w:val="001B1819"/>
    <w:rsid w:val="001B1943"/>
    <w:rsid w:val="001B23B6"/>
    <w:rsid w:val="001B25E5"/>
    <w:rsid w:val="001B2C5A"/>
    <w:rsid w:val="001B357E"/>
    <w:rsid w:val="001B3DC0"/>
    <w:rsid w:val="001B3F56"/>
    <w:rsid w:val="001B40F6"/>
    <w:rsid w:val="001B4189"/>
    <w:rsid w:val="001B4B47"/>
    <w:rsid w:val="001B4F19"/>
    <w:rsid w:val="001B505F"/>
    <w:rsid w:val="001B5C6D"/>
    <w:rsid w:val="001B5E4E"/>
    <w:rsid w:val="001B6154"/>
    <w:rsid w:val="001B64F2"/>
    <w:rsid w:val="001B6737"/>
    <w:rsid w:val="001B68F0"/>
    <w:rsid w:val="001B6C98"/>
    <w:rsid w:val="001B6F17"/>
    <w:rsid w:val="001B7778"/>
    <w:rsid w:val="001B7DBA"/>
    <w:rsid w:val="001C0987"/>
    <w:rsid w:val="001C0E77"/>
    <w:rsid w:val="001C2EAA"/>
    <w:rsid w:val="001C34E7"/>
    <w:rsid w:val="001C3556"/>
    <w:rsid w:val="001C39C3"/>
    <w:rsid w:val="001C3A55"/>
    <w:rsid w:val="001C3C10"/>
    <w:rsid w:val="001C3CF0"/>
    <w:rsid w:val="001C3DC0"/>
    <w:rsid w:val="001C406D"/>
    <w:rsid w:val="001C455A"/>
    <w:rsid w:val="001C47DA"/>
    <w:rsid w:val="001C498F"/>
    <w:rsid w:val="001C4E56"/>
    <w:rsid w:val="001C5AE6"/>
    <w:rsid w:val="001C5B6F"/>
    <w:rsid w:val="001C5BE4"/>
    <w:rsid w:val="001C5D28"/>
    <w:rsid w:val="001C6763"/>
    <w:rsid w:val="001C6794"/>
    <w:rsid w:val="001C6A10"/>
    <w:rsid w:val="001C6A93"/>
    <w:rsid w:val="001C6D45"/>
    <w:rsid w:val="001C6D50"/>
    <w:rsid w:val="001C6FF1"/>
    <w:rsid w:val="001C7849"/>
    <w:rsid w:val="001C7FE2"/>
    <w:rsid w:val="001D0D9C"/>
    <w:rsid w:val="001D0E30"/>
    <w:rsid w:val="001D14E9"/>
    <w:rsid w:val="001D15D3"/>
    <w:rsid w:val="001D1601"/>
    <w:rsid w:val="001D1A4F"/>
    <w:rsid w:val="001D23DA"/>
    <w:rsid w:val="001D2AF7"/>
    <w:rsid w:val="001D2B65"/>
    <w:rsid w:val="001D312C"/>
    <w:rsid w:val="001D315F"/>
    <w:rsid w:val="001D3843"/>
    <w:rsid w:val="001D41F6"/>
    <w:rsid w:val="001D4CEB"/>
    <w:rsid w:val="001D4CED"/>
    <w:rsid w:val="001D4CEF"/>
    <w:rsid w:val="001D563F"/>
    <w:rsid w:val="001D5B13"/>
    <w:rsid w:val="001D6096"/>
    <w:rsid w:val="001D63B6"/>
    <w:rsid w:val="001D6A19"/>
    <w:rsid w:val="001D6A5F"/>
    <w:rsid w:val="001D702D"/>
    <w:rsid w:val="001D7D93"/>
    <w:rsid w:val="001E081E"/>
    <w:rsid w:val="001E091B"/>
    <w:rsid w:val="001E0BB0"/>
    <w:rsid w:val="001E0EAD"/>
    <w:rsid w:val="001E10C5"/>
    <w:rsid w:val="001E1254"/>
    <w:rsid w:val="001E1382"/>
    <w:rsid w:val="001E1A7A"/>
    <w:rsid w:val="001E1DEB"/>
    <w:rsid w:val="001E1F6A"/>
    <w:rsid w:val="001E2001"/>
    <w:rsid w:val="001E23E2"/>
    <w:rsid w:val="001E2EA2"/>
    <w:rsid w:val="001E3175"/>
    <w:rsid w:val="001E3582"/>
    <w:rsid w:val="001E380B"/>
    <w:rsid w:val="001E3935"/>
    <w:rsid w:val="001E4312"/>
    <w:rsid w:val="001E45FB"/>
    <w:rsid w:val="001E4BCB"/>
    <w:rsid w:val="001E4BF9"/>
    <w:rsid w:val="001E4EDD"/>
    <w:rsid w:val="001E5167"/>
    <w:rsid w:val="001E533C"/>
    <w:rsid w:val="001E552D"/>
    <w:rsid w:val="001E5F0A"/>
    <w:rsid w:val="001E5F1B"/>
    <w:rsid w:val="001E6298"/>
    <w:rsid w:val="001E6765"/>
    <w:rsid w:val="001E6E30"/>
    <w:rsid w:val="001E6E48"/>
    <w:rsid w:val="001E724B"/>
    <w:rsid w:val="001E77CE"/>
    <w:rsid w:val="001E78B7"/>
    <w:rsid w:val="001E7BD4"/>
    <w:rsid w:val="001E7F7D"/>
    <w:rsid w:val="001F0007"/>
    <w:rsid w:val="001F0292"/>
    <w:rsid w:val="001F099F"/>
    <w:rsid w:val="001F0CC6"/>
    <w:rsid w:val="001F1735"/>
    <w:rsid w:val="001F183F"/>
    <w:rsid w:val="001F1C92"/>
    <w:rsid w:val="001F20FE"/>
    <w:rsid w:val="001F23C5"/>
    <w:rsid w:val="001F2EA8"/>
    <w:rsid w:val="001F2ED4"/>
    <w:rsid w:val="001F2F41"/>
    <w:rsid w:val="001F3675"/>
    <w:rsid w:val="001F3B43"/>
    <w:rsid w:val="001F3FE4"/>
    <w:rsid w:val="001F4272"/>
    <w:rsid w:val="001F44F4"/>
    <w:rsid w:val="001F45B7"/>
    <w:rsid w:val="001F4AED"/>
    <w:rsid w:val="001F5405"/>
    <w:rsid w:val="001F569B"/>
    <w:rsid w:val="001F5762"/>
    <w:rsid w:val="001F6037"/>
    <w:rsid w:val="001F61AF"/>
    <w:rsid w:val="001F61BE"/>
    <w:rsid w:val="001F65FF"/>
    <w:rsid w:val="001F69A0"/>
    <w:rsid w:val="001F6DC7"/>
    <w:rsid w:val="001F6E80"/>
    <w:rsid w:val="001F6E9F"/>
    <w:rsid w:val="001F714F"/>
    <w:rsid w:val="001F7FF1"/>
    <w:rsid w:val="0020096D"/>
    <w:rsid w:val="00200CC3"/>
    <w:rsid w:val="00200F42"/>
    <w:rsid w:val="00201573"/>
    <w:rsid w:val="0020165D"/>
    <w:rsid w:val="00201DEF"/>
    <w:rsid w:val="0020204A"/>
    <w:rsid w:val="00202195"/>
    <w:rsid w:val="002029A0"/>
    <w:rsid w:val="00202B25"/>
    <w:rsid w:val="00202B9A"/>
    <w:rsid w:val="00202C95"/>
    <w:rsid w:val="0020336D"/>
    <w:rsid w:val="0020386A"/>
    <w:rsid w:val="00203A3A"/>
    <w:rsid w:val="00203EDE"/>
    <w:rsid w:val="00203F65"/>
    <w:rsid w:val="00204995"/>
    <w:rsid w:val="00204BFF"/>
    <w:rsid w:val="002052C0"/>
    <w:rsid w:val="00205FC0"/>
    <w:rsid w:val="002060C1"/>
    <w:rsid w:val="00206789"/>
    <w:rsid w:val="00206802"/>
    <w:rsid w:val="00206BCD"/>
    <w:rsid w:val="00207501"/>
    <w:rsid w:val="00207DCC"/>
    <w:rsid w:val="00207E59"/>
    <w:rsid w:val="002104FA"/>
    <w:rsid w:val="0021067D"/>
    <w:rsid w:val="00210A8D"/>
    <w:rsid w:val="00210AC4"/>
    <w:rsid w:val="00210D59"/>
    <w:rsid w:val="002119F7"/>
    <w:rsid w:val="00211B22"/>
    <w:rsid w:val="00211F6C"/>
    <w:rsid w:val="002129EE"/>
    <w:rsid w:val="002129F3"/>
    <w:rsid w:val="00212FB4"/>
    <w:rsid w:val="0021316B"/>
    <w:rsid w:val="00213194"/>
    <w:rsid w:val="00213258"/>
    <w:rsid w:val="002133B3"/>
    <w:rsid w:val="00213654"/>
    <w:rsid w:val="002136BC"/>
    <w:rsid w:val="0021372F"/>
    <w:rsid w:val="00213E1D"/>
    <w:rsid w:val="00213F71"/>
    <w:rsid w:val="00214B52"/>
    <w:rsid w:val="00214DF1"/>
    <w:rsid w:val="00214E6C"/>
    <w:rsid w:val="00215101"/>
    <w:rsid w:val="002153CC"/>
    <w:rsid w:val="002156A5"/>
    <w:rsid w:val="00215B61"/>
    <w:rsid w:val="00216114"/>
    <w:rsid w:val="00216492"/>
    <w:rsid w:val="0021661A"/>
    <w:rsid w:val="00216798"/>
    <w:rsid w:val="00216EDF"/>
    <w:rsid w:val="00216F39"/>
    <w:rsid w:val="00217292"/>
    <w:rsid w:val="00217309"/>
    <w:rsid w:val="002176BD"/>
    <w:rsid w:val="0021777E"/>
    <w:rsid w:val="002201BE"/>
    <w:rsid w:val="00220226"/>
    <w:rsid w:val="002202B5"/>
    <w:rsid w:val="002202BF"/>
    <w:rsid w:val="00221405"/>
    <w:rsid w:val="002216C3"/>
    <w:rsid w:val="002217B8"/>
    <w:rsid w:val="002221E3"/>
    <w:rsid w:val="00222306"/>
    <w:rsid w:val="00222402"/>
    <w:rsid w:val="00222803"/>
    <w:rsid w:val="00222808"/>
    <w:rsid w:val="00222A04"/>
    <w:rsid w:val="00222BFF"/>
    <w:rsid w:val="00222D8A"/>
    <w:rsid w:val="00222DC8"/>
    <w:rsid w:val="002233F9"/>
    <w:rsid w:val="00223812"/>
    <w:rsid w:val="00223EAB"/>
    <w:rsid w:val="002240BD"/>
    <w:rsid w:val="00224C14"/>
    <w:rsid w:val="00224D5D"/>
    <w:rsid w:val="00224EC1"/>
    <w:rsid w:val="00224F69"/>
    <w:rsid w:val="002250F9"/>
    <w:rsid w:val="00225156"/>
    <w:rsid w:val="002254C0"/>
    <w:rsid w:val="0022557A"/>
    <w:rsid w:val="00225DFF"/>
    <w:rsid w:val="00225F7B"/>
    <w:rsid w:val="00226431"/>
    <w:rsid w:val="00227166"/>
    <w:rsid w:val="002273E4"/>
    <w:rsid w:val="0022770B"/>
    <w:rsid w:val="0022778E"/>
    <w:rsid w:val="00227E0F"/>
    <w:rsid w:val="0023024E"/>
    <w:rsid w:val="00230665"/>
    <w:rsid w:val="00230752"/>
    <w:rsid w:val="0023083F"/>
    <w:rsid w:val="00230E3D"/>
    <w:rsid w:val="002319BF"/>
    <w:rsid w:val="00231AA6"/>
    <w:rsid w:val="00231BE3"/>
    <w:rsid w:val="00231C2A"/>
    <w:rsid w:val="00231C69"/>
    <w:rsid w:val="00232214"/>
    <w:rsid w:val="00232CE0"/>
    <w:rsid w:val="00232F4C"/>
    <w:rsid w:val="002336C3"/>
    <w:rsid w:val="002339D2"/>
    <w:rsid w:val="00233B0B"/>
    <w:rsid w:val="00233B2A"/>
    <w:rsid w:val="00234B79"/>
    <w:rsid w:val="00234DB3"/>
    <w:rsid w:val="00234E13"/>
    <w:rsid w:val="00234F18"/>
    <w:rsid w:val="0023528E"/>
    <w:rsid w:val="002354CB"/>
    <w:rsid w:val="002357AA"/>
    <w:rsid w:val="002357C9"/>
    <w:rsid w:val="00235BAE"/>
    <w:rsid w:val="00236941"/>
    <w:rsid w:val="00236AF2"/>
    <w:rsid w:val="00236D80"/>
    <w:rsid w:val="00236E3B"/>
    <w:rsid w:val="002370B8"/>
    <w:rsid w:val="00240275"/>
    <w:rsid w:val="00240771"/>
    <w:rsid w:val="002408C7"/>
    <w:rsid w:val="002409E2"/>
    <w:rsid w:val="0024161E"/>
    <w:rsid w:val="002421BD"/>
    <w:rsid w:val="00242A48"/>
    <w:rsid w:val="00242F25"/>
    <w:rsid w:val="00243135"/>
    <w:rsid w:val="00243808"/>
    <w:rsid w:val="00243B76"/>
    <w:rsid w:val="00243D55"/>
    <w:rsid w:val="00243D81"/>
    <w:rsid w:val="00243D82"/>
    <w:rsid w:val="00243DC8"/>
    <w:rsid w:val="0024417A"/>
    <w:rsid w:val="00245163"/>
    <w:rsid w:val="002452B5"/>
    <w:rsid w:val="00245508"/>
    <w:rsid w:val="002457AC"/>
    <w:rsid w:val="00246080"/>
    <w:rsid w:val="00246B7C"/>
    <w:rsid w:val="00246C96"/>
    <w:rsid w:val="00247875"/>
    <w:rsid w:val="002478D5"/>
    <w:rsid w:val="002479BB"/>
    <w:rsid w:val="002479F7"/>
    <w:rsid w:val="00247F8D"/>
    <w:rsid w:val="00250640"/>
    <w:rsid w:val="002506FA"/>
    <w:rsid w:val="002509CE"/>
    <w:rsid w:val="0025114C"/>
    <w:rsid w:val="00251247"/>
    <w:rsid w:val="002514EC"/>
    <w:rsid w:val="00251693"/>
    <w:rsid w:val="002519D6"/>
    <w:rsid w:val="0025399C"/>
    <w:rsid w:val="00254036"/>
    <w:rsid w:val="00254097"/>
    <w:rsid w:val="002541A5"/>
    <w:rsid w:val="002541FB"/>
    <w:rsid w:val="00254765"/>
    <w:rsid w:val="00254C41"/>
    <w:rsid w:val="00254D7D"/>
    <w:rsid w:val="00254DA3"/>
    <w:rsid w:val="00254E19"/>
    <w:rsid w:val="00254F60"/>
    <w:rsid w:val="002551B0"/>
    <w:rsid w:val="00255340"/>
    <w:rsid w:val="002556A3"/>
    <w:rsid w:val="0025573F"/>
    <w:rsid w:val="00255A30"/>
    <w:rsid w:val="00255B2E"/>
    <w:rsid w:val="00255B4F"/>
    <w:rsid w:val="00255BF9"/>
    <w:rsid w:val="00256438"/>
    <w:rsid w:val="002564BB"/>
    <w:rsid w:val="002565CA"/>
    <w:rsid w:val="00256C8C"/>
    <w:rsid w:val="00256DC5"/>
    <w:rsid w:val="0025726B"/>
    <w:rsid w:val="0025764E"/>
    <w:rsid w:val="00257FE8"/>
    <w:rsid w:val="00260F0C"/>
    <w:rsid w:val="00260F2C"/>
    <w:rsid w:val="0026161F"/>
    <w:rsid w:val="00261801"/>
    <w:rsid w:val="0026192F"/>
    <w:rsid w:val="00261A6A"/>
    <w:rsid w:val="00261C62"/>
    <w:rsid w:val="00261FE1"/>
    <w:rsid w:val="0026228D"/>
    <w:rsid w:val="002622F5"/>
    <w:rsid w:val="00262BB1"/>
    <w:rsid w:val="00262F92"/>
    <w:rsid w:val="002630AE"/>
    <w:rsid w:val="00263108"/>
    <w:rsid w:val="00263733"/>
    <w:rsid w:val="00263C2E"/>
    <w:rsid w:val="00263F2B"/>
    <w:rsid w:val="00264550"/>
    <w:rsid w:val="00264C70"/>
    <w:rsid w:val="00264F87"/>
    <w:rsid w:val="002651F6"/>
    <w:rsid w:val="0026547D"/>
    <w:rsid w:val="00265A0D"/>
    <w:rsid w:val="00265C00"/>
    <w:rsid w:val="00266101"/>
    <w:rsid w:val="002661E9"/>
    <w:rsid w:val="00266465"/>
    <w:rsid w:val="0026678B"/>
    <w:rsid w:val="00266B51"/>
    <w:rsid w:val="00266C86"/>
    <w:rsid w:val="00267011"/>
    <w:rsid w:val="00267640"/>
    <w:rsid w:val="00267D38"/>
    <w:rsid w:val="00270457"/>
    <w:rsid w:val="00270633"/>
    <w:rsid w:val="00270860"/>
    <w:rsid w:val="00270C30"/>
    <w:rsid w:val="00270FBD"/>
    <w:rsid w:val="002714FC"/>
    <w:rsid w:val="00271A0A"/>
    <w:rsid w:val="00271AA1"/>
    <w:rsid w:val="00271E91"/>
    <w:rsid w:val="00272B0D"/>
    <w:rsid w:val="00272D9A"/>
    <w:rsid w:val="002737EF"/>
    <w:rsid w:val="0027444E"/>
    <w:rsid w:val="00274DA4"/>
    <w:rsid w:val="00274E86"/>
    <w:rsid w:val="002751D1"/>
    <w:rsid w:val="002752E5"/>
    <w:rsid w:val="00275382"/>
    <w:rsid w:val="0027569D"/>
    <w:rsid w:val="00275A1B"/>
    <w:rsid w:val="00275A1F"/>
    <w:rsid w:val="00275BFF"/>
    <w:rsid w:val="00275D68"/>
    <w:rsid w:val="00275F5A"/>
    <w:rsid w:val="00277213"/>
    <w:rsid w:val="00277332"/>
    <w:rsid w:val="00277BDD"/>
    <w:rsid w:val="00277E3A"/>
    <w:rsid w:val="00277F5D"/>
    <w:rsid w:val="00280369"/>
    <w:rsid w:val="002813BF"/>
    <w:rsid w:val="00281723"/>
    <w:rsid w:val="00281EEA"/>
    <w:rsid w:val="002820C2"/>
    <w:rsid w:val="0028214D"/>
    <w:rsid w:val="0028223E"/>
    <w:rsid w:val="002828AF"/>
    <w:rsid w:val="002828FF"/>
    <w:rsid w:val="002836E7"/>
    <w:rsid w:val="00283822"/>
    <w:rsid w:val="00283967"/>
    <w:rsid w:val="0028396E"/>
    <w:rsid w:val="00283E35"/>
    <w:rsid w:val="00283F08"/>
    <w:rsid w:val="00284343"/>
    <w:rsid w:val="002846F9"/>
    <w:rsid w:val="002847F8"/>
    <w:rsid w:val="00284E09"/>
    <w:rsid w:val="00285274"/>
    <w:rsid w:val="002852DB"/>
    <w:rsid w:val="002857D9"/>
    <w:rsid w:val="00285D8E"/>
    <w:rsid w:val="00285EB8"/>
    <w:rsid w:val="00286347"/>
    <w:rsid w:val="002863FE"/>
    <w:rsid w:val="002870B6"/>
    <w:rsid w:val="0028714B"/>
    <w:rsid w:val="0028790E"/>
    <w:rsid w:val="00287ED6"/>
    <w:rsid w:val="0029020D"/>
    <w:rsid w:val="0029072F"/>
    <w:rsid w:val="00290867"/>
    <w:rsid w:val="002913EA"/>
    <w:rsid w:val="00291A48"/>
    <w:rsid w:val="00291BA1"/>
    <w:rsid w:val="00291E33"/>
    <w:rsid w:val="00291ECC"/>
    <w:rsid w:val="00291F63"/>
    <w:rsid w:val="002920F6"/>
    <w:rsid w:val="00292566"/>
    <w:rsid w:val="0029266D"/>
    <w:rsid w:val="00292813"/>
    <w:rsid w:val="00292A0C"/>
    <w:rsid w:val="00292D74"/>
    <w:rsid w:val="0029316C"/>
    <w:rsid w:val="00293634"/>
    <w:rsid w:val="00293AE3"/>
    <w:rsid w:val="00293E18"/>
    <w:rsid w:val="002942CD"/>
    <w:rsid w:val="0029436D"/>
    <w:rsid w:val="0029495E"/>
    <w:rsid w:val="002949FD"/>
    <w:rsid w:val="00294D5D"/>
    <w:rsid w:val="002950BA"/>
    <w:rsid w:val="00295E20"/>
    <w:rsid w:val="00295F2D"/>
    <w:rsid w:val="00296207"/>
    <w:rsid w:val="002963B9"/>
    <w:rsid w:val="00296406"/>
    <w:rsid w:val="0029661B"/>
    <w:rsid w:val="002968CE"/>
    <w:rsid w:val="00296D1B"/>
    <w:rsid w:val="00296D97"/>
    <w:rsid w:val="0029701A"/>
    <w:rsid w:val="002970EC"/>
    <w:rsid w:val="00297FA8"/>
    <w:rsid w:val="002A06EF"/>
    <w:rsid w:val="002A0804"/>
    <w:rsid w:val="002A0965"/>
    <w:rsid w:val="002A1390"/>
    <w:rsid w:val="002A16D9"/>
    <w:rsid w:val="002A1E90"/>
    <w:rsid w:val="002A2085"/>
    <w:rsid w:val="002A2143"/>
    <w:rsid w:val="002A2AB3"/>
    <w:rsid w:val="002A31A4"/>
    <w:rsid w:val="002A33D4"/>
    <w:rsid w:val="002A3762"/>
    <w:rsid w:val="002A3A00"/>
    <w:rsid w:val="002A3BC3"/>
    <w:rsid w:val="002A46B8"/>
    <w:rsid w:val="002A4A9F"/>
    <w:rsid w:val="002A4D10"/>
    <w:rsid w:val="002A4E8E"/>
    <w:rsid w:val="002A58F2"/>
    <w:rsid w:val="002A5A95"/>
    <w:rsid w:val="002A5B76"/>
    <w:rsid w:val="002A5B7E"/>
    <w:rsid w:val="002A5C8A"/>
    <w:rsid w:val="002A63DE"/>
    <w:rsid w:val="002A64AC"/>
    <w:rsid w:val="002A6678"/>
    <w:rsid w:val="002A6C87"/>
    <w:rsid w:val="002A70D3"/>
    <w:rsid w:val="002A723C"/>
    <w:rsid w:val="002A7274"/>
    <w:rsid w:val="002A78C1"/>
    <w:rsid w:val="002B0D15"/>
    <w:rsid w:val="002B100B"/>
    <w:rsid w:val="002B1166"/>
    <w:rsid w:val="002B1905"/>
    <w:rsid w:val="002B1BDD"/>
    <w:rsid w:val="002B1EBD"/>
    <w:rsid w:val="002B27C5"/>
    <w:rsid w:val="002B2B35"/>
    <w:rsid w:val="002B3596"/>
    <w:rsid w:val="002B3EBD"/>
    <w:rsid w:val="002B3F4A"/>
    <w:rsid w:val="002B4171"/>
    <w:rsid w:val="002B44AA"/>
    <w:rsid w:val="002B4940"/>
    <w:rsid w:val="002B4B42"/>
    <w:rsid w:val="002B51DF"/>
    <w:rsid w:val="002B5661"/>
    <w:rsid w:val="002B612E"/>
    <w:rsid w:val="002B6B45"/>
    <w:rsid w:val="002B6FDF"/>
    <w:rsid w:val="002B7149"/>
    <w:rsid w:val="002B7618"/>
    <w:rsid w:val="002B77BF"/>
    <w:rsid w:val="002B7B24"/>
    <w:rsid w:val="002B7F96"/>
    <w:rsid w:val="002C0177"/>
    <w:rsid w:val="002C0470"/>
    <w:rsid w:val="002C11DA"/>
    <w:rsid w:val="002C1306"/>
    <w:rsid w:val="002C20B2"/>
    <w:rsid w:val="002C268D"/>
    <w:rsid w:val="002C2D80"/>
    <w:rsid w:val="002C2EBC"/>
    <w:rsid w:val="002C3298"/>
    <w:rsid w:val="002C3C7B"/>
    <w:rsid w:val="002C45C3"/>
    <w:rsid w:val="002C4838"/>
    <w:rsid w:val="002C4907"/>
    <w:rsid w:val="002C4E21"/>
    <w:rsid w:val="002C54B6"/>
    <w:rsid w:val="002C557A"/>
    <w:rsid w:val="002C59F2"/>
    <w:rsid w:val="002C5BF7"/>
    <w:rsid w:val="002C5C44"/>
    <w:rsid w:val="002C5E6E"/>
    <w:rsid w:val="002C6829"/>
    <w:rsid w:val="002C682E"/>
    <w:rsid w:val="002C69BA"/>
    <w:rsid w:val="002C6B15"/>
    <w:rsid w:val="002C72BE"/>
    <w:rsid w:val="002C7D6F"/>
    <w:rsid w:val="002C7E4A"/>
    <w:rsid w:val="002D0487"/>
    <w:rsid w:val="002D1060"/>
    <w:rsid w:val="002D106E"/>
    <w:rsid w:val="002D1498"/>
    <w:rsid w:val="002D19DA"/>
    <w:rsid w:val="002D1A91"/>
    <w:rsid w:val="002D226B"/>
    <w:rsid w:val="002D284F"/>
    <w:rsid w:val="002D2C32"/>
    <w:rsid w:val="002D3242"/>
    <w:rsid w:val="002D351A"/>
    <w:rsid w:val="002D3693"/>
    <w:rsid w:val="002D37A6"/>
    <w:rsid w:val="002D4DDD"/>
    <w:rsid w:val="002D4E4E"/>
    <w:rsid w:val="002D58A8"/>
    <w:rsid w:val="002D6322"/>
    <w:rsid w:val="002D6AD9"/>
    <w:rsid w:val="002D6C7B"/>
    <w:rsid w:val="002D75CA"/>
    <w:rsid w:val="002D76B4"/>
    <w:rsid w:val="002D783D"/>
    <w:rsid w:val="002E02F1"/>
    <w:rsid w:val="002E051F"/>
    <w:rsid w:val="002E0C2D"/>
    <w:rsid w:val="002E1021"/>
    <w:rsid w:val="002E1189"/>
    <w:rsid w:val="002E140A"/>
    <w:rsid w:val="002E164F"/>
    <w:rsid w:val="002E1BE3"/>
    <w:rsid w:val="002E1C89"/>
    <w:rsid w:val="002E24C6"/>
    <w:rsid w:val="002E27CE"/>
    <w:rsid w:val="002E2C9F"/>
    <w:rsid w:val="002E31E5"/>
    <w:rsid w:val="002E34CF"/>
    <w:rsid w:val="002E3852"/>
    <w:rsid w:val="002E38F4"/>
    <w:rsid w:val="002E39E8"/>
    <w:rsid w:val="002E3BDA"/>
    <w:rsid w:val="002E3C40"/>
    <w:rsid w:val="002E41C1"/>
    <w:rsid w:val="002E4496"/>
    <w:rsid w:val="002E479D"/>
    <w:rsid w:val="002E5429"/>
    <w:rsid w:val="002E5531"/>
    <w:rsid w:val="002E5B8B"/>
    <w:rsid w:val="002E6522"/>
    <w:rsid w:val="002E6991"/>
    <w:rsid w:val="002E6B0C"/>
    <w:rsid w:val="002E7167"/>
    <w:rsid w:val="002E7189"/>
    <w:rsid w:val="002E79D3"/>
    <w:rsid w:val="002F0371"/>
    <w:rsid w:val="002F0AB4"/>
    <w:rsid w:val="002F0C7A"/>
    <w:rsid w:val="002F113C"/>
    <w:rsid w:val="002F140E"/>
    <w:rsid w:val="002F176D"/>
    <w:rsid w:val="002F1DDD"/>
    <w:rsid w:val="002F22D6"/>
    <w:rsid w:val="002F2386"/>
    <w:rsid w:val="002F245C"/>
    <w:rsid w:val="002F25F4"/>
    <w:rsid w:val="002F281D"/>
    <w:rsid w:val="002F2D92"/>
    <w:rsid w:val="002F2EBA"/>
    <w:rsid w:val="002F3030"/>
    <w:rsid w:val="002F33EB"/>
    <w:rsid w:val="002F3714"/>
    <w:rsid w:val="002F3C63"/>
    <w:rsid w:val="002F4076"/>
    <w:rsid w:val="002F480F"/>
    <w:rsid w:val="002F536A"/>
    <w:rsid w:val="002F54F1"/>
    <w:rsid w:val="002F59D1"/>
    <w:rsid w:val="002F5A63"/>
    <w:rsid w:val="002F5FF4"/>
    <w:rsid w:val="002F64A1"/>
    <w:rsid w:val="002F6FBB"/>
    <w:rsid w:val="002F7170"/>
    <w:rsid w:val="002F780E"/>
    <w:rsid w:val="002F79C5"/>
    <w:rsid w:val="002F7AED"/>
    <w:rsid w:val="0030053B"/>
    <w:rsid w:val="00300F3A"/>
    <w:rsid w:val="00301108"/>
    <w:rsid w:val="00301185"/>
    <w:rsid w:val="00301473"/>
    <w:rsid w:val="0030155D"/>
    <w:rsid w:val="00302165"/>
    <w:rsid w:val="00302862"/>
    <w:rsid w:val="00302FC2"/>
    <w:rsid w:val="00303387"/>
    <w:rsid w:val="00303916"/>
    <w:rsid w:val="003039A5"/>
    <w:rsid w:val="003044EE"/>
    <w:rsid w:val="00304518"/>
    <w:rsid w:val="00304830"/>
    <w:rsid w:val="0030493D"/>
    <w:rsid w:val="0030494C"/>
    <w:rsid w:val="00304C1B"/>
    <w:rsid w:val="00304FEA"/>
    <w:rsid w:val="00305034"/>
    <w:rsid w:val="003052E4"/>
    <w:rsid w:val="00305C3E"/>
    <w:rsid w:val="00305C69"/>
    <w:rsid w:val="0030639E"/>
    <w:rsid w:val="003072EB"/>
    <w:rsid w:val="00307317"/>
    <w:rsid w:val="003074F7"/>
    <w:rsid w:val="003075D7"/>
    <w:rsid w:val="0030775D"/>
    <w:rsid w:val="003078C2"/>
    <w:rsid w:val="00307CED"/>
    <w:rsid w:val="00307EEA"/>
    <w:rsid w:val="003104B2"/>
    <w:rsid w:val="003106A3"/>
    <w:rsid w:val="00310C53"/>
    <w:rsid w:val="00310EB9"/>
    <w:rsid w:val="00310FB5"/>
    <w:rsid w:val="003119CD"/>
    <w:rsid w:val="00312027"/>
    <w:rsid w:val="00312C88"/>
    <w:rsid w:val="00312CFA"/>
    <w:rsid w:val="00313A2D"/>
    <w:rsid w:val="00313D8E"/>
    <w:rsid w:val="00313DD6"/>
    <w:rsid w:val="00313E7D"/>
    <w:rsid w:val="00314270"/>
    <w:rsid w:val="003146E6"/>
    <w:rsid w:val="0031521A"/>
    <w:rsid w:val="0031555A"/>
    <w:rsid w:val="003156E6"/>
    <w:rsid w:val="00315A6C"/>
    <w:rsid w:val="00315E32"/>
    <w:rsid w:val="003177A9"/>
    <w:rsid w:val="00317A49"/>
    <w:rsid w:val="00317F44"/>
    <w:rsid w:val="0032048E"/>
    <w:rsid w:val="00320625"/>
    <w:rsid w:val="003206C0"/>
    <w:rsid w:val="00320DDD"/>
    <w:rsid w:val="00320DE2"/>
    <w:rsid w:val="0032135D"/>
    <w:rsid w:val="00322ADA"/>
    <w:rsid w:val="00323763"/>
    <w:rsid w:val="0032385C"/>
    <w:rsid w:val="00323939"/>
    <w:rsid w:val="0032419C"/>
    <w:rsid w:val="00325794"/>
    <w:rsid w:val="00325C04"/>
    <w:rsid w:val="00325CFA"/>
    <w:rsid w:val="00325D72"/>
    <w:rsid w:val="00326335"/>
    <w:rsid w:val="00326B58"/>
    <w:rsid w:val="003274A2"/>
    <w:rsid w:val="00327D45"/>
    <w:rsid w:val="003302C1"/>
    <w:rsid w:val="003306F8"/>
    <w:rsid w:val="00330BFD"/>
    <w:rsid w:val="00330DF0"/>
    <w:rsid w:val="00331889"/>
    <w:rsid w:val="003318D7"/>
    <w:rsid w:val="003319F1"/>
    <w:rsid w:val="00331E9C"/>
    <w:rsid w:val="0033208D"/>
    <w:rsid w:val="00332202"/>
    <w:rsid w:val="003326DD"/>
    <w:rsid w:val="003327F6"/>
    <w:rsid w:val="00332BEA"/>
    <w:rsid w:val="00332F1F"/>
    <w:rsid w:val="00333148"/>
    <w:rsid w:val="00333EFF"/>
    <w:rsid w:val="003340C9"/>
    <w:rsid w:val="00334617"/>
    <w:rsid w:val="003346D9"/>
    <w:rsid w:val="0033483B"/>
    <w:rsid w:val="00334FA5"/>
    <w:rsid w:val="0033503F"/>
    <w:rsid w:val="003351B8"/>
    <w:rsid w:val="0033545C"/>
    <w:rsid w:val="003356A2"/>
    <w:rsid w:val="00335F21"/>
    <w:rsid w:val="00336392"/>
    <w:rsid w:val="00336557"/>
    <w:rsid w:val="0033669E"/>
    <w:rsid w:val="003366DE"/>
    <w:rsid w:val="00336B9A"/>
    <w:rsid w:val="00340685"/>
    <w:rsid w:val="003410BE"/>
    <w:rsid w:val="00341331"/>
    <w:rsid w:val="00341C88"/>
    <w:rsid w:val="00341D2E"/>
    <w:rsid w:val="00342A3A"/>
    <w:rsid w:val="00342E96"/>
    <w:rsid w:val="00342FF5"/>
    <w:rsid w:val="00343085"/>
    <w:rsid w:val="0034319E"/>
    <w:rsid w:val="00343909"/>
    <w:rsid w:val="00343948"/>
    <w:rsid w:val="00343B25"/>
    <w:rsid w:val="003440FA"/>
    <w:rsid w:val="00344104"/>
    <w:rsid w:val="00344540"/>
    <w:rsid w:val="00344731"/>
    <w:rsid w:val="00344F13"/>
    <w:rsid w:val="00344FD9"/>
    <w:rsid w:val="0034504A"/>
    <w:rsid w:val="003450E1"/>
    <w:rsid w:val="00345384"/>
    <w:rsid w:val="0034547E"/>
    <w:rsid w:val="00345A1B"/>
    <w:rsid w:val="00345ACB"/>
    <w:rsid w:val="00345E35"/>
    <w:rsid w:val="00346675"/>
    <w:rsid w:val="003466E2"/>
    <w:rsid w:val="00346E07"/>
    <w:rsid w:val="00347CF8"/>
    <w:rsid w:val="00347F15"/>
    <w:rsid w:val="00350071"/>
    <w:rsid w:val="0035009B"/>
    <w:rsid w:val="003501DA"/>
    <w:rsid w:val="00350411"/>
    <w:rsid w:val="00350D10"/>
    <w:rsid w:val="00350FC4"/>
    <w:rsid w:val="00351578"/>
    <w:rsid w:val="00351BEE"/>
    <w:rsid w:val="00351F68"/>
    <w:rsid w:val="00351FA2"/>
    <w:rsid w:val="0035211C"/>
    <w:rsid w:val="00352B79"/>
    <w:rsid w:val="00352D2C"/>
    <w:rsid w:val="003531DA"/>
    <w:rsid w:val="00353336"/>
    <w:rsid w:val="00353664"/>
    <w:rsid w:val="003538B4"/>
    <w:rsid w:val="00353AA4"/>
    <w:rsid w:val="00353BA4"/>
    <w:rsid w:val="00354234"/>
    <w:rsid w:val="00354790"/>
    <w:rsid w:val="00354795"/>
    <w:rsid w:val="003548BA"/>
    <w:rsid w:val="003549E3"/>
    <w:rsid w:val="00354AE5"/>
    <w:rsid w:val="00354BE7"/>
    <w:rsid w:val="00354D51"/>
    <w:rsid w:val="00355CF7"/>
    <w:rsid w:val="0035602D"/>
    <w:rsid w:val="00356A52"/>
    <w:rsid w:val="00356BB4"/>
    <w:rsid w:val="00356DA7"/>
    <w:rsid w:val="00357D90"/>
    <w:rsid w:val="003609D4"/>
    <w:rsid w:val="003612FC"/>
    <w:rsid w:val="00361555"/>
    <w:rsid w:val="003616D8"/>
    <w:rsid w:val="003622F4"/>
    <w:rsid w:val="003627E3"/>
    <w:rsid w:val="00362B23"/>
    <w:rsid w:val="00362D05"/>
    <w:rsid w:val="00362EF4"/>
    <w:rsid w:val="00363083"/>
    <w:rsid w:val="003633A0"/>
    <w:rsid w:val="00363B0C"/>
    <w:rsid w:val="00363B39"/>
    <w:rsid w:val="00363B71"/>
    <w:rsid w:val="003648D4"/>
    <w:rsid w:val="00364D06"/>
    <w:rsid w:val="00364DEF"/>
    <w:rsid w:val="00364F08"/>
    <w:rsid w:val="003651EB"/>
    <w:rsid w:val="003651FC"/>
    <w:rsid w:val="00365BA3"/>
    <w:rsid w:val="00365FE2"/>
    <w:rsid w:val="00366D1A"/>
    <w:rsid w:val="00366E8C"/>
    <w:rsid w:val="0036717D"/>
    <w:rsid w:val="003672A5"/>
    <w:rsid w:val="00367314"/>
    <w:rsid w:val="0036736E"/>
    <w:rsid w:val="00367400"/>
    <w:rsid w:val="00367719"/>
    <w:rsid w:val="00367867"/>
    <w:rsid w:val="00370DAF"/>
    <w:rsid w:val="00371237"/>
    <w:rsid w:val="003715BD"/>
    <w:rsid w:val="003717B8"/>
    <w:rsid w:val="00371D56"/>
    <w:rsid w:val="003722B4"/>
    <w:rsid w:val="003722EE"/>
    <w:rsid w:val="0037371C"/>
    <w:rsid w:val="0037377F"/>
    <w:rsid w:val="003739AE"/>
    <w:rsid w:val="00373E98"/>
    <w:rsid w:val="0037445E"/>
    <w:rsid w:val="003747EB"/>
    <w:rsid w:val="00374BE9"/>
    <w:rsid w:val="00374EE3"/>
    <w:rsid w:val="003750F2"/>
    <w:rsid w:val="003751DC"/>
    <w:rsid w:val="00375589"/>
    <w:rsid w:val="003758FD"/>
    <w:rsid w:val="00376159"/>
    <w:rsid w:val="00376A7B"/>
    <w:rsid w:val="00376E69"/>
    <w:rsid w:val="00376EB2"/>
    <w:rsid w:val="0037764A"/>
    <w:rsid w:val="00377747"/>
    <w:rsid w:val="003778B7"/>
    <w:rsid w:val="003779FA"/>
    <w:rsid w:val="003809F1"/>
    <w:rsid w:val="00380E51"/>
    <w:rsid w:val="00381287"/>
    <w:rsid w:val="003812D2"/>
    <w:rsid w:val="00381576"/>
    <w:rsid w:val="0038176E"/>
    <w:rsid w:val="00381C37"/>
    <w:rsid w:val="003820ED"/>
    <w:rsid w:val="0038220D"/>
    <w:rsid w:val="003822D6"/>
    <w:rsid w:val="003828FC"/>
    <w:rsid w:val="00382949"/>
    <w:rsid w:val="00382CC9"/>
    <w:rsid w:val="00382DCA"/>
    <w:rsid w:val="00382F14"/>
    <w:rsid w:val="0038331C"/>
    <w:rsid w:val="00383466"/>
    <w:rsid w:val="00383AF3"/>
    <w:rsid w:val="00383D25"/>
    <w:rsid w:val="00383DCF"/>
    <w:rsid w:val="00383EE9"/>
    <w:rsid w:val="003843AD"/>
    <w:rsid w:val="0038488D"/>
    <w:rsid w:val="00384F87"/>
    <w:rsid w:val="00385EB3"/>
    <w:rsid w:val="003865EC"/>
    <w:rsid w:val="00386819"/>
    <w:rsid w:val="00386903"/>
    <w:rsid w:val="00386DD6"/>
    <w:rsid w:val="003870FF"/>
    <w:rsid w:val="00387112"/>
    <w:rsid w:val="00387245"/>
    <w:rsid w:val="00387813"/>
    <w:rsid w:val="003879D0"/>
    <w:rsid w:val="00387AE3"/>
    <w:rsid w:val="003904D3"/>
    <w:rsid w:val="003918F2"/>
    <w:rsid w:val="00391C0C"/>
    <w:rsid w:val="00391D41"/>
    <w:rsid w:val="00391DC7"/>
    <w:rsid w:val="00392398"/>
    <w:rsid w:val="00392483"/>
    <w:rsid w:val="003926DA"/>
    <w:rsid w:val="00392756"/>
    <w:rsid w:val="003927C3"/>
    <w:rsid w:val="00392AE6"/>
    <w:rsid w:val="00392B5A"/>
    <w:rsid w:val="003938C6"/>
    <w:rsid w:val="00393A9B"/>
    <w:rsid w:val="00393B13"/>
    <w:rsid w:val="00394263"/>
    <w:rsid w:val="0039444E"/>
    <w:rsid w:val="003946FE"/>
    <w:rsid w:val="00394733"/>
    <w:rsid w:val="00395163"/>
    <w:rsid w:val="003954EB"/>
    <w:rsid w:val="0039555D"/>
    <w:rsid w:val="00395741"/>
    <w:rsid w:val="0039581C"/>
    <w:rsid w:val="003959DE"/>
    <w:rsid w:val="00395F58"/>
    <w:rsid w:val="00396265"/>
    <w:rsid w:val="0039683B"/>
    <w:rsid w:val="00397086"/>
    <w:rsid w:val="003970D3"/>
    <w:rsid w:val="00397391"/>
    <w:rsid w:val="003973EF"/>
    <w:rsid w:val="00397709"/>
    <w:rsid w:val="00397C8D"/>
    <w:rsid w:val="003A0016"/>
    <w:rsid w:val="003A026F"/>
    <w:rsid w:val="003A0545"/>
    <w:rsid w:val="003A05BD"/>
    <w:rsid w:val="003A15E8"/>
    <w:rsid w:val="003A17EA"/>
    <w:rsid w:val="003A20ED"/>
    <w:rsid w:val="003A2499"/>
    <w:rsid w:val="003A2506"/>
    <w:rsid w:val="003A2986"/>
    <w:rsid w:val="003A2BE8"/>
    <w:rsid w:val="003A2D71"/>
    <w:rsid w:val="003A2E43"/>
    <w:rsid w:val="003A3640"/>
    <w:rsid w:val="003A36E0"/>
    <w:rsid w:val="003A3989"/>
    <w:rsid w:val="003A3A87"/>
    <w:rsid w:val="003A3B16"/>
    <w:rsid w:val="003A492C"/>
    <w:rsid w:val="003A52FF"/>
    <w:rsid w:val="003A5EDD"/>
    <w:rsid w:val="003A60B5"/>
    <w:rsid w:val="003A669B"/>
    <w:rsid w:val="003A6D0A"/>
    <w:rsid w:val="003A72EF"/>
    <w:rsid w:val="003A73D9"/>
    <w:rsid w:val="003A7919"/>
    <w:rsid w:val="003A79DA"/>
    <w:rsid w:val="003A7CCC"/>
    <w:rsid w:val="003A7E68"/>
    <w:rsid w:val="003B002B"/>
    <w:rsid w:val="003B0296"/>
    <w:rsid w:val="003B08D8"/>
    <w:rsid w:val="003B0E7A"/>
    <w:rsid w:val="003B13E5"/>
    <w:rsid w:val="003B1C5E"/>
    <w:rsid w:val="003B1C7F"/>
    <w:rsid w:val="003B1DBC"/>
    <w:rsid w:val="003B1E8A"/>
    <w:rsid w:val="003B2276"/>
    <w:rsid w:val="003B24CC"/>
    <w:rsid w:val="003B2533"/>
    <w:rsid w:val="003B2C27"/>
    <w:rsid w:val="003B307C"/>
    <w:rsid w:val="003B31E2"/>
    <w:rsid w:val="003B3765"/>
    <w:rsid w:val="003B3E4C"/>
    <w:rsid w:val="003B3E9B"/>
    <w:rsid w:val="003B4227"/>
    <w:rsid w:val="003B4504"/>
    <w:rsid w:val="003B4A24"/>
    <w:rsid w:val="003B59CB"/>
    <w:rsid w:val="003B5A36"/>
    <w:rsid w:val="003B5ABB"/>
    <w:rsid w:val="003B5E50"/>
    <w:rsid w:val="003B5FD3"/>
    <w:rsid w:val="003B60C8"/>
    <w:rsid w:val="003B669F"/>
    <w:rsid w:val="003B683A"/>
    <w:rsid w:val="003B6A5F"/>
    <w:rsid w:val="003B6EA3"/>
    <w:rsid w:val="003B6ECF"/>
    <w:rsid w:val="003B7299"/>
    <w:rsid w:val="003B7B2F"/>
    <w:rsid w:val="003B7C1D"/>
    <w:rsid w:val="003C01F1"/>
    <w:rsid w:val="003C023F"/>
    <w:rsid w:val="003C0636"/>
    <w:rsid w:val="003C06F3"/>
    <w:rsid w:val="003C13B7"/>
    <w:rsid w:val="003C19C7"/>
    <w:rsid w:val="003C1CF1"/>
    <w:rsid w:val="003C221A"/>
    <w:rsid w:val="003C270F"/>
    <w:rsid w:val="003C2A14"/>
    <w:rsid w:val="003C2E58"/>
    <w:rsid w:val="003C371D"/>
    <w:rsid w:val="003C396D"/>
    <w:rsid w:val="003C4285"/>
    <w:rsid w:val="003C47F8"/>
    <w:rsid w:val="003C4ABE"/>
    <w:rsid w:val="003C4FA2"/>
    <w:rsid w:val="003C5064"/>
    <w:rsid w:val="003C5754"/>
    <w:rsid w:val="003C5CB2"/>
    <w:rsid w:val="003C5D05"/>
    <w:rsid w:val="003C6358"/>
    <w:rsid w:val="003C6404"/>
    <w:rsid w:val="003C6526"/>
    <w:rsid w:val="003C671C"/>
    <w:rsid w:val="003C6721"/>
    <w:rsid w:val="003C6F74"/>
    <w:rsid w:val="003C7008"/>
    <w:rsid w:val="003C70D5"/>
    <w:rsid w:val="003C7CBF"/>
    <w:rsid w:val="003C7D17"/>
    <w:rsid w:val="003D068C"/>
    <w:rsid w:val="003D099C"/>
    <w:rsid w:val="003D15A3"/>
    <w:rsid w:val="003D187F"/>
    <w:rsid w:val="003D18C5"/>
    <w:rsid w:val="003D2BAF"/>
    <w:rsid w:val="003D3927"/>
    <w:rsid w:val="003D3B8F"/>
    <w:rsid w:val="003D46E6"/>
    <w:rsid w:val="003D4713"/>
    <w:rsid w:val="003D4B44"/>
    <w:rsid w:val="003D4DE3"/>
    <w:rsid w:val="003D5024"/>
    <w:rsid w:val="003D5116"/>
    <w:rsid w:val="003D5D4E"/>
    <w:rsid w:val="003D5DB9"/>
    <w:rsid w:val="003D5ED5"/>
    <w:rsid w:val="003D714A"/>
    <w:rsid w:val="003D798F"/>
    <w:rsid w:val="003E00AE"/>
    <w:rsid w:val="003E0686"/>
    <w:rsid w:val="003E0818"/>
    <w:rsid w:val="003E0E45"/>
    <w:rsid w:val="003E1B39"/>
    <w:rsid w:val="003E1C43"/>
    <w:rsid w:val="003E1C61"/>
    <w:rsid w:val="003E1D9B"/>
    <w:rsid w:val="003E1F48"/>
    <w:rsid w:val="003E201D"/>
    <w:rsid w:val="003E25B0"/>
    <w:rsid w:val="003E284E"/>
    <w:rsid w:val="003E2D9F"/>
    <w:rsid w:val="003E3591"/>
    <w:rsid w:val="003E3E4C"/>
    <w:rsid w:val="003E418F"/>
    <w:rsid w:val="003E4B52"/>
    <w:rsid w:val="003E613C"/>
    <w:rsid w:val="003E659F"/>
    <w:rsid w:val="003E6BE3"/>
    <w:rsid w:val="003E6C17"/>
    <w:rsid w:val="003E6C91"/>
    <w:rsid w:val="003E7515"/>
    <w:rsid w:val="003E760A"/>
    <w:rsid w:val="003F0170"/>
    <w:rsid w:val="003F0177"/>
    <w:rsid w:val="003F02EC"/>
    <w:rsid w:val="003F04A7"/>
    <w:rsid w:val="003F0776"/>
    <w:rsid w:val="003F08AF"/>
    <w:rsid w:val="003F09E2"/>
    <w:rsid w:val="003F0BC4"/>
    <w:rsid w:val="003F0D96"/>
    <w:rsid w:val="003F1796"/>
    <w:rsid w:val="003F1E1F"/>
    <w:rsid w:val="003F2476"/>
    <w:rsid w:val="003F284A"/>
    <w:rsid w:val="003F2919"/>
    <w:rsid w:val="003F2C57"/>
    <w:rsid w:val="003F3180"/>
    <w:rsid w:val="003F320C"/>
    <w:rsid w:val="003F3740"/>
    <w:rsid w:val="003F3D9F"/>
    <w:rsid w:val="003F3EBF"/>
    <w:rsid w:val="003F3F72"/>
    <w:rsid w:val="003F42A0"/>
    <w:rsid w:val="003F4C9C"/>
    <w:rsid w:val="003F4F18"/>
    <w:rsid w:val="003F5294"/>
    <w:rsid w:val="003F5AA3"/>
    <w:rsid w:val="003F5E97"/>
    <w:rsid w:val="003F5EC4"/>
    <w:rsid w:val="003F6700"/>
    <w:rsid w:val="003F675F"/>
    <w:rsid w:val="003F6958"/>
    <w:rsid w:val="003F7010"/>
    <w:rsid w:val="003F71DE"/>
    <w:rsid w:val="003F7460"/>
    <w:rsid w:val="003F7A34"/>
    <w:rsid w:val="003F7B90"/>
    <w:rsid w:val="003F7C4C"/>
    <w:rsid w:val="00401BCC"/>
    <w:rsid w:val="00401C28"/>
    <w:rsid w:val="004023E6"/>
    <w:rsid w:val="004027A8"/>
    <w:rsid w:val="00402B0D"/>
    <w:rsid w:val="00402B2E"/>
    <w:rsid w:val="00402EB1"/>
    <w:rsid w:val="00403041"/>
    <w:rsid w:val="00403521"/>
    <w:rsid w:val="004036A9"/>
    <w:rsid w:val="00403B2C"/>
    <w:rsid w:val="00403DE5"/>
    <w:rsid w:val="00403E81"/>
    <w:rsid w:val="004040F7"/>
    <w:rsid w:val="0040416A"/>
    <w:rsid w:val="004048A4"/>
    <w:rsid w:val="00404B6D"/>
    <w:rsid w:val="004056F1"/>
    <w:rsid w:val="00405A2E"/>
    <w:rsid w:val="00405A5C"/>
    <w:rsid w:val="00405C4A"/>
    <w:rsid w:val="00405C8C"/>
    <w:rsid w:val="00406978"/>
    <w:rsid w:val="00406D2D"/>
    <w:rsid w:val="00406EEA"/>
    <w:rsid w:val="00407123"/>
    <w:rsid w:val="00407C07"/>
    <w:rsid w:val="004103CA"/>
    <w:rsid w:val="00410D37"/>
    <w:rsid w:val="00410D4E"/>
    <w:rsid w:val="00411067"/>
    <w:rsid w:val="004110D9"/>
    <w:rsid w:val="004111F1"/>
    <w:rsid w:val="004113E4"/>
    <w:rsid w:val="00411B24"/>
    <w:rsid w:val="00411D23"/>
    <w:rsid w:val="004122CF"/>
    <w:rsid w:val="00412439"/>
    <w:rsid w:val="00412A78"/>
    <w:rsid w:val="00412E0F"/>
    <w:rsid w:val="00413351"/>
    <w:rsid w:val="00413599"/>
    <w:rsid w:val="004137F7"/>
    <w:rsid w:val="00413EFF"/>
    <w:rsid w:val="00414500"/>
    <w:rsid w:val="0041487C"/>
    <w:rsid w:val="004149A5"/>
    <w:rsid w:val="00414B2C"/>
    <w:rsid w:val="004152DC"/>
    <w:rsid w:val="00415410"/>
    <w:rsid w:val="0041570B"/>
    <w:rsid w:val="00415A8F"/>
    <w:rsid w:val="00415F07"/>
    <w:rsid w:val="00415FC5"/>
    <w:rsid w:val="0041614E"/>
    <w:rsid w:val="00416B54"/>
    <w:rsid w:val="00416B66"/>
    <w:rsid w:val="00416C7F"/>
    <w:rsid w:val="00416D6F"/>
    <w:rsid w:val="00416F36"/>
    <w:rsid w:val="0041747F"/>
    <w:rsid w:val="004177E8"/>
    <w:rsid w:val="0041781C"/>
    <w:rsid w:val="00417872"/>
    <w:rsid w:val="0041791D"/>
    <w:rsid w:val="0041795D"/>
    <w:rsid w:val="00417A0B"/>
    <w:rsid w:val="00417B56"/>
    <w:rsid w:val="004204C0"/>
    <w:rsid w:val="00420A47"/>
    <w:rsid w:val="00420E8D"/>
    <w:rsid w:val="00421159"/>
    <w:rsid w:val="00421566"/>
    <w:rsid w:val="004216F1"/>
    <w:rsid w:val="00421BB5"/>
    <w:rsid w:val="0042207E"/>
    <w:rsid w:val="004221CE"/>
    <w:rsid w:val="00422256"/>
    <w:rsid w:val="004227A5"/>
    <w:rsid w:val="00422A05"/>
    <w:rsid w:val="00422CD0"/>
    <w:rsid w:val="00423107"/>
    <w:rsid w:val="004236DD"/>
    <w:rsid w:val="004241DA"/>
    <w:rsid w:val="00424403"/>
    <w:rsid w:val="00424A91"/>
    <w:rsid w:val="0042528E"/>
    <w:rsid w:val="00425C50"/>
    <w:rsid w:val="00425E63"/>
    <w:rsid w:val="00425E9D"/>
    <w:rsid w:val="00426148"/>
    <w:rsid w:val="00426716"/>
    <w:rsid w:val="00426F5B"/>
    <w:rsid w:val="00427009"/>
    <w:rsid w:val="00427035"/>
    <w:rsid w:val="00430D86"/>
    <w:rsid w:val="004310C1"/>
    <w:rsid w:val="004313D7"/>
    <w:rsid w:val="00431BB7"/>
    <w:rsid w:val="00432A1F"/>
    <w:rsid w:val="004331EE"/>
    <w:rsid w:val="004333FD"/>
    <w:rsid w:val="004336C5"/>
    <w:rsid w:val="004337F7"/>
    <w:rsid w:val="00433E33"/>
    <w:rsid w:val="00434585"/>
    <w:rsid w:val="0043482A"/>
    <w:rsid w:val="004359F3"/>
    <w:rsid w:val="00436342"/>
    <w:rsid w:val="00436B8E"/>
    <w:rsid w:val="00437238"/>
    <w:rsid w:val="00437554"/>
    <w:rsid w:val="00437B3F"/>
    <w:rsid w:val="00437E49"/>
    <w:rsid w:val="00437ECD"/>
    <w:rsid w:val="004403CF"/>
    <w:rsid w:val="0044042C"/>
    <w:rsid w:val="004404B3"/>
    <w:rsid w:val="00440C7B"/>
    <w:rsid w:val="00440D17"/>
    <w:rsid w:val="00440FB6"/>
    <w:rsid w:val="00441285"/>
    <w:rsid w:val="00441C85"/>
    <w:rsid w:val="00441D3A"/>
    <w:rsid w:val="00441E45"/>
    <w:rsid w:val="00442BD1"/>
    <w:rsid w:val="00442CF6"/>
    <w:rsid w:val="00443074"/>
    <w:rsid w:val="00443193"/>
    <w:rsid w:val="00443345"/>
    <w:rsid w:val="004434FA"/>
    <w:rsid w:val="00443712"/>
    <w:rsid w:val="004437A5"/>
    <w:rsid w:val="00443826"/>
    <w:rsid w:val="004438A8"/>
    <w:rsid w:val="00443BEF"/>
    <w:rsid w:val="00443CC3"/>
    <w:rsid w:val="0044406A"/>
    <w:rsid w:val="00444329"/>
    <w:rsid w:val="0044439A"/>
    <w:rsid w:val="0044449B"/>
    <w:rsid w:val="0044449F"/>
    <w:rsid w:val="0044486A"/>
    <w:rsid w:val="00444C1B"/>
    <w:rsid w:val="00444EFD"/>
    <w:rsid w:val="00445061"/>
    <w:rsid w:val="00445277"/>
    <w:rsid w:val="0044535E"/>
    <w:rsid w:val="0044573A"/>
    <w:rsid w:val="00445EDF"/>
    <w:rsid w:val="00445FEA"/>
    <w:rsid w:val="00446A3F"/>
    <w:rsid w:val="00446A98"/>
    <w:rsid w:val="00446B78"/>
    <w:rsid w:val="00446E4F"/>
    <w:rsid w:val="00446FB6"/>
    <w:rsid w:val="0044726E"/>
    <w:rsid w:val="004475FE"/>
    <w:rsid w:val="0044793E"/>
    <w:rsid w:val="0044799A"/>
    <w:rsid w:val="00447C5E"/>
    <w:rsid w:val="00447DF0"/>
    <w:rsid w:val="0045035B"/>
    <w:rsid w:val="0045097B"/>
    <w:rsid w:val="00450B0D"/>
    <w:rsid w:val="00450BDF"/>
    <w:rsid w:val="00450E55"/>
    <w:rsid w:val="0045125F"/>
    <w:rsid w:val="00451BDD"/>
    <w:rsid w:val="004524B2"/>
    <w:rsid w:val="0045283D"/>
    <w:rsid w:val="00453246"/>
    <w:rsid w:val="00453750"/>
    <w:rsid w:val="00453917"/>
    <w:rsid w:val="00453ACC"/>
    <w:rsid w:val="00453DD4"/>
    <w:rsid w:val="00453DDE"/>
    <w:rsid w:val="00454628"/>
    <w:rsid w:val="004547D1"/>
    <w:rsid w:val="00454B12"/>
    <w:rsid w:val="00454B33"/>
    <w:rsid w:val="00455390"/>
    <w:rsid w:val="004564DE"/>
    <w:rsid w:val="00456E04"/>
    <w:rsid w:val="00456FE2"/>
    <w:rsid w:val="00457094"/>
    <w:rsid w:val="0045737B"/>
    <w:rsid w:val="00457675"/>
    <w:rsid w:val="00457CDD"/>
    <w:rsid w:val="00460362"/>
    <w:rsid w:val="004603C9"/>
    <w:rsid w:val="00460AA1"/>
    <w:rsid w:val="00460B43"/>
    <w:rsid w:val="00461004"/>
    <w:rsid w:val="004610B0"/>
    <w:rsid w:val="0046193D"/>
    <w:rsid w:val="00462170"/>
    <w:rsid w:val="00462C36"/>
    <w:rsid w:val="00462D48"/>
    <w:rsid w:val="00462D59"/>
    <w:rsid w:val="0046316B"/>
    <w:rsid w:val="004637AC"/>
    <w:rsid w:val="004639D9"/>
    <w:rsid w:val="00463F19"/>
    <w:rsid w:val="00463F4E"/>
    <w:rsid w:val="00463FA0"/>
    <w:rsid w:val="00464595"/>
    <w:rsid w:val="00464662"/>
    <w:rsid w:val="00464E97"/>
    <w:rsid w:val="0046535A"/>
    <w:rsid w:val="00465E95"/>
    <w:rsid w:val="00465FA5"/>
    <w:rsid w:val="004663B0"/>
    <w:rsid w:val="0046644F"/>
    <w:rsid w:val="00466509"/>
    <w:rsid w:val="004666CB"/>
    <w:rsid w:val="00466D9E"/>
    <w:rsid w:val="00466E9C"/>
    <w:rsid w:val="0046731C"/>
    <w:rsid w:val="0046746B"/>
    <w:rsid w:val="0046797C"/>
    <w:rsid w:val="00467AA1"/>
    <w:rsid w:val="00467B7B"/>
    <w:rsid w:val="00467C0A"/>
    <w:rsid w:val="00467EE8"/>
    <w:rsid w:val="00470101"/>
    <w:rsid w:val="004703EC"/>
    <w:rsid w:val="0047055E"/>
    <w:rsid w:val="00470A66"/>
    <w:rsid w:val="00470B2B"/>
    <w:rsid w:val="00470D3D"/>
    <w:rsid w:val="00470D7D"/>
    <w:rsid w:val="0047108E"/>
    <w:rsid w:val="00471291"/>
    <w:rsid w:val="004716A3"/>
    <w:rsid w:val="00472285"/>
    <w:rsid w:val="00472457"/>
    <w:rsid w:val="00472663"/>
    <w:rsid w:val="004727AF"/>
    <w:rsid w:val="004727C7"/>
    <w:rsid w:val="00472833"/>
    <w:rsid w:val="00472889"/>
    <w:rsid w:val="004728E7"/>
    <w:rsid w:val="00472B46"/>
    <w:rsid w:val="00472C8C"/>
    <w:rsid w:val="00473B39"/>
    <w:rsid w:val="00473F81"/>
    <w:rsid w:val="004742E3"/>
    <w:rsid w:val="00474B3F"/>
    <w:rsid w:val="00474F46"/>
    <w:rsid w:val="00474F6B"/>
    <w:rsid w:val="00474FFA"/>
    <w:rsid w:val="0047547A"/>
    <w:rsid w:val="0047574D"/>
    <w:rsid w:val="00475E73"/>
    <w:rsid w:val="00476109"/>
    <w:rsid w:val="0047615F"/>
    <w:rsid w:val="0047655E"/>
    <w:rsid w:val="00476897"/>
    <w:rsid w:val="00476C9E"/>
    <w:rsid w:val="004772C2"/>
    <w:rsid w:val="0047738C"/>
    <w:rsid w:val="004773AA"/>
    <w:rsid w:val="00477659"/>
    <w:rsid w:val="004778F1"/>
    <w:rsid w:val="00477C28"/>
    <w:rsid w:val="00477F7C"/>
    <w:rsid w:val="00480221"/>
    <w:rsid w:val="004806C7"/>
    <w:rsid w:val="0048078A"/>
    <w:rsid w:val="004815AA"/>
    <w:rsid w:val="00481612"/>
    <w:rsid w:val="00481C52"/>
    <w:rsid w:val="00481C72"/>
    <w:rsid w:val="00481FE5"/>
    <w:rsid w:val="004827DE"/>
    <w:rsid w:val="0048299C"/>
    <w:rsid w:val="00482E22"/>
    <w:rsid w:val="00483075"/>
    <w:rsid w:val="00483076"/>
    <w:rsid w:val="00483088"/>
    <w:rsid w:val="004831B7"/>
    <w:rsid w:val="0048340D"/>
    <w:rsid w:val="0048374B"/>
    <w:rsid w:val="00483921"/>
    <w:rsid w:val="00483F30"/>
    <w:rsid w:val="00483F51"/>
    <w:rsid w:val="0048433E"/>
    <w:rsid w:val="004844E1"/>
    <w:rsid w:val="00484720"/>
    <w:rsid w:val="00484AB4"/>
    <w:rsid w:val="00485153"/>
    <w:rsid w:val="004853CE"/>
    <w:rsid w:val="00485706"/>
    <w:rsid w:val="00485CA0"/>
    <w:rsid w:val="0048679F"/>
    <w:rsid w:val="00486895"/>
    <w:rsid w:val="00486997"/>
    <w:rsid w:val="00486BB1"/>
    <w:rsid w:val="00486C19"/>
    <w:rsid w:val="00486D91"/>
    <w:rsid w:val="00486ECC"/>
    <w:rsid w:val="00487743"/>
    <w:rsid w:val="00487A4D"/>
    <w:rsid w:val="00487B25"/>
    <w:rsid w:val="00487ED3"/>
    <w:rsid w:val="0049043C"/>
    <w:rsid w:val="0049064A"/>
    <w:rsid w:val="0049079A"/>
    <w:rsid w:val="00490936"/>
    <w:rsid w:val="00490DFE"/>
    <w:rsid w:val="00490E20"/>
    <w:rsid w:val="00491E6D"/>
    <w:rsid w:val="00492395"/>
    <w:rsid w:val="0049271B"/>
    <w:rsid w:val="00492C4D"/>
    <w:rsid w:val="00493FF5"/>
    <w:rsid w:val="0049457E"/>
    <w:rsid w:val="0049464A"/>
    <w:rsid w:val="00494B22"/>
    <w:rsid w:val="00494BCB"/>
    <w:rsid w:val="00494E78"/>
    <w:rsid w:val="004951F6"/>
    <w:rsid w:val="00495389"/>
    <w:rsid w:val="00495524"/>
    <w:rsid w:val="00495668"/>
    <w:rsid w:val="00495944"/>
    <w:rsid w:val="00495C09"/>
    <w:rsid w:val="0049619E"/>
    <w:rsid w:val="0049628B"/>
    <w:rsid w:val="00496514"/>
    <w:rsid w:val="00496A5B"/>
    <w:rsid w:val="00496ACC"/>
    <w:rsid w:val="00496F3B"/>
    <w:rsid w:val="00497150"/>
    <w:rsid w:val="0049729C"/>
    <w:rsid w:val="004977EB"/>
    <w:rsid w:val="00497ECB"/>
    <w:rsid w:val="00497ED2"/>
    <w:rsid w:val="004A0859"/>
    <w:rsid w:val="004A08C4"/>
    <w:rsid w:val="004A1129"/>
    <w:rsid w:val="004A1957"/>
    <w:rsid w:val="004A1B39"/>
    <w:rsid w:val="004A1DD4"/>
    <w:rsid w:val="004A1FE5"/>
    <w:rsid w:val="004A27F4"/>
    <w:rsid w:val="004A2A17"/>
    <w:rsid w:val="004A2B3A"/>
    <w:rsid w:val="004A2C11"/>
    <w:rsid w:val="004A2D51"/>
    <w:rsid w:val="004A2EEC"/>
    <w:rsid w:val="004A3875"/>
    <w:rsid w:val="004A3931"/>
    <w:rsid w:val="004A3FC4"/>
    <w:rsid w:val="004A4232"/>
    <w:rsid w:val="004A432B"/>
    <w:rsid w:val="004A45D0"/>
    <w:rsid w:val="004A47B6"/>
    <w:rsid w:val="004A48B3"/>
    <w:rsid w:val="004A4D11"/>
    <w:rsid w:val="004A5413"/>
    <w:rsid w:val="004A598E"/>
    <w:rsid w:val="004A5ED7"/>
    <w:rsid w:val="004A5EFF"/>
    <w:rsid w:val="004A5F59"/>
    <w:rsid w:val="004A63CD"/>
    <w:rsid w:val="004A6D3A"/>
    <w:rsid w:val="004A758A"/>
    <w:rsid w:val="004A7832"/>
    <w:rsid w:val="004A790D"/>
    <w:rsid w:val="004A7E22"/>
    <w:rsid w:val="004B0977"/>
    <w:rsid w:val="004B14B4"/>
    <w:rsid w:val="004B1694"/>
    <w:rsid w:val="004B184D"/>
    <w:rsid w:val="004B1DD5"/>
    <w:rsid w:val="004B1E74"/>
    <w:rsid w:val="004B1EFB"/>
    <w:rsid w:val="004B21A5"/>
    <w:rsid w:val="004B30C1"/>
    <w:rsid w:val="004B341D"/>
    <w:rsid w:val="004B350B"/>
    <w:rsid w:val="004B3A3E"/>
    <w:rsid w:val="004B3ACC"/>
    <w:rsid w:val="004B3C05"/>
    <w:rsid w:val="004B3C49"/>
    <w:rsid w:val="004B3CC1"/>
    <w:rsid w:val="004B3D40"/>
    <w:rsid w:val="004B457F"/>
    <w:rsid w:val="004B4AD6"/>
    <w:rsid w:val="004B57A9"/>
    <w:rsid w:val="004B5F01"/>
    <w:rsid w:val="004B5F2D"/>
    <w:rsid w:val="004B7BD8"/>
    <w:rsid w:val="004B7EBA"/>
    <w:rsid w:val="004C04D8"/>
    <w:rsid w:val="004C0E19"/>
    <w:rsid w:val="004C0F35"/>
    <w:rsid w:val="004C0FCB"/>
    <w:rsid w:val="004C1025"/>
    <w:rsid w:val="004C1DD0"/>
    <w:rsid w:val="004C2830"/>
    <w:rsid w:val="004C2856"/>
    <w:rsid w:val="004C2A1C"/>
    <w:rsid w:val="004C2DCC"/>
    <w:rsid w:val="004C437F"/>
    <w:rsid w:val="004C470A"/>
    <w:rsid w:val="004C506F"/>
    <w:rsid w:val="004C5711"/>
    <w:rsid w:val="004C5954"/>
    <w:rsid w:val="004C5B31"/>
    <w:rsid w:val="004C5CD6"/>
    <w:rsid w:val="004C5D21"/>
    <w:rsid w:val="004C5D9F"/>
    <w:rsid w:val="004C6265"/>
    <w:rsid w:val="004C6480"/>
    <w:rsid w:val="004C6FAC"/>
    <w:rsid w:val="004C7195"/>
    <w:rsid w:val="004C7B74"/>
    <w:rsid w:val="004C7B9B"/>
    <w:rsid w:val="004C7D68"/>
    <w:rsid w:val="004D056C"/>
    <w:rsid w:val="004D0640"/>
    <w:rsid w:val="004D06F0"/>
    <w:rsid w:val="004D0BDD"/>
    <w:rsid w:val="004D0EF2"/>
    <w:rsid w:val="004D0FAC"/>
    <w:rsid w:val="004D0FF3"/>
    <w:rsid w:val="004D119B"/>
    <w:rsid w:val="004D1A05"/>
    <w:rsid w:val="004D1DE8"/>
    <w:rsid w:val="004D22EC"/>
    <w:rsid w:val="004D2580"/>
    <w:rsid w:val="004D26F5"/>
    <w:rsid w:val="004D2715"/>
    <w:rsid w:val="004D28BC"/>
    <w:rsid w:val="004D29C9"/>
    <w:rsid w:val="004D2B90"/>
    <w:rsid w:val="004D3277"/>
    <w:rsid w:val="004D332D"/>
    <w:rsid w:val="004D3BD0"/>
    <w:rsid w:val="004D3EE6"/>
    <w:rsid w:val="004D3F5D"/>
    <w:rsid w:val="004D4B5C"/>
    <w:rsid w:val="004D4E30"/>
    <w:rsid w:val="004D523C"/>
    <w:rsid w:val="004D5462"/>
    <w:rsid w:val="004D59BD"/>
    <w:rsid w:val="004D610F"/>
    <w:rsid w:val="004D6692"/>
    <w:rsid w:val="004D75A5"/>
    <w:rsid w:val="004D7C93"/>
    <w:rsid w:val="004D7DB5"/>
    <w:rsid w:val="004D7E9F"/>
    <w:rsid w:val="004E0269"/>
    <w:rsid w:val="004E07AF"/>
    <w:rsid w:val="004E0BCF"/>
    <w:rsid w:val="004E0F87"/>
    <w:rsid w:val="004E1BC5"/>
    <w:rsid w:val="004E20DA"/>
    <w:rsid w:val="004E254E"/>
    <w:rsid w:val="004E27D4"/>
    <w:rsid w:val="004E2810"/>
    <w:rsid w:val="004E2841"/>
    <w:rsid w:val="004E28AF"/>
    <w:rsid w:val="004E2D02"/>
    <w:rsid w:val="004E2D07"/>
    <w:rsid w:val="004E2D16"/>
    <w:rsid w:val="004E38D7"/>
    <w:rsid w:val="004E3ACE"/>
    <w:rsid w:val="004E3EE9"/>
    <w:rsid w:val="004E415F"/>
    <w:rsid w:val="004E42E7"/>
    <w:rsid w:val="004E431C"/>
    <w:rsid w:val="004E44A2"/>
    <w:rsid w:val="004E46F5"/>
    <w:rsid w:val="004E499F"/>
    <w:rsid w:val="004E4AC3"/>
    <w:rsid w:val="004E52BB"/>
    <w:rsid w:val="004E5311"/>
    <w:rsid w:val="004E5427"/>
    <w:rsid w:val="004E555E"/>
    <w:rsid w:val="004E5641"/>
    <w:rsid w:val="004E5766"/>
    <w:rsid w:val="004E57F9"/>
    <w:rsid w:val="004E5ABA"/>
    <w:rsid w:val="004E60B2"/>
    <w:rsid w:val="004E60EC"/>
    <w:rsid w:val="004E65CA"/>
    <w:rsid w:val="004E668D"/>
    <w:rsid w:val="004E668E"/>
    <w:rsid w:val="004E6851"/>
    <w:rsid w:val="004E68DD"/>
    <w:rsid w:val="004E7042"/>
    <w:rsid w:val="004E73ED"/>
    <w:rsid w:val="004E750C"/>
    <w:rsid w:val="004E7724"/>
    <w:rsid w:val="004E7931"/>
    <w:rsid w:val="004E7983"/>
    <w:rsid w:val="004E7B95"/>
    <w:rsid w:val="004E7E49"/>
    <w:rsid w:val="004E7FE6"/>
    <w:rsid w:val="004F00D3"/>
    <w:rsid w:val="004F0171"/>
    <w:rsid w:val="004F0506"/>
    <w:rsid w:val="004F069A"/>
    <w:rsid w:val="004F0899"/>
    <w:rsid w:val="004F148B"/>
    <w:rsid w:val="004F16F7"/>
    <w:rsid w:val="004F16FD"/>
    <w:rsid w:val="004F176D"/>
    <w:rsid w:val="004F1BC7"/>
    <w:rsid w:val="004F1F6E"/>
    <w:rsid w:val="004F31F5"/>
    <w:rsid w:val="004F442F"/>
    <w:rsid w:val="004F4906"/>
    <w:rsid w:val="004F4D49"/>
    <w:rsid w:val="004F5128"/>
    <w:rsid w:val="004F5EE2"/>
    <w:rsid w:val="004F6C06"/>
    <w:rsid w:val="004F6D79"/>
    <w:rsid w:val="004F6DA8"/>
    <w:rsid w:val="004F7453"/>
    <w:rsid w:val="004F78EB"/>
    <w:rsid w:val="00500965"/>
    <w:rsid w:val="005009DD"/>
    <w:rsid w:val="00500AAD"/>
    <w:rsid w:val="00500C48"/>
    <w:rsid w:val="00501308"/>
    <w:rsid w:val="005018C6"/>
    <w:rsid w:val="00501F66"/>
    <w:rsid w:val="00502179"/>
    <w:rsid w:val="00502458"/>
    <w:rsid w:val="0050251E"/>
    <w:rsid w:val="005032F4"/>
    <w:rsid w:val="0050366D"/>
    <w:rsid w:val="00503F55"/>
    <w:rsid w:val="005045D1"/>
    <w:rsid w:val="005047BF"/>
    <w:rsid w:val="00504A6A"/>
    <w:rsid w:val="00505224"/>
    <w:rsid w:val="00505DF5"/>
    <w:rsid w:val="00506788"/>
    <w:rsid w:val="00506985"/>
    <w:rsid w:val="00506E59"/>
    <w:rsid w:val="00506E7B"/>
    <w:rsid w:val="00506EB1"/>
    <w:rsid w:val="0050728A"/>
    <w:rsid w:val="00507305"/>
    <w:rsid w:val="005074AA"/>
    <w:rsid w:val="00507857"/>
    <w:rsid w:val="00507E82"/>
    <w:rsid w:val="005102D3"/>
    <w:rsid w:val="005103BC"/>
    <w:rsid w:val="005107E2"/>
    <w:rsid w:val="00510F8A"/>
    <w:rsid w:val="005110A2"/>
    <w:rsid w:val="00511188"/>
    <w:rsid w:val="00511374"/>
    <w:rsid w:val="0051212A"/>
    <w:rsid w:val="00512A26"/>
    <w:rsid w:val="00512B2F"/>
    <w:rsid w:val="00512C73"/>
    <w:rsid w:val="005132A6"/>
    <w:rsid w:val="005135E6"/>
    <w:rsid w:val="005136C3"/>
    <w:rsid w:val="00514578"/>
    <w:rsid w:val="00514614"/>
    <w:rsid w:val="0051472E"/>
    <w:rsid w:val="005148D8"/>
    <w:rsid w:val="00514C5B"/>
    <w:rsid w:val="00514EC9"/>
    <w:rsid w:val="005151D6"/>
    <w:rsid w:val="00515330"/>
    <w:rsid w:val="005153F4"/>
    <w:rsid w:val="005154AE"/>
    <w:rsid w:val="00515BC0"/>
    <w:rsid w:val="005161FC"/>
    <w:rsid w:val="0051625D"/>
    <w:rsid w:val="0051721C"/>
    <w:rsid w:val="00517581"/>
    <w:rsid w:val="005202E3"/>
    <w:rsid w:val="00520850"/>
    <w:rsid w:val="00520B14"/>
    <w:rsid w:val="0052144E"/>
    <w:rsid w:val="00521741"/>
    <w:rsid w:val="00521E57"/>
    <w:rsid w:val="005221CF"/>
    <w:rsid w:val="00522344"/>
    <w:rsid w:val="00522637"/>
    <w:rsid w:val="0052285A"/>
    <w:rsid w:val="00522A17"/>
    <w:rsid w:val="00523422"/>
    <w:rsid w:val="005237B6"/>
    <w:rsid w:val="00523A62"/>
    <w:rsid w:val="00523B77"/>
    <w:rsid w:val="00523EA9"/>
    <w:rsid w:val="00523EE7"/>
    <w:rsid w:val="00524075"/>
    <w:rsid w:val="00524BE6"/>
    <w:rsid w:val="00524D73"/>
    <w:rsid w:val="00524ECB"/>
    <w:rsid w:val="00524F09"/>
    <w:rsid w:val="00525052"/>
    <w:rsid w:val="005259F1"/>
    <w:rsid w:val="00525C3D"/>
    <w:rsid w:val="00525ED8"/>
    <w:rsid w:val="005264AF"/>
    <w:rsid w:val="005265E4"/>
    <w:rsid w:val="00526CFD"/>
    <w:rsid w:val="00526D24"/>
    <w:rsid w:val="00527193"/>
    <w:rsid w:val="005272A5"/>
    <w:rsid w:val="00527592"/>
    <w:rsid w:val="0052786F"/>
    <w:rsid w:val="00530055"/>
    <w:rsid w:val="0053077B"/>
    <w:rsid w:val="00530CBA"/>
    <w:rsid w:val="00530EFC"/>
    <w:rsid w:val="00530F73"/>
    <w:rsid w:val="0053139E"/>
    <w:rsid w:val="0053153E"/>
    <w:rsid w:val="00531957"/>
    <w:rsid w:val="005319B7"/>
    <w:rsid w:val="00532097"/>
    <w:rsid w:val="0053209D"/>
    <w:rsid w:val="005320D6"/>
    <w:rsid w:val="00532242"/>
    <w:rsid w:val="0053305B"/>
    <w:rsid w:val="005336EF"/>
    <w:rsid w:val="00533731"/>
    <w:rsid w:val="00533910"/>
    <w:rsid w:val="00534FF6"/>
    <w:rsid w:val="0053561C"/>
    <w:rsid w:val="0053582D"/>
    <w:rsid w:val="00535A6D"/>
    <w:rsid w:val="00535A71"/>
    <w:rsid w:val="00535CA6"/>
    <w:rsid w:val="00536238"/>
    <w:rsid w:val="005362FB"/>
    <w:rsid w:val="00536570"/>
    <w:rsid w:val="00536E49"/>
    <w:rsid w:val="005373AD"/>
    <w:rsid w:val="00537701"/>
    <w:rsid w:val="00537964"/>
    <w:rsid w:val="0054007B"/>
    <w:rsid w:val="005408AA"/>
    <w:rsid w:val="0054101B"/>
    <w:rsid w:val="0054101F"/>
    <w:rsid w:val="00541026"/>
    <w:rsid w:val="00541033"/>
    <w:rsid w:val="00541308"/>
    <w:rsid w:val="00541382"/>
    <w:rsid w:val="00541D6D"/>
    <w:rsid w:val="00542D5B"/>
    <w:rsid w:val="00543AAF"/>
    <w:rsid w:val="00543C0E"/>
    <w:rsid w:val="00543DFF"/>
    <w:rsid w:val="00543E5A"/>
    <w:rsid w:val="00544397"/>
    <w:rsid w:val="005445A4"/>
    <w:rsid w:val="00544647"/>
    <w:rsid w:val="00544A3D"/>
    <w:rsid w:val="00544AC5"/>
    <w:rsid w:val="005452EE"/>
    <w:rsid w:val="00545411"/>
    <w:rsid w:val="005463C8"/>
    <w:rsid w:val="00547981"/>
    <w:rsid w:val="005500B6"/>
    <w:rsid w:val="005501BB"/>
    <w:rsid w:val="005503A6"/>
    <w:rsid w:val="00550C1B"/>
    <w:rsid w:val="00550EDC"/>
    <w:rsid w:val="005510F0"/>
    <w:rsid w:val="005511BB"/>
    <w:rsid w:val="00551D3A"/>
    <w:rsid w:val="00551D95"/>
    <w:rsid w:val="00551FB1"/>
    <w:rsid w:val="00552409"/>
    <w:rsid w:val="005528D0"/>
    <w:rsid w:val="00552CD6"/>
    <w:rsid w:val="005533E5"/>
    <w:rsid w:val="00553447"/>
    <w:rsid w:val="00553FD1"/>
    <w:rsid w:val="005542B1"/>
    <w:rsid w:val="00554333"/>
    <w:rsid w:val="005545F3"/>
    <w:rsid w:val="00554AE3"/>
    <w:rsid w:val="0055593F"/>
    <w:rsid w:val="00555B21"/>
    <w:rsid w:val="00555D88"/>
    <w:rsid w:val="005560AB"/>
    <w:rsid w:val="00556196"/>
    <w:rsid w:val="005566AF"/>
    <w:rsid w:val="00556D1E"/>
    <w:rsid w:val="00556D86"/>
    <w:rsid w:val="005570A6"/>
    <w:rsid w:val="00557186"/>
    <w:rsid w:val="005575DA"/>
    <w:rsid w:val="00557791"/>
    <w:rsid w:val="00560A91"/>
    <w:rsid w:val="00560EFC"/>
    <w:rsid w:val="00560FE5"/>
    <w:rsid w:val="0056136C"/>
    <w:rsid w:val="005617B5"/>
    <w:rsid w:val="005618ED"/>
    <w:rsid w:val="0056192E"/>
    <w:rsid w:val="00561B0F"/>
    <w:rsid w:val="00561C1A"/>
    <w:rsid w:val="005621EC"/>
    <w:rsid w:val="00562BD0"/>
    <w:rsid w:val="00562E0C"/>
    <w:rsid w:val="0056368D"/>
    <w:rsid w:val="00564007"/>
    <w:rsid w:val="0056492B"/>
    <w:rsid w:val="005659AE"/>
    <w:rsid w:val="00565AB9"/>
    <w:rsid w:val="00565E69"/>
    <w:rsid w:val="0056655F"/>
    <w:rsid w:val="00566901"/>
    <w:rsid w:val="0056711A"/>
    <w:rsid w:val="0056719D"/>
    <w:rsid w:val="00567300"/>
    <w:rsid w:val="00567797"/>
    <w:rsid w:val="00567B41"/>
    <w:rsid w:val="0057031F"/>
    <w:rsid w:val="0057059A"/>
    <w:rsid w:val="00570762"/>
    <w:rsid w:val="0057083B"/>
    <w:rsid w:val="0057087C"/>
    <w:rsid w:val="00570A35"/>
    <w:rsid w:val="00571547"/>
    <w:rsid w:val="0057166E"/>
    <w:rsid w:val="0057173E"/>
    <w:rsid w:val="00571816"/>
    <w:rsid w:val="00571906"/>
    <w:rsid w:val="005720D6"/>
    <w:rsid w:val="00572153"/>
    <w:rsid w:val="00572782"/>
    <w:rsid w:val="00572B65"/>
    <w:rsid w:val="00572C8F"/>
    <w:rsid w:val="00572CC2"/>
    <w:rsid w:val="0057300D"/>
    <w:rsid w:val="005730AB"/>
    <w:rsid w:val="005731E3"/>
    <w:rsid w:val="00573653"/>
    <w:rsid w:val="00573816"/>
    <w:rsid w:val="00573B56"/>
    <w:rsid w:val="00573FC1"/>
    <w:rsid w:val="00574297"/>
    <w:rsid w:val="00574438"/>
    <w:rsid w:val="005746AC"/>
    <w:rsid w:val="00574886"/>
    <w:rsid w:val="00575F46"/>
    <w:rsid w:val="0057601F"/>
    <w:rsid w:val="005761AE"/>
    <w:rsid w:val="005771FE"/>
    <w:rsid w:val="005775E4"/>
    <w:rsid w:val="00577647"/>
    <w:rsid w:val="005777C9"/>
    <w:rsid w:val="00577AF5"/>
    <w:rsid w:val="00577C2B"/>
    <w:rsid w:val="00577CDA"/>
    <w:rsid w:val="0058004E"/>
    <w:rsid w:val="00580226"/>
    <w:rsid w:val="0058034C"/>
    <w:rsid w:val="00580725"/>
    <w:rsid w:val="005808FC"/>
    <w:rsid w:val="00580AE0"/>
    <w:rsid w:val="00580BCA"/>
    <w:rsid w:val="00580DEA"/>
    <w:rsid w:val="0058212A"/>
    <w:rsid w:val="00582206"/>
    <w:rsid w:val="00582419"/>
    <w:rsid w:val="00582EE6"/>
    <w:rsid w:val="00583380"/>
    <w:rsid w:val="005833E8"/>
    <w:rsid w:val="00583409"/>
    <w:rsid w:val="005834BE"/>
    <w:rsid w:val="00583AD5"/>
    <w:rsid w:val="00583E67"/>
    <w:rsid w:val="00584125"/>
    <w:rsid w:val="0058449B"/>
    <w:rsid w:val="0058489C"/>
    <w:rsid w:val="00584904"/>
    <w:rsid w:val="00584989"/>
    <w:rsid w:val="00584D84"/>
    <w:rsid w:val="00584EFD"/>
    <w:rsid w:val="00585450"/>
    <w:rsid w:val="005855DB"/>
    <w:rsid w:val="00585E2B"/>
    <w:rsid w:val="00586280"/>
    <w:rsid w:val="00586474"/>
    <w:rsid w:val="005867C0"/>
    <w:rsid w:val="00586C19"/>
    <w:rsid w:val="00586EF5"/>
    <w:rsid w:val="0058742B"/>
    <w:rsid w:val="005874DD"/>
    <w:rsid w:val="00587762"/>
    <w:rsid w:val="005879BC"/>
    <w:rsid w:val="00587B2D"/>
    <w:rsid w:val="0059112F"/>
    <w:rsid w:val="00591181"/>
    <w:rsid w:val="005917EC"/>
    <w:rsid w:val="00591E9E"/>
    <w:rsid w:val="00591FEF"/>
    <w:rsid w:val="0059203E"/>
    <w:rsid w:val="005924A9"/>
    <w:rsid w:val="00592696"/>
    <w:rsid w:val="00592DCA"/>
    <w:rsid w:val="005937B2"/>
    <w:rsid w:val="00593FEB"/>
    <w:rsid w:val="005941A4"/>
    <w:rsid w:val="005941C6"/>
    <w:rsid w:val="00594551"/>
    <w:rsid w:val="00594714"/>
    <w:rsid w:val="00594EAE"/>
    <w:rsid w:val="0059534D"/>
    <w:rsid w:val="00595846"/>
    <w:rsid w:val="00595A8B"/>
    <w:rsid w:val="0059619B"/>
    <w:rsid w:val="00596205"/>
    <w:rsid w:val="0059668F"/>
    <w:rsid w:val="00596A0D"/>
    <w:rsid w:val="00596B76"/>
    <w:rsid w:val="0059711E"/>
    <w:rsid w:val="005971FB"/>
    <w:rsid w:val="005972F6"/>
    <w:rsid w:val="00597545"/>
    <w:rsid w:val="005975FB"/>
    <w:rsid w:val="00597B5B"/>
    <w:rsid w:val="00597BDC"/>
    <w:rsid w:val="00597C24"/>
    <w:rsid w:val="005A01A0"/>
    <w:rsid w:val="005A06C1"/>
    <w:rsid w:val="005A0831"/>
    <w:rsid w:val="005A0A7D"/>
    <w:rsid w:val="005A0EF3"/>
    <w:rsid w:val="005A100A"/>
    <w:rsid w:val="005A1546"/>
    <w:rsid w:val="005A15D2"/>
    <w:rsid w:val="005A1627"/>
    <w:rsid w:val="005A1EC5"/>
    <w:rsid w:val="005A1ECE"/>
    <w:rsid w:val="005A2102"/>
    <w:rsid w:val="005A2638"/>
    <w:rsid w:val="005A2870"/>
    <w:rsid w:val="005A2CAE"/>
    <w:rsid w:val="005A2E30"/>
    <w:rsid w:val="005A2FD8"/>
    <w:rsid w:val="005A33CC"/>
    <w:rsid w:val="005A3A49"/>
    <w:rsid w:val="005A4064"/>
    <w:rsid w:val="005A4593"/>
    <w:rsid w:val="005A47B1"/>
    <w:rsid w:val="005A497D"/>
    <w:rsid w:val="005A499E"/>
    <w:rsid w:val="005A4BB5"/>
    <w:rsid w:val="005A51FD"/>
    <w:rsid w:val="005A5DAB"/>
    <w:rsid w:val="005A5EE9"/>
    <w:rsid w:val="005A62D7"/>
    <w:rsid w:val="005A6352"/>
    <w:rsid w:val="005A6FA9"/>
    <w:rsid w:val="005A7194"/>
    <w:rsid w:val="005A79D2"/>
    <w:rsid w:val="005A7E5E"/>
    <w:rsid w:val="005A7F2E"/>
    <w:rsid w:val="005B0130"/>
    <w:rsid w:val="005B02F3"/>
    <w:rsid w:val="005B0520"/>
    <w:rsid w:val="005B0915"/>
    <w:rsid w:val="005B0B4F"/>
    <w:rsid w:val="005B0CB4"/>
    <w:rsid w:val="005B0CED"/>
    <w:rsid w:val="005B15EB"/>
    <w:rsid w:val="005B1762"/>
    <w:rsid w:val="005B1876"/>
    <w:rsid w:val="005B23D5"/>
    <w:rsid w:val="005B23F9"/>
    <w:rsid w:val="005B25AF"/>
    <w:rsid w:val="005B281F"/>
    <w:rsid w:val="005B2A8C"/>
    <w:rsid w:val="005B327C"/>
    <w:rsid w:val="005B3303"/>
    <w:rsid w:val="005B33C2"/>
    <w:rsid w:val="005B351A"/>
    <w:rsid w:val="005B3B98"/>
    <w:rsid w:val="005B420F"/>
    <w:rsid w:val="005B4ED2"/>
    <w:rsid w:val="005B56A8"/>
    <w:rsid w:val="005B5B83"/>
    <w:rsid w:val="005B5D55"/>
    <w:rsid w:val="005B67C3"/>
    <w:rsid w:val="005B690C"/>
    <w:rsid w:val="005B7296"/>
    <w:rsid w:val="005B72D4"/>
    <w:rsid w:val="005B7430"/>
    <w:rsid w:val="005B787E"/>
    <w:rsid w:val="005B792A"/>
    <w:rsid w:val="005B79A2"/>
    <w:rsid w:val="005B7D61"/>
    <w:rsid w:val="005B7DDE"/>
    <w:rsid w:val="005B7EC8"/>
    <w:rsid w:val="005C0054"/>
    <w:rsid w:val="005C024A"/>
    <w:rsid w:val="005C0B6E"/>
    <w:rsid w:val="005C0E22"/>
    <w:rsid w:val="005C0F5C"/>
    <w:rsid w:val="005C11CA"/>
    <w:rsid w:val="005C23A4"/>
    <w:rsid w:val="005C26C7"/>
    <w:rsid w:val="005C2797"/>
    <w:rsid w:val="005C2CD2"/>
    <w:rsid w:val="005C34C4"/>
    <w:rsid w:val="005C3F11"/>
    <w:rsid w:val="005C410E"/>
    <w:rsid w:val="005C4351"/>
    <w:rsid w:val="005C436E"/>
    <w:rsid w:val="005C470B"/>
    <w:rsid w:val="005C4937"/>
    <w:rsid w:val="005C4C40"/>
    <w:rsid w:val="005C51BF"/>
    <w:rsid w:val="005C540B"/>
    <w:rsid w:val="005C5AF8"/>
    <w:rsid w:val="005C5FB9"/>
    <w:rsid w:val="005C639F"/>
    <w:rsid w:val="005C67A2"/>
    <w:rsid w:val="005C6897"/>
    <w:rsid w:val="005C6C76"/>
    <w:rsid w:val="005C73B6"/>
    <w:rsid w:val="005C7432"/>
    <w:rsid w:val="005C7D0B"/>
    <w:rsid w:val="005D003D"/>
    <w:rsid w:val="005D0BC4"/>
    <w:rsid w:val="005D0CC7"/>
    <w:rsid w:val="005D0F7D"/>
    <w:rsid w:val="005D0FE8"/>
    <w:rsid w:val="005D1194"/>
    <w:rsid w:val="005D1216"/>
    <w:rsid w:val="005D2375"/>
    <w:rsid w:val="005D2544"/>
    <w:rsid w:val="005D25CB"/>
    <w:rsid w:val="005D25F3"/>
    <w:rsid w:val="005D3205"/>
    <w:rsid w:val="005D32D3"/>
    <w:rsid w:val="005D33CC"/>
    <w:rsid w:val="005D34E3"/>
    <w:rsid w:val="005D38EA"/>
    <w:rsid w:val="005D3EFC"/>
    <w:rsid w:val="005D47A3"/>
    <w:rsid w:val="005D4906"/>
    <w:rsid w:val="005D4AD2"/>
    <w:rsid w:val="005D500D"/>
    <w:rsid w:val="005D5088"/>
    <w:rsid w:val="005D5689"/>
    <w:rsid w:val="005D5B6C"/>
    <w:rsid w:val="005D5FDD"/>
    <w:rsid w:val="005D6306"/>
    <w:rsid w:val="005D6469"/>
    <w:rsid w:val="005D64A4"/>
    <w:rsid w:val="005D670B"/>
    <w:rsid w:val="005D6967"/>
    <w:rsid w:val="005D6B14"/>
    <w:rsid w:val="005D6B39"/>
    <w:rsid w:val="005D716A"/>
    <w:rsid w:val="005D728A"/>
    <w:rsid w:val="005D743E"/>
    <w:rsid w:val="005D7C60"/>
    <w:rsid w:val="005D7D3F"/>
    <w:rsid w:val="005D7D5A"/>
    <w:rsid w:val="005E0074"/>
    <w:rsid w:val="005E00CF"/>
    <w:rsid w:val="005E018D"/>
    <w:rsid w:val="005E0256"/>
    <w:rsid w:val="005E02CE"/>
    <w:rsid w:val="005E0356"/>
    <w:rsid w:val="005E069F"/>
    <w:rsid w:val="005E0DA2"/>
    <w:rsid w:val="005E1683"/>
    <w:rsid w:val="005E1C02"/>
    <w:rsid w:val="005E2398"/>
    <w:rsid w:val="005E3C41"/>
    <w:rsid w:val="005E4653"/>
    <w:rsid w:val="005E4ABD"/>
    <w:rsid w:val="005E588A"/>
    <w:rsid w:val="005E58D9"/>
    <w:rsid w:val="005E5943"/>
    <w:rsid w:val="005E6287"/>
    <w:rsid w:val="005E645E"/>
    <w:rsid w:val="005E6B5B"/>
    <w:rsid w:val="005E6BA4"/>
    <w:rsid w:val="005E75B9"/>
    <w:rsid w:val="005E7776"/>
    <w:rsid w:val="005E77CB"/>
    <w:rsid w:val="005E7841"/>
    <w:rsid w:val="005E7A6D"/>
    <w:rsid w:val="005F02C2"/>
    <w:rsid w:val="005F0FC4"/>
    <w:rsid w:val="005F12D3"/>
    <w:rsid w:val="005F1429"/>
    <w:rsid w:val="005F1475"/>
    <w:rsid w:val="005F1ACA"/>
    <w:rsid w:val="005F1E3A"/>
    <w:rsid w:val="005F1F53"/>
    <w:rsid w:val="005F2345"/>
    <w:rsid w:val="005F273B"/>
    <w:rsid w:val="005F2760"/>
    <w:rsid w:val="005F2977"/>
    <w:rsid w:val="005F2A3E"/>
    <w:rsid w:val="005F2AAA"/>
    <w:rsid w:val="005F2C4A"/>
    <w:rsid w:val="005F33CE"/>
    <w:rsid w:val="005F367D"/>
    <w:rsid w:val="005F3DD4"/>
    <w:rsid w:val="005F3DD7"/>
    <w:rsid w:val="005F3E6E"/>
    <w:rsid w:val="005F4287"/>
    <w:rsid w:val="005F4526"/>
    <w:rsid w:val="005F45C7"/>
    <w:rsid w:val="005F4C6D"/>
    <w:rsid w:val="005F4E08"/>
    <w:rsid w:val="005F512D"/>
    <w:rsid w:val="005F54D2"/>
    <w:rsid w:val="005F58C2"/>
    <w:rsid w:val="005F5E47"/>
    <w:rsid w:val="005F6934"/>
    <w:rsid w:val="005F69A8"/>
    <w:rsid w:val="005F6D03"/>
    <w:rsid w:val="005F6D57"/>
    <w:rsid w:val="005F72EC"/>
    <w:rsid w:val="005F7705"/>
    <w:rsid w:val="005F79D9"/>
    <w:rsid w:val="00600619"/>
    <w:rsid w:val="00601479"/>
    <w:rsid w:val="00601918"/>
    <w:rsid w:val="0060299D"/>
    <w:rsid w:val="00602D55"/>
    <w:rsid w:val="0060314B"/>
    <w:rsid w:val="0060322D"/>
    <w:rsid w:val="0060438B"/>
    <w:rsid w:val="0060447B"/>
    <w:rsid w:val="006044BA"/>
    <w:rsid w:val="006044D4"/>
    <w:rsid w:val="0060497E"/>
    <w:rsid w:val="00604E38"/>
    <w:rsid w:val="00605044"/>
    <w:rsid w:val="006057C8"/>
    <w:rsid w:val="00605BA9"/>
    <w:rsid w:val="00605CD2"/>
    <w:rsid w:val="0060614C"/>
    <w:rsid w:val="0060644E"/>
    <w:rsid w:val="00606705"/>
    <w:rsid w:val="00606786"/>
    <w:rsid w:val="00606A3F"/>
    <w:rsid w:val="00606E36"/>
    <w:rsid w:val="00606FD1"/>
    <w:rsid w:val="00607C09"/>
    <w:rsid w:val="00607FF2"/>
    <w:rsid w:val="006100ED"/>
    <w:rsid w:val="0061053A"/>
    <w:rsid w:val="00610BC9"/>
    <w:rsid w:val="00610DE6"/>
    <w:rsid w:val="00611472"/>
    <w:rsid w:val="006116C1"/>
    <w:rsid w:val="00611BFA"/>
    <w:rsid w:val="00612E54"/>
    <w:rsid w:val="00612F54"/>
    <w:rsid w:val="0061320E"/>
    <w:rsid w:val="006133AD"/>
    <w:rsid w:val="00613EF4"/>
    <w:rsid w:val="00614086"/>
    <w:rsid w:val="00614219"/>
    <w:rsid w:val="00614344"/>
    <w:rsid w:val="00614F35"/>
    <w:rsid w:val="00614FA8"/>
    <w:rsid w:val="00615449"/>
    <w:rsid w:val="0061553C"/>
    <w:rsid w:val="0061593C"/>
    <w:rsid w:val="00615AF8"/>
    <w:rsid w:val="00616282"/>
    <w:rsid w:val="00616840"/>
    <w:rsid w:val="00616EA4"/>
    <w:rsid w:val="00617005"/>
    <w:rsid w:val="0061763A"/>
    <w:rsid w:val="00617851"/>
    <w:rsid w:val="00620118"/>
    <w:rsid w:val="0062142E"/>
    <w:rsid w:val="006217AE"/>
    <w:rsid w:val="00621C38"/>
    <w:rsid w:val="00621DCB"/>
    <w:rsid w:val="00621E17"/>
    <w:rsid w:val="00621E5F"/>
    <w:rsid w:val="00622141"/>
    <w:rsid w:val="00622379"/>
    <w:rsid w:val="00622557"/>
    <w:rsid w:val="006225AF"/>
    <w:rsid w:val="00623293"/>
    <w:rsid w:val="00623602"/>
    <w:rsid w:val="0062385D"/>
    <w:rsid w:val="00623E08"/>
    <w:rsid w:val="00624613"/>
    <w:rsid w:val="00624EC0"/>
    <w:rsid w:val="00625556"/>
    <w:rsid w:val="00625E89"/>
    <w:rsid w:val="006262E6"/>
    <w:rsid w:val="006265CC"/>
    <w:rsid w:val="00626620"/>
    <w:rsid w:val="00626964"/>
    <w:rsid w:val="006269E1"/>
    <w:rsid w:val="00626C34"/>
    <w:rsid w:val="00626D88"/>
    <w:rsid w:val="00627D50"/>
    <w:rsid w:val="00627E8D"/>
    <w:rsid w:val="00630129"/>
    <w:rsid w:val="00630B06"/>
    <w:rsid w:val="00630B11"/>
    <w:rsid w:val="00630B71"/>
    <w:rsid w:val="00630CF5"/>
    <w:rsid w:val="00630F5A"/>
    <w:rsid w:val="006315CC"/>
    <w:rsid w:val="00631654"/>
    <w:rsid w:val="00631F86"/>
    <w:rsid w:val="0063218D"/>
    <w:rsid w:val="0063262F"/>
    <w:rsid w:val="006331D8"/>
    <w:rsid w:val="0063336B"/>
    <w:rsid w:val="0063377A"/>
    <w:rsid w:val="00633AEC"/>
    <w:rsid w:val="00633EF6"/>
    <w:rsid w:val="0063464E"/>
    <w:rsid w:val="0063479D"/>
    <w:rsid w:val="006348DA"/>
    <w:rsid w:val="00634C4F"/>
    <w:rsid w:val="00634CD9"/>
    <w:rsid w:val="00634E71"/>
    <w:rsid w:val="006351C4"/>
    <w:rsid w:val="0063529A"/>
    <w:rsid w:val="00635D06"/>
    <w:rsid w:val="006362A8"/>
    <w:rsid w:val="00636659"/>
    <w:rsid w:val="00636817"/>
    <w:rsid w:val="006369B1"/>
    <w:rsid w:val="00637886"/>
    <w:rsid w:val="006379EA"/>
    <w:rsid w:val="00637CFF"/>
    <w:rsid w:val="00637DA7"/>
    <w:rsid w:val="00640490"/>
    <w:rsid w:val="00640FA7"/>
    <w:rsid w:val="00640FF6"/>
    <w:rsid w:val="0064115F"/>
    <w:rsid w:val="00641965"/>
    <w:rsid w:val="00641B3B"/>
    <w:rsid w:val="006426DE"/>
    <w:rsid w:val="006429EE"/>
    <w:rsid w:val="00643BDB"/>
    <w:rsid w:val="00643F88"/>
    <w:rsid w:val="006445EE"/>
    <w:rsid w:val="0064475C"/>
    <w:rsid w:val="00644B6E"/>
    <w:rsid w:val="00644C66"/>
    <w:rsid w:val="00645054"/>
    <w:rsid w:val="006452C5"/>
    <w:rsid w:val="00645777"/>
    <w:rsid w:val="0064584E"/>
    <w:rsid w:val="00645B1E"/>
    <w:rsid w:val="00645B75"/>
    <w:rsid w:val="00646073"/>
    <w:rsid w:val="006461B8"/>
    <w:rsid w:val="00646204"/>
    <w:rsid w:val="006463A2"/>
    <w:rsid w:val="006469CE"/>
    <w:rsid w:val="00646AEB"/>
    <w:rsid w:val="00646B17"/>
    <w:rsid w:val="00646DE0"/>
    <w:rsid w:val="006471E4"/>
    <w:rsid w:val="006475DA"/>
    <w:rsid w:val="00647697"/>
    <w:rsid w:val="006478B7"/>
    <w:rsid w:val="00647FB7"/>
    <w:rsid w:val="00650430"/>
    <w:rsid w:val="0065117D"/>
    <w:rsid w:val="00651367"/>
    <w:rsid w:val="006517F7"/>
    <w:rsid w:val="0065182B"/>
    <w:rsid w:val="006518C2"/>
    <w:rsid w:val="00651BC1"/>
    <w:rsid w:val="00652159"/>
    <w:rsid w:val="00652295"/>
    <w:rsid w:val="00652BD5"/>
    <w:rsid w:val="00652FA0"/>
    <w:rsid w:val="00653295"/>
    <w:rsid w:val="006533BD"/>
    <w:rsid w:val="00653622"/>
    <w:rsid w:val="006537B5"/>
    <w:rsid w:val="00653A72"/>
    <w:rsid w:val="00653C5E"/>
    <w:rsid w:val="00654403"/>
    <w:rsid w:val="0065448D"/>
    <w:rsid w:val="00654A27"/>
    <w:rsid w:val="00654CB1"/>
    <w:rsid w:val="00654FC3"/>
    <w:rsid w:val="006553E2"/>
    <w:rsid w:val="00656442"/>
    <w:rsid w:val="00656DEE"/>
    <w:rsid w:val="00656FF8"/>
    <w:rsid w:val="00657032"/>
    <w:rsid w:val="006574C8"/>
    <w:rsid w:val="00657D75"/>
    <w:rsid w:val="006601A2"/>
    <w:rsid w:val="00660F55"/>
    <w:rsid w:val="006612AD"/>
    <w:rsid w:val="00661BC8"/>
    <w:rsid w:val="00661D4C"/>
    <w:rsid w:val="006622BA"/>
    <w:rsid w:val="006623C3"/>
    <w:rsid w:val="006627CD"/>
    <w:rsid w:val="00662D76"/>
    <w:rsid w:val="00662F81"/>
    <w:rsid w:val="00663666"/>
    <w:rsid w:val="00663681"/>
    <w:rsid w:val="0066381C"/>
    <w:rsid w:val="00663850"/>
    <w:rsid w:val="00663943"/>
    <w:rsid w:val="00663BA6"/>
    <w:rsid w:val="0066461B"/>
    <w:rsid w:val="00664B87"/>
    <w:rsid w:val="00664C1C"/>
    <w:rsid w:val="00664E6E"/>
    <w:rsid w:val="00665023"/>
    <w:rsid w:val="00665171"/>
    <w:rsid w:val="006653D6"/>
    <w:rsid w:val="006655C0"/>
    <w:rsid w:val="00665A51"/>
    <w:rsid w:val="006660CF"/>
    <w:rsid w:val="006664CE"/>
    <w:rsid w:val="00666552"/>
    <w:rsid w:val="00666D9B"/>
    <w:rsid w:val="006672D9"/>
    <w:rsid w:val="006675E6"/>
    <w:rsid w:val="00667845"/>
    <w:rsid w:val="00667917"/>
    <w:rsid w:val="00667D48"/>
    <w:rsid w:val="00667DF3"/>
    <w:rsid w:val="00670138"/>
    <w:rsid w:val="006702A4"/>
    <w:rsid w:val="006703A3"/>
    <w:rsid w:val="006703F8"/>
    <w:rsid w:val="006707B1"/>
    <w:rsid w:val="006707BA"/>
    <w:rsid w:val="00670CAC"/>
    <w:rsid w:val="00670E52"/>
    <w:rsid w:val="00671252"/>
    <w:rsid w:val="00671781"/>
    <w:rsid w:val="00671D1D"/>
    <w:rsid w:val="0067212B"/>
    <w:rsid w:val="006724A1"/>
    <w:rsid w:val="00672539"/>
    <w:rsid w:val="00672546"/>
    <w:rsid w:val="00672887"/>
    <w:rsid w:val="00672992"/>
    <w:rsid w:val="00672BB8"/>
    <w:rsid w:val="00673912"/>
    <w:rsid w:val="0067521A"/>
    <w:rsid w:val="006752BD"/>
    <w:rsid w:val="0067533B"/>
    <w:rsid w:val="00675483"/>
    <w:rsid w:val="00675BCB"/>
    <w:rsid w:val="00675F5C"/>
    <w:rsid w:val="00676EAF"/>
    <w:rsid w:val="00677311"/>
    <w:rsid w:val="006774AC"/>
    <w:rsid w:val="0067752B"/>
    <w:rsid w:val="00677547"/>
    <w:rsid w:val="00677698"/>
    <w:rsid w:val="00677737"/>
    <w:rsid w:val="00677BC0"/>
    <w:rsid w:val="00677BF8"/>
    <w:rsid w:val="00681665"/>
    <w:rsid w:val="00681935"/>
    <w:rsid w:val="00681A4C"/>
    <w:rsid w:val="00683032"/>
    <w:rsid w:val="00683050"/>
    <w:rsid w:val="0068367F"/>
    <w:rsid w:val="00683F74"/>
    <w:rsid w:val="00684258"/>
    <w:rsid w:val="006845FD"/>
    <w:rsid w:val="006851DB"/>
    <w:rsid w:val="006857F0"/>
    <w:rsid w:val="00685BA0"/>
    <w:rsid w:val="0068618F"/>
    <w:rsid w:val="0068669D"/>
    <w:rsid w:val="0068683C"/>
    <w:rsid w:val="0068692E"/>
    <w:rsid w:val="00686CF5"/>
    <w:rsid w:val="006870F0"/>
    <w:rsid w:val="0068767B"/>
    <w:rsid w:val="00687948"/>
    <w:rsid w:val="00687E2A"/>
    <w:rsid w:val="0069021E"/>
    <w:rsid w:val="00690330"/>
    <w:rsid w:val="0069083D"/>
    <w:rsid w:val="00690845"/>
    <w:rsid w:val="00690DAD"/>
    <w:rsid w:val="00691C36"/>
    <w:rsid w:val="00691E3B"/>
    <w:rsid w:val="00691E7D"/>
    <w:rsid w:val="00692355"/>
    <w:rsid w:val="0069287A"/>
    <w:rsid w:val="006930FC"/>
    <w:rsid w:val="00693297"/>
    <w:rsid w:val="0069426A"/>
    <w:rsid w:val="00694AB2"/>
    <w:rsid w:val="00694D69"/>
    <w:rsid w:val="0069501A"/>
    <w:rsid w:val="006952CC"/>
    <w:rsid w:val="00695615"/>
    <w:rsid w:val="0069595A"/>
    <w:rsid w:val="00695A87"/>
    <w:rsid w:val="00695AF7"/>
    <w:rsid w:val="00695C7E"/>
    <w:rsid w:val="00695E81"/>
    <w:rsid w:val="00696140"/>
    <w:rsid w:val="0069665C"/>
    <w:rsid w:val="0069707A"/>
    <w:rsid w:val="0069712D"/>
    <w:rsid w:val="0069735A"/>
    <w:rsid w:val="006A01D2"/>
    <w:rsid w:val="006A0290"/>
    <w:rsid w:val="006A02A0"/>
    <w:rsid w:val="006A0726"/>
    <w:rsid w:val="006A07BB"/>
    <w:rsid w:val="006A0801"/>
    <w:rsid w:val="006A09AB"/>
    <w:rsid w:val="006A0B0B"/>
    <w:rsid w:val="006A0C63"/>
    <w:rsid w:val="006A115A"/>
    <w:rsid w:val="006A13B3"/>
    <w:rsid w:val="006A153F"/>
    <w:rsid w:val="006A1918"/>
    <w:rsid w:val="006A21B7"/>
    <w:rsid w:val="006A21FD"/>
    <w:rsid w:val="006A227C"/>
    <w:rsid w:val="006A24ED"/>
    <w:rsid w:val="006A272B"/>
    <w:rsid w:val="006A2984"/>
    <w:rsid w:val="006A3107"/>
    <w:rsid w:val="006A31B1"/>
    <w:rsid w:val="006A326D"/>
    <w:rsid w:val="006A3432"/>
    <w:rsid w:val="006A34C8"/>
    <w:rsid w:val="006A374D"/>
    <w:rsid w:val="006A3F90"/>
    <w:rsid w:val="006A47A2"/>
    <w:rsid w:val="006A48B3"/>
    <w:rsid w:val="006A49FE"/>
    <w:rsid w:val="006A5125"/>
    <w:rsid w:val="006A5235"/>
    <w:rsid w:val="006A5767"/>
    <w:rsid w:val="006A5B22"/>
    <w:rsid w:val="006A5F0E"/>
    <w:rsid w:val="006A60D8"/>
    <w:rsid w:val="006A641D"/>
    <w:rsid w:val="006A6475"/>
    <w:rsid w:val="006A6572"/>
    <w:rsid w:val="006A66F1"/>
    <w:rsid w:val="006A6928"/>
    <w:rsid w:val="006A6B63"/>
    <w:rsid w:val="006A6E27"/>
    <w:rsid w:val="006A72B0"/>
    <w:rsid w:val="006A742A"/>
    <w:rsid w:val="006A7A4E"/>
    <w:rsid w:val="006A7FA3"/>
    <w:rsid w:val="006A7FDD"/>
    <w:rsid w:val="006B0277"/>
    <w:rsid w:val="006B03E8"/>
    <w:rsid w:val="006B0B69"/>
    <w:rsid w:val="006B0C78"/>
    <w:rsid w:val="006B1269"/>
    <w:rsid w:val="006B19D4"/>
    <w:rsid w:val="006B1B02"/>
    <w:rsid w:val="006B1C10"/>
    <w:rsid w:val="006B1C9A"/>
    <w:rsid w:val="006B1D44"/>
    <w:rsid w:val="006B2219"/>
    <w:rsid w:val="006B258C"/>
    <w:rsid w:val="006B2B5A"/>
    <w:rsid w:val="006B2B9E"/>
    <w:rsid w:val="006B2EB7"/>
    <w:rsid w:val="006B3234"/>
    <w:rsid w:val="006B32C5"/>
    <w:rsid w:val="006B337A"/>
    <w:rsid w:val="006B33CB"/>
    <w:rsid w:val="006B37D1"/>
    <w:rsid w:val="006B414A"/>
    <w:rsid w:val="006B507E"/>
    <w:rsid w:val="006B53F0"/>
    <w:rsid w:val="006B55E2"/>
    <w:rsid w:val="006B55F7"/>
    <w:rsid w:val="006B5600"/>
    <w:rsid w:val="006B5FE4"/>
    <w:rsid w:val="006B62A2"/>
    <w:rsid w:val="006B63DA"/>
    <w:rsid w:val="006B65BD"/>
    <w:rsid w:val="006B67CF"/>
    <w:rsid w:val="006B682A"/>
    <w:rsid w:val="006B6D34"/>
    <w:rsid w:val="006B6F81"/>
    <w:rsid w:val="006B721A"/>
    <w:rsid w:val="006B73E5"/>
    <w:rsid w:val="006B750D"/>
    <w:rsid w:val="006B75F7"/>
    <w:rsid w:val="006B76F9"/>
    <w:rsid w:val="006B7ED1"/>
    <w:rsid w:val="006C08D5"/>
    <w:rsid w:val="006C109E"/>
    <w:rsid w:val="006C18D3"/>
    <w:rsid w:val="006C1E72"/>
    <w:rsid w:val="006C2155"/>
    <w:rsid w:val="006C2748"/>
    <w:rsid w:val="006C2B5C"/>
    <w:rsid w:val="006C37C5"/>
    <w:rsid w:val="006C3D1D"/>
    <w:rsid w:val="006C3F93"/>
    <w:rsid w:val="006C52A0"/>
    <w:rsid w:val="006C52F6"/>
    <w:rsid w:val="006C56B4"/>
    <w:rsid w:val="006C5E04"/>
    <w:rsid w:val="006C5E9D"/>
    <w:rsid w:val="006C5EE7"/>
    <w:rsid w:val="006C7430"/>
    <w:rsid w:val="006C7981"/>
    <w:rsid w:val="006C7DFB"/>
    <w:rsid w:val="006C7F0F"/>
    <w:rsid w:val="006D0F26"/>
    <w:rsid w:val="006D0F8B"/>
    <w:rsid w:val="006D1347"/>
    <w:rsid w:val="006D1395"/>
    <w:rsid w:val="006D183A"/>
    <w:rsid w:val="006D1853"/>
    <w:rsid w:val="006D1962"/>
    <w:rsid w:val="006D1BBA"/>
    <w:rsid w:val="006D1F1F"/>
    <w:rsid w:val="006D28E4"/>
    <w:rsid w:val="006D29D0"/>
    <w:rsid w:val="006D3394"/>
    <w:rsid w:val="006D3DB8"/>
    <w:rsid w:val="006D4068"/>
    <w:rsid w:val="006D4569"/>
    <w:rsid w:val="006D509A"/>
    <w:rsid w:val="006D6370"/>
    <w:rsid w:val="006D66AE"/>
    <w:rsid w:val="006D6874"/>
    <w:rsid w:val="006D68FA"/>
    <w:rsid w:val="006D6DC4"/>
    <w:rsid w:val="006D6E3A"/>
    <w:rsid w:val="006D70C4"/>
    <w:rsid w:val="006D74FD"/>
    <w:rsid w:val="006D78D2"/>
    <w:rsid w:val="006D7B0C"/>
    <w:rsid w:val="006D7FC5"/>
    <w:rsid w:val="006E0066"/>
    <w:rsid w:val="006E0B39"/>
    <w:rsid w:val="006E0C36"/>
    <w:rsid w:val="006E0D1E"/>
    <w:rsid w:val="006E1015"/>
    <w:rsid w:val="006E12D4"/>
    <w:rsid w:val="006E1363"/>
    <w:rsid w:val="006E16D8"/>
    <w:rsid w:val="006E16E5"/>
    <w:rsid w:val="006E1E98"/>
    <w:rsid w:val="006E2697"/>
    <w:rsid w:val="006E274B"/>
    <w:rsid w:val="006E29DD"/>
    <w:rsid w:val="006E2D50"/>
    <w:rsid w:val="006E2FE3"/>
    <w:rsid w:val="006E4046"/>
    <w:rsid w:val="006E44D4"/>
    <w:rsid w:val="006E4DD1"/>
    <w:rsid w:val="006E5675"/>
    <w:rsid w:val="006E5B3E"/>
    <w:rsid w:val="006E5CBB"/>
    <w:rsid w:val="006E5D74"/>
    <w:rsid w:val="006E5FAC"/>
    <w:rsid w:val="006E77AF"/>
    <w:rsid w:val="006E795E"/>
    <w:rsid w:val="006F05CB"/>
    <w:rsid w:val="006F0AA0"/>
    <w:rsid w:val="006F1490"/>
    <w:rsid w:val="006F2048"/>
    <w:rsid w:val="006F2A34"/>
    <w:rsid w:val="006F30CB"/>
    <w:rsid w:val="006F3833"/>
    <w:rsid w:val="006F38E5"/>
    <w:rsid w:val="006F3B05"/>
    <w:rsid w:val="006F3EF8"/>
    <w:rsid w:val="006F40A3"/>
    <w:rsid w:val="006F4163"/>
    <w:rsid w:val="006F47FB"/>
    <w:rsid w:val="006F4ACE"/>
    <w:rsid w:val="006F4D51"/>
    <w:rsid w:val="006F536D"/>
    <w:rsid w:val="006F59C3"/>
    <w:rsid w:val="006F5DF2"/>
    <w:rsid w:val="006F60DA"/>
    <w:rsid w:val="006F6328"/>
    <w:rsid w:val="006F6500"/>
    <w:rsid w:val="006F6758"/>
    <w:rsid w:val="006F6798"/>
    <w:rsid w:val="006F6855"/>
    <w:rsid w:val="006F76BC"/>
    <w:rsid w:val="006F7961"/>
    <w:rsid w:val="006F7C1A"/>
    <w:rsid w:val="006F7FE2"/>
    <w:rsid w:val="00700193"/>
    <w:rsid w:val="0070070E"/>
    <w:rsid w:val="007009E3"/>
    <w:rsid w:val="00700EF6"/>
    <w:rsid w:val="00700F15"/>
    <w:rsid w:val="00700F1B"/>
    <w:rsid w:val="00701697"/>
    <w:rsid w:val="00701783"/>
    <w:rsid w:val="00701A33"/>
    <w:rsid w:val="00701BDE"/>
    <w:rsid w:val="00701D54"/>
    <w:rsid w:val="00701D7C"/>
    <w:rsid w:val="0070353A"/>
    <w:rsid w:val="0070372D"/>
    <w:rsid w:val="00703E70"/>
    <w:rsid w:val="0070483C"/>
    <w:rsid w:val="00705184"/>
    <w:rsid w:val="0070518B"/>
    <w:rsid w:val="00705589"/>
    <w:rsid w:val="007055BA"/>
    <w:rsid w:val="00705962"/>
    <w:rsid w:val="00705AA4"/>
    <w:rsid w:val="007062BC"/>
    <w:rsid w:val="00706621"/>
    <w:rsid w:val="007068F3"/>
    <w:rsid w:val="007071D2"/>
    <w:rsid w:val="0070748B"/>
    <w:rsid w:val="00707DC0"/>
    <w:rsid w:val="00710865"/>
    <w:rsid w:val="00710962"/>
    <w:rsid w:val="00710A79"/>
    <w:rsid w:val="00710BC6"/>
    <w:rsid w:val="00710D72"/>
    <w:rsid w:val="00711AE0"/>
    <w:rsid w:val="00711E5A"/>
    <w:rsid w:val="00712073"/>
    <w:rsid w:val="00712386"/>
    <w:rsid w:val="007131B3"/>
    <w:rsid w:val="00713393"/>
    <w:rsid w:val="007136A8"/>
    <w:rsid w:val="00713774"/>
    <w:rsid w:val="00713B29"/>
    <w:rsid w:val="00713FFF"/>
    <w:rsid w:val="007140CD"/>
    <w:rsid w:val="007148B8"/>
    <w:rsid w:val="00714996"/>
    <w:rsid w:val="00714B6E"/>
    <w:rsid w:val="00715EFC"/>
    <w:rsid w:val="00716011"/>
    <w:rsid w:val="007164BC"/>
    <w:rsid w:val="00716757"/>
    <w:rsid w:val="007168A5"/>
    <w:rsid w:val="007175F5"/>
    <w:rsid w:val="00717D08"/>
    <w:rsid w:val="00720036"/>
    <w:rsid w:val="007206EA"/>
    <w:rsid w:val="00720AC5"/>
    <w:rsid w:val="00720F0C"/>
    <w:rsid w:val="007214F0"/>
    <w:rsid w:val="0072172F"/>
    <w:rsid w:val="00721BEE"/>
    <w:rsid w:val="00721C08"/>
    <w:rsid w:val="00721EC9"/>
    <w:rsid w:val="00721F85"/>
    <w:rsid w:val="00722576"/>
    <w:rsid w:val="00722B5C"/>
    <w:rsid w:val="00722DC0"/>
    <w:rsid w:val="00722F2B"/>
    <w:rsid w:val="00722FD5"/>
    <w:rsid w:val="00723074"/>
    <w:rsid w:val="007233FE"/>
    <w:rsid w:val="00723649"/>
    <w:rsid w:val="00723657"/>
    <w:rsid w:val="007236E1"/>
    <w:rsid w:val="007240B3"/>
    <w:rsid w:val="00724664"/>
    <w:rsid w:val="00724CD3"/>
    <w:rsid w:val="00724E73"/>
    <w:rsid w:val="0072552C"/>
    <w:rsid w:val="007258E7"/>
    <w:rsid w:val="00725C77"/>
    <w:rsid w:val="00725FE1"/>
    <w:rsid w:val="007260EE"/>
    <w:rsid w:val="00726417"/>
    <w:rsid w:val="00726BA6"/>
    <w:rsid w:val="00727129"/>
    <w:rsid w:val="0072712C"/>
    <w:rsid w:val="00727207"/>
    <w:rsid w:val="0072764F"/>
    <w:rsid w:val="0072773C"/>
    <w:rsid w:val="00727AB0"/>
    <w:rsid w:val="00727C23"/>
    <w:rsid w:val="00727CCC"/>
    <w:rsid w:val="00727F97"/>
    <w:rsid w:val="0073009E"/>
    <w:rsid w:val="0073041F"/>
    <w:rsid w:val="0073043F"/>
    <w:rsid w:val="00730861"/>
    <w:rsid w:val="00730C30"/>
    <w:rsid w:val="00730D5F"/>
    <w:rsid w:val="00731127"/>
    <w:rsid w:val="00731269"/>
    <w:rsid w:val="00732570"/>
    <w:rsid w:val="00732C1D"/>
    <w:rsid w:val="00733024"/>
    <w:rsid w:val="0073348C"/>
    <w:rsid w:val="0073376C"/>
    <w:rsid w:val="00733786"/>
    <w:rsid w:val="00733DF3"/>
    <w:rsid w:val="00733F0F"/>
    <w:rsid w:val="00734129"/>
    <w:rsid w:val="0073469D"/>
    <w:rsid w:val="007350CD"/>
    <w:rsid w:val="00735449"/>
    <w:rsid w:val="007355E7"/>
    <w:rsid w:val="0073567A"/>
    <w:rsid w:val="007358A0"/>
    <w:rsid w:val="00735AF9"/>
    <w:rsid w:val="00735D50"/>
    <w:rsid w:val="00736D9A"/>
    <w:rsid w:val="007371F0"/>
    <w:rsid w:val="0073728F"/>
    <w:rsid w:val="007376B2"/>
    <w:rsid w:val="00737713"/>
    <w:rsid w:val="007378E7"/>
    <w:rsid w:val="00737B12"/>
    <w:rsid w:val="00737B7C"/>
    <w:rsid w:val="00737B9E"/>
    <w:rsid w:val="00737C0F"/>
    <w:rsid w:val="0074062F"/>
    <w:rsid w:val="0074077E"/>
    <w:rsid w:val="00740C20"/>
    <w:rsid w:val="007410E6"/>
    <w:rsid w:val="00741518"/>
    <w:rsid w:val="007419E9"/>
    <w:rsid w:val="00741D9B"/>
    <w:rsid w:val="00742967"/>
    <w:rsid w:val="00742FB0"/>
    <w:rsid w:val="0074309C"/>
    <w:rsid w:val="00744741"/>
    <w:rsid w:val="00744B89"/>
    <w:rsid w:val="00744CAD"/>
    <w:rsid w:val="00745454"/>
    <w:rsid w:val="0074583A"/>
    <w:rsid w:val="007462DC"/>
    <w:rsid w:val="00746573"/>
    <w:rsid w:val="00746A64"/>
    <w:rsid w:val="0074712A"/>
    <w:rsid w:val="007471D6"/>
    <w:rsid w:val="0074736E"/>
    <w:rsid w:val="00747479"/>
    <w:rsid w:val="00747527"/>
    <w:rsid w:val="0074777F"/>
    <w:rsid w:val="00747CB3"/>
    <w:rsid w:val="00747D89"/>
    <w:rsid w:val="00750642"/>
    <w:rsid w:val="0075082A"/>
    <w:rsid w:val="00750DCD"/>
    <w:rsid w:val="007513F2"/>
    <w:rsid w:val="00751ACF"/>
    <w:rsid w:val="00751E87"/>
    <w:rsid w:val="007523CF"/>
    <w:rsid w:val="0075251C"/>
    <w:rsid w:val="00752AA2"/>
    <w:rsid w:val="00753490"/>
    <w:rsid w:val="00753AE1"/>
    <w:rsid w:val="007542DA"/>
    <w:rsid w:val="0075446D"/>
    <w:rsid w:val="00755022"/>
    <w:rsid w:val="00755141"/>
    <w:rsid w:val="007554D7"/>
    <w:rsid w:val="00756008"/>
    <w:rsid w:val="00756AF8"/>
    <w:rsid w:val="0075754A"/>
    <w:rsid w:val="007576CA"/>
    <w:rsid w:val="007605F5"/>
    <w:rsid w:val="00760F17"/>
    <w:rsid w:val="00760F9C"/>
    <w:rsid w:val="00761AFC"/>
    <w:rsid w:val="00761B0B"/>
    <w:rsid w:val="00761E84"/>
    <w:rsid w:val="00761FA7"/>
    <w:rsid w:val="00762293"/>
    <w:rsid w:val="007628F0"/>
    <w:rsid w:val="00762A26"/>
    <w:rsid w:val="00762D6E"/>
    <w:rsid w:val="007631F4"/>
    <w:rsid w:val="00763229"/>
    <w:rsid w:val="00763442"/>
    <w:rsid w:val="00763575"/>
    <w:rsid w:val="00763630"/>
    <w:rsid w:val="007636EF"/>
    <w:rsid w:val="007637AA"/>
    <w:rsid w:val="00763C7D"/>
    <w:rsid w:val="00763F70"/>
    <w:rsid w:val="007643A8"/>
    <w:rsid w:val="007647F8"/>
    <w:rsid w:val="00764C29"/>
    <w:rsid w:val="0076573C"/>
    <w:rsid w:val="00765B39"/>
    <w:rsid w:val="00765C3A"/>
    <w:rsid w:val="00765E30"/>
    <w:rsid w:val="007661BC"/>
    <w:rsid w:val="0076640D"/>
    <w:rsid w:val="00767734"/>
    <w:rsid w:val="0077000A"/>
    <w:rsid w:val="007702B8"/>
    <w:rsid w:val="007702F7"/>
    <w:rsid w:val="007711D3"/>
    <w:rsid w:val="007711EC"/>
    <w:rsid w:val="007712EE"/>
    <w:rsid w:val="007715B6"/>
    <w:rsid w:val="00771E72"/>
    <w:rsid w:val="007722B1"/>
    <w:rsid w:val="00772514"/>
    <w:rsid w:val="00773226"/>
    <w:rsid w:val="0077354A"/>
    <w:rsid w:val="00773C3F"/>
    <w:rsid w:val="0077400D"/>
    <w:rsid w:val="00774082"/>
    <w:rsid w:val="007742F8"/>
    <w:rsid w:val="00774420"/>
    <w:rsid w:val="00774813"/>
    <w:rsid w:val="00774C0F"/>
    <w:rsid w:val="00775551"/>
    <w:rsid w:val="00775B5C"/>
    <w:rsid w:val="00775B86"/>
    <w:rsid w:val="007763AE"/>
    <w:rsid w:val="0077699B"/>
    <w:rsid w:val="007775A2"/>
    <w:rsid w:val="007775C4"/>
    <w:rsid w:val="007776A5"/>
    <w:rsid w:val="00777715"/>
    <w:rsid w:val="007778CB"/>
    <w:rsid w:val="0077793F"/>
    <w:rsid w:val="00781A4B"/>
    <w:rsid w:val="00781D9E"/>
    <w:rsid w:val="00781DC2"/>
    <w:rsid w:val="0078213E"/>
    <w:rsid w:val="007825E5"/>
    <w:rsid w:val="00782A27"/>
    <w:rsid w:val="007831EC"/>
    <w:rsid w:val="0078335D"/>
    <w:rsid w:val="00783596"/>
    <w:rsid w:val="00783BD8"/>
    <w:rsid w:val="00783D24"/>
    <w:rsid w:val="00783DD1"/>
    <w:rsid w:val="0078421E"/>
    <w:rsid w:val="00784A06"/>
    <w:rsid w:val="00785C13"/>
    <w:rsid w:val="007868E5"/>
    <w:rsid w:val="00786B31"/>
    <w:rsid w:val="00786B37"/>
    <w:rsid w:val="00786B74"/>
    <w:rsid w:val="00787307"/>
    <w:rsid w:val="007874BB"/>
    <w:rsid w:val="00787623"/>
    <w:rsid w:val="007879E1"/>
    <w:rsid w:val="00787B1B"/>
    <w:rsid w:val="00790116"/>
    <w:rsid w:val="007903FB"/>
    <w:rsid w:val="00790D07"/>
    <w:rsid w:val="00790F86"/>
    <w:rsid w:val="00790FA1"/>
    <w:rsid w:val="0079213B"/>
    <w:rsid w:val="0079223A"/>
    <w:rsid w:val="007924C8"/>
    <w:rsid w:val="007928A6"/>
    <w:rsid w:val="00792947"/>
    <w:rsid w:val="0079297E"/>
    <w:rsid w:val="00792B08"/>
    <w:rsid w:val="00793387"/>
    <w:rsid w:val="007934C9"/>
    <w:rsid w:val="00793652"/>
    <w:rsid w:val="00793803"/>
    <w:rsid w:val="00793AFA"/>
    <w:rsid w:val="00793D23"/>
    <w:rsid w:val="00793E8F"/>
    <w:rsid w:val="00793FF9"/>
    <w:rsid w:val="007940D4"/>
    <w:rsid w:val="0079443D"/>
    <w:rsid w:val="007944ED"/>
    <w:rsid w:val="00794541"/>
    <w:rsid w:val="00794801"/>
    <w:rsid w:val="00794D86"/>
    <w:rsid w:val="00794F79"/>
    <w:rsid w:val="00795417"/>
    <w:rsid w:val="0079562B"/>
    <w:rsid w:val="007958B4"/>
    <w:rsid w:val="00795BFF"/>
    <w:rsid w:val="00795D62"/>
    <w:rsid w:val="00795DE5"/>
    <w:rsid w:val="00795FBF"/>
    <w:rsid w:val="00796614"/>
    <w:rsid w:val="007968C5"/>
    <w:rsid w:val="00796D4C"/>
    <w:rsid w:val="0079778D"/>
    <w:rsid w:val="007A01C4"/>
    <w:rsid w:val="007A121D"/>
    <w:rsid w:val="007A1524"/>
    <w:rsid w:val="007A16C0"/>
    <w:rsid w:val="007A1B06"/>
    <w:rsid w:val="007A1FD0"/>
    <w:rsid w:val="007A20EF"/>
    <w:rsid w:val="007A252E"/>
    <w:rsid w:val="007A2623"/>
    <w:rsid w:val="007A27F7"/>
    <w:rsid w:val="007A3672"/>
    <w:rsid w:val="007A38BD"/>
    <w:rsid w:val="007A3CA4"/>
    <w:rsid w:val="007A4136"/>
    <w:rsid w:val="007A4A32"/>
    <w:rsid w:val="007A4BBC"/>
    <w:rsid w:val="007A4CC6"/>
    <w:rsid w:val="007A54BC"/>
    <w:rsid w:val="007A5B5F"/>
    <w:rsid w:val="007A6270"/>
    <w:rsid w:val="007A6A8E"/>
    <w:rsid w:val="007A73C4"/>
    <w:rsid w:val="007A7602"/>
    <w:rsid w:val="007A795F"/>
    <w:rsid w:val="007A7A02"/>
    <w:rsid w:val="007A7BC2"/>
    <w:rsid w:val="007A7C91"/>
    <w:rsid w:val="007A7CA8"/>
    <w:rsid w:val="007A7CD2"/>
    <w:rsid w:val="007A7DD6"/>
    <w:rsid w:val="007B169D"/>
    <w:rsid w:val="007B188D"/>
    <w:rsid w:val="007B2178"/>
    <w:rsid w:val="007B21A4"/>
    <w:rsid w:val="007B2A23"/>
    <w:rsid w:val="007B2B9B"/>
    <w:rsid w:val="007B2BFE"/>
    <w:rsid w:val="007B2C73"/>
    <w:rsid w:val="007B2D94"/>
    <w:rsid w:val="007B335C"/>
    <w:rsid w:val="007B353C"/>
    <w:rsid w:val="007B36F1"/>
    <w:rsid w:val="007B3D41"/>
    <w:rsid w:val="007B3D9F"/>
    <w:rsid w:val="007B469E"/>
    <w:rsid w:val="007B46E0"/>
    <w:rsid w:val="007B4D92"/>
    <w:rsid w:val="007B4E98"/>
    <w:rsid w:val="007B52F7"/>
    <w:rsid w:val="007B53C6"/>
    <w:rsid w:val="007B61FA"/>
    <w:rsid w:val="007B6405"/>
    <w:rsid w:val="007B65D6"/>
    <w:rsid w:val="007B6A6F"/>
    <w:rsid w:val="007B6AB7"/>
    <w:rsid w:val="007B70A0"/>
    <w:rsid w:val="007B7327"/>
    <w:rsid w:val="007B73EA"/>
    <w:rsid w:val="007B7507"/>
    <w:rsid w:val="007B7650"/>
    <w:rsid w:val="007B78FF"/>
    <w:rsid w:val="007B7CCE"/>
    <w:rsid w:val="007B7DDE"/>
    <w:rsid w:val="007B7E4D"/>
    <w:rsid w:val="007C0208"/>
    <w:rsid w:val="007C023A"/>
    <w:rsid w:val="007C0275"/>
    <w:rsid w:val="007C0736"/>
    <w:rsid w:val="007C07FD"/>
    <w:rsid w:val="007C0C5E"/>
    <w:rsid w:val="007C12CD"/>
    <w:rsid w:val="007C1323"/>
    <w:rsid w:val="007C213F"/>
    <w:rsid w:val="007C2204"/>
    <w:rsid w:val="007C3004"/>
    <w:rsid w:val="007C3308"/>
    <w:rsid w:val="007C3C4E"/>
    <w:rsid w:val="007C40E9"/>
    <w:rsid w:val="007C42C2"/>
    <w:rsid w:val="007C4546"/>
    <w:rsid w:val="007C4B53"/>
    <w:rsid w:val="007C541D"/>
    <w:rsid w:val="007C56D8"/>
    <w:rsid w:val="007C57A7"/>
    <w:rsid w:val="007C6CE4"/>
    <w:rsid w:val="007C6D88"/>
    <w:rsid w:val="007C7BAC"/>
    <w:rsid w:val="007D00BD"/>
    <w:rsid w:val="007D01C9"/>
    <w:rsid w:val="007D0236"/>
    <w:rsid w:val="007D02B1"/>
    <w:rsid w:val="007D0696"/>
    <w:rsid w:val="007D0C20"/>
    <w:rsid w:val="007D0E85"/>
    <w:rsid w:val="007D112A"/>
    <w:rsid w:val="007D193F"/>
    <w:rsid w:val="007D26B5"/>
    <w:rsid w:val="007D26FF"/>
    <w:rsid w:val="007D2780"/>
    <w:rsid w:val="007D28D0"/>
    <w:rsid w:val="007D293E"/>
    <w:rsid w:val="007D2BE5"/>
    <w:rsid w:val="007D358C"/>
    <w:rsid w:val="007D3B4B"/>
    <w:rsid w:val="007D3C02"/>
    <w:rsid w:val="007D3E5C"/>
    <w:rsid w:val="007D48AE"/>
    <w:rsid w:val="007D4B52"/>
    <w:rsid w:val="007D4B63"/>
    <w:rsid w:val="007D4BDB"/>
    <w:rsid w:val="007D50ED"/>
    <w:rsid w:val="007D5683"/>
    <w:rsid w:val="007D5744"/>
    <w:rsid w:val="007D5D2F"/>
    <w:rsid w:val="007D62CA"/>
    <w:rsid w:val="007D631E"/>
    <w:rsid w:val="007D63DC"/>
    <w:rsid w:val="007D6587"/>
    <w:rsid w:val="007D72DD"/>
    <w:rsid w:val="007D77B0"/>
    <w:rsid w:val="007D7962"/>
    <w:rsid w:val="007D7B22"/>
    <w:rsid w:val="007E0069"/>
    <w:rsid w:val="007E02B1"/>
    <w:rsid w:val="007E04D4"/>
    <w:rsid w:val="007E086B"/>
    <w:rsid w:val="007E0B59"/>
    <w:rsid w:val="007E0D4A"/>
    <w:rsid w:val="007E0D4B"/>
    <w:rsid w:val="007E1643"/>
    <w:rsid w:val="007E1874"/>
    <w:rsid w:val="007E1C3C"/>
    <w:rsid w:val="007E1C71"/>
    <w:rsid w:val="007E1DE4"/>
    <w:rsid w:val="007E222A"/>
    <w:rsid w:val="007E24D9"/>
    <w:rsid w:val="007E3917"/>
    <w:rsid w:val="007E4233"/>
    <w:rsid w:val="007E47EF"/>
    <w:rsid w:val="007E4F97"/>
    <w:rsid w:val="007E56D2"/>
    <w:rsid w:val="007E5DF3"/>
    <w:rsid w:val="007E6067"/>
    <w:rsid w:val="007E61FA"/>
    <w:rsid w:val="007E6528"/>
    <w:rsid w:val="007E6645"/>
    <w:rsid w:val="007E6760"/>
    <w:rsid w:val="007E6794"/>
    <w:rsid w:val="007E7A17"/>
    <w:rsid w:val="007F047E"/>
    <w:rsid w:val="007F0C08"/>
    <w:rsid w:val="007F0C2F"/>
    <w:rsid w:val="007F0F2E"/>
    <w:rsid w:val="007F18C9"/>
    <w:rsid w:val="007F205E"/>
    <w:rsid w:val="007F2086"/>
    <w:rsid w:val="007F23CC"/>
    <w:rsid w:val="007F29BD"/>
    <w:rsid w:val="007F2B48"/>
    <w:rsid w:val="007F2CEB"/>
    <w:rsid w:val="007F2DA0"/>
    <w:rsid w:val="007F338B"/>
    <w:rsid w:val="007F34E9"/>
    <w:rsid w:val="007F380D"/>
    <w:rsid w:val="007F3B59"/>
    <w:rsid w:val="007F3D55"/>
    <w:rsid w:val="007F4050"/>
    <w:rsid w:val="007F4C65"/>
    <w:rsid w:val="007F538B"/>
    <w:rsid w:val="007F6A93"/>
    <w:rsid w:val="007F70DC"/>
    <w:rsid w:val="00800101"/>
    <w:rsid w:val="00800358"/>
    <w:rsid w:val="008008F3"/>
    <w:rsid w:val="00800B53"/>
    <w:rsid w:val="00800BAF"/>
    <w:rsid w:val="008015EB"/>
    <w:rsid w:val="008017F4"/>
    <w:rsid w:val="00801DA3"/>
    <w:rsid w:val="00801E75"/>
    <w:rsid w:val="0080220E"/>
    <w:rsid w:val="0080224A"/>
    <w:rsid w:val="008023B0"/>
    <w:rsid w:val="00802D66"/>
    <w:rsid w:val="008031B8"/>
    <w:rsid w:val="0080327D"/>
    <w:rsid w:val="00803300"/>
    <w:rsid w:val="00803924"/>
    <w:rsid w:val="00803ACE"/>
    <w:rsid w:val="00804308"/>
    <w:rsid w:val="00805243"/>
    <w:rsid w:val="0080551A"/>
    <w:rsid w:val="008057C6"/>
    <w:rsid w:val="008057D3"/>
    <w:rsid w:val="008058E5"/>
    <w:rsid w:val="008059EC"/>
    <w:rsid w:val="00805C90"/>
    <w:rsid w:val="00805F52"/>
    <w:rsid w:val="00807095"/>
    <w:rsid w:val="0080761B"/>
    <w:rsid w:val="008076BF"/>
    <w:rsid w:val="00807839"/>
    <w:rsid w:val="00807D8B"/>
    <w:rsid w:val="00810377"/>
    <w:rsid w:val="008108A8"/>
    <w:rsid w:val="00810A33"/>
    <w:rsid w:val="008111BC"/>
    <w:rsid w:val="00811514"/>
    <w:rsid w:val="00811E85"/>
    <w:rsid w:val="00812369"/>
    <w:rsid w:val="008129AD"/>
    <w:rsid w:val="00812B93"/>
    <w:rsid w:val="00812E66"/>
    <w:rsid w:val="008133F1"/>
    <w:rsid w:val="00813497"/>
    <w:rsid w:val="00814525"/>
    <w:rsid w:val="0081453E"/>
    <w:rsid w:val="00814596"/>
    <w:rsid w:val="0081481F"/>
    <w:rsid w:val="008148B3"/>
    <w:rsid w:val="00814E15"/>
    <w:rsid w:val="008150BC"/>
    <w:rsid w:val="00815490"/>
    <w:rsid w:val="008155C5"/>
    <w:rsid w:val="0081576D"/>
    <w:rsid w:val="008157A1"/>
    <w:rsid w:val="008158E3"/>
    <w:rsid w:val="00815A3A"/>
    <w:rsid w:val="008168D0"/>
    <w:rsid w:val="00816925"/>
    <w:rsid w:val="0081698D"/>
    <w:rsid w:val="00816AAF"/>
    <w:rsid w:val="00816B4F"/>
    <w:rsid w:val="00817238"/>
    <w:rsid w:val="0081763A"/>
    <w:rsid w:val="00817704"/>
    <w:rsid w:val="00817E28"/>
    <w:rsid w:val="008201FE"/>
    <w:rsid w:val="00820277"/>
    <w:rsid w:val="008205C2"/>
    <w:rsid w:val="008205F2"/>
    <w:rsid w:val="0082068E"/>
    <w:rsid w:val="008209EE"/>
    <w:rsid w:val="00820BF5"/>
    <w:rsid w:val="00820E30"/>
    <w:rsid w:val="00821175"/>
    <w:rsid w:val="00821323"/>
    <w:rsid w:val="00821526"/>
    <w:rsid w:val="0082188B"/>
    <w:rsid w:val="00821A78"/>
    <w:rsid w:val="00821B1C"/>
    <w:rsid w:val="008220BA"/>
    <w:rsid w:val="008222EB"/>
    <w:rsid w:val="00822518"/>
    <w:rsid w:val="00822792"/>
    <w:rsid w:val="00822933"/>
    <w:rsid w:val="00822C9A"/>
    <w:rsid w:val="00822F0D"/>
    <w:rsid w:val="0082352B"/>
    <w:rsid w:val="0082386B"/>
    <w:rsid w:val="00823CC5"/>
    <w:rsid w:val="00823E49"/>
    <w:rsid w:val="00823E4F"/>
    <w:rsid w:val="00823E8E"/>
    <w:rsid w:val="00823F45"/>
    <w:rsid w:val="008242FC"/>
    <w:rsid w:val="008243C5"/>
    <w:rsid w:val="00824896"/>
    <w:rsid w:val="00824F73"/>
    <w:rsid w:val="00824F86"/>
    <w:rsid w:val="0082506F"/>
    <w:rsid w:val="008255F0"/>
    <w:rsid w:val="0082569C"/>
    <w:rsid w:val="0082606A"/>
    <w:rsid w:val="008261C5"/>
    <w:rsid w:val="008262B3"/>
    <w:rsid w:val="008264E7"/>
    <w:rsid w:val="00826B4D"/>
    <w:rsid w:val="00826D0E"/>
    <w:rsid w:val="00826DC4"/>
    <w:rsid w:val="008271BF"/>
    <w:rsid w:val="0082765A"/>
    <w:rsid w:val="008279AF"/>
    <w:rsid w:val="00827AF0"/>
    <w:rsid w:val="0083018B"/>
    <w:rsid w:val="008302A4"/>
    <w:rsid w:val="00830385"/>
    <w:rsid w:val="00830B5B"/>
    <w:rsid w:val="00830DB9"/>
    <w:rsid w:val="00831314"/>
    <w:rsid w:val="0083144B"/>
    <w:rsid w:val="008314F5"/>
    <w:rsid w:val="00831725"/>
    <w:rsid w:val="00831FF8"/>
    <w:rsid w:val="008325E9"/>
    <w:rsid w:val="0083280E"/>
    <w:rsid w:val="0083293D"/>
    <w:rsid w:val="00833544"/>
    <w:rsid w:val="008335AD"/>
    <w:rsid w:val="00833A20"/>
    <w:rsid w:val="00833A96"/>
    <w:rsid w:val="00834022"/>
    <w:rsid w:val="008341BB"/>
    <w:rsid w:val="0083435D"/>
    <w:rsid w:val="008344E7"/>
    <w:rsid w:val="00834A2D"/>
    <w:rsid w:val="00835A02"/>
    <w:rsid w:val="00836006"/>
    <w:rsid w:val="00836194"/>
    <w:rsid w:val="008364F8"/>
    <w:rsid w:val="00836526"/>
    <w:rsid w:val="00836898"/>
    <w:rsid w:val="00836A43"/>
    <w:rsid w:val="00836F62"/>
    <w:rsid w:val="00836F81"/>
    <w:rsid w:val="00837314"/>
    <w:rsid w:val="0083740E"/>
    <w:rsid w:val="00837413"/>
    <w:rsid w:val="00837613"/>
    <w:rsid w:val="00840432"/>
    <w:rsid w:val="00840967"/>
    <w:rsid w:val="00840BDE"/>
    <w:rsid w:val="00840DD5"/>
    <w:rsid w:val="00841B88"/>
    <w:rsid w:val="00841F62"/>
    <w:rsid w:val="00842CF7"/>
    <w:rsid w:val="008430D7"/>
    <w:rsid w:val="0084315C"/>
    <w:rsid w:val="008431D8"/>
    <w:rsid w:val="00843277"/>
    <w:rsid w:val="00843E95"/>
    <w:rsid w:val="008449FF"/>
    <w:rsid w:val="0084528E"/>
    <w:rsid w:val="008459EC"/>
    <w:rsid w:val="00845EC8"/>
    <w:rsid w:val="00846704"/>
    <w:rsid w:val="00846BFD"/>
    <w:rsid w:val="00847326"/>
    <w:rsid w:val="008477B0"/>
    <w:rsid w:val="0084789F"/>
    <w:rsid w:val="00847C05"/>
    <w:rsid w:val="00850437"/>
    <w:rsid w:val="00850697"/>
    <w:rsid w:val="00850967"/>
    <w:rsid w:val="008513AD"/>
    <w:rsid w:val="00851CEA"/>
    <w:rsid w:val="00851E35"/>
    <w:rsid w:val="0085210E"/>
    <w:rsid w:val="008539FB"/>
    <w:rsid w:val="00853A67"/>
    <w:rsid w:val="00853C3A"/>
    <w:rsid w:val="00854433"/>
    <w:rsid w:val="00854562"/>
    <w:rsid w:val="008546CC"/>
    <w:rsid w:val="0085536B"/>
    <w:rsid w:val="00855718"/>
    <w:rsid w:val="00855BB9"/>
    <w:rsid w:val="00855CB8"/>
    <w:rsid w:val="00856279"/>
    <w:rsid w:val="00856687"/>
    <w:rsid w:val="00856B83"/>
    <w:rsid w:val="00856D52"/>
    <w:rsid w:val="00857B28"/>
    <w:rsid w:val="00857CD3"/>
    <w:rsid w:val="00857F97"/>
    <w:rsid w:val="00857FD0"/>
    <w:rsid w:val="00860379"/>
    <w:rsid w:val="0086105F"/>
    <w:rsid w:val="00861548"/>
    <w:rsid w:val="00861794"/>
    <w:rsid w:val="0086212C"/>
    <w:rsid w:val="008626BD"/>
    <w:rsid w:val="008626C3"/>
    <w:rsid w:val="00862CD2"/>
    <w:rsid w:val="00863117"/>
    <w:rsid w:val="008632C0"/>
    <w:rsid w:val="00863504"/>
    <w:rsid w:val="008637A1"/>
    <w:rsid w:val="008638E3"/>
    <w:rsid w:val="008649FD"/>
    <w:rsid w:val="00864A3E"/>
    <w:rsid w:val="00864BD9"/>
    <w:rsid w:val="0086580F"/>
    <w:rsid w:val="00866786"/>
    <w:rsid w:val="00866856"/>
    <w:rsid w:val="00866E3E"/>
    <w:rsid w:val="0086723C"/>
    <w:rsid w:val="00867B12"/>
    <w:rsid w:val="00867D4F"/>
    <w:rsid w:val="00867E90"/>
    <w:rsid w:val="00867FD5"/>
    <w:rsid w:val="00870839"/>
    <w:rsid w:val="00871207"/>
    <w:rsid w:val="008712CA"/>
    <w:rsid w:val="00871C61"/>
    <w:rsid w:val="00871F9F"/>
    <w:rsid w:val="008720B0"/>
    <w:rsid w:val="00872494"/>
    <w:rsid w:val="0087272A"/>
    <w:rsid w:val="00872BE7"/>
    <w:rsid w:val="00872D06"/>
    <w:rsid w:val="008730F7"/>
    <w:rsid w:val="00873419"/>
    <w:rsid w:val="008734C7"/>
    <w:rsid w:val="008739D1"/>
    <w:rsid w:val="00873E80"/>
    <w:rsid w:val="008740AB"/>
    <w:rsid w:val="00874399"/>
    <w:rsid w:val="00874833"/>
    <w:rsid w:val="00874CA6"/>
    <w:rsid w:val="00874D7C"/>
    <w:rsid w:val="00874F0E"/>
    <w:rsid w:val="0087545F"/>
    <w:rsid w:val="00876030"/>
    <w:rsid w:val="0087605E"/>
    <w:rsid w:val="00876212"/>
    <w:rsid w:val="00876899"/>
    <w:rsid w:val="008770B0"/>
    <w:rsid w:val="0087739F"/>
    <w:rsid w:val="00877EF2"/>
    <w:rsid w:val="00877FF9"/>
    <w:rsid w:val="0088002C"/>
    <w:rsid w:val="008802ED"/>
    <w:rsid w:val="008807B6"/>
    <w:rsid w:val="00880BA4"/>
    <w:rsid w:val="008811BF"/>
    <w:rsid w:val="0088138F"/>
    <w:rsid w:val="008815EC"/>
    <w:rsid w:val="008818EE"/>
    <w:rsid w:val="00881AA2"/>
    <w:rsid w:val="00881BE0"/>
    <w:rsid w:val="00881C53"/>
    <w:rsid w:val="00881C5D"/>
    <w:rsid w:val="00881E8A"/>
    <w:rsid w:val="008826D4"/>
    <w:rsid w:val="008833D0"/>
    <w:rsid w:val="00883B13"/>
    <w:rsid w:val="008841FE"/>
    <w:rsid w:val="008842B2"/>
    <w:rsid w:val="0088441C"/>
    <w:rsid w:val="00884633"/>
    <w:rsid w:val="00884677"/>
    <w:rsid w:val="00884BC5"/>
    <w:rsid w:val="00885740"/>
    <w:rsid w:val="00885C8E"/>
    <w:rsid w:val="00885E7D"/>
    <w:rsid w:val="008860AA"/>
    <w:rsid w:val="008862F2"/>
    <w:rsid w:val="008864EC"/>
    <w:rsid w:val="00886897"/>
    <w:rsid w:val="0088725E"/>
    <w:rsid w:val="008876EF"/>
    <w:rsid w:val="0089037B"/>
    <w:rsid w:val="00890482"/>
    <w:rsid w:val="00890A5F"/>
    <w:rsid w:val="00891283"/>
    <w:rsid w:val="008915A1"/>
    <w:rsid w:val="008916E8"/>
    <w:rsid w:val="00892377"/>
    <w:rsid w:val="00892C12"/>
    <w:rsid w:val="0089339F"/>
    <w:rsid w:val="00893B24"/>
    <w:rsid w:val="00893C42"/>
    <w:rsid w:val="00894264"/>
    <w:rsid w:val="008942AB"/>
    <w:rsid w:val="00894366"/>
    <w:rsid w:val="008948B3"/>
    <w:rsid w:val="008956A9"/>
    <w:rsid w:val="008959CC"/>
    <w:rsid w:val="00895BFB"/>
    <w:rsid w:val="00895E97"/>
    <w:rsid w:val="00896AEF"/>
    <w:rsid w:val="00896D35"/>
    <w:rsid w:val="00896E37"/>
    <w:rsid w:val="00896E64"/>
    <w:rsid w:val="00896E9A"/>
    <w:rsid w:val="008975BE"/>
    <w:rsid w:val="00897877"/>
    <w:rsid w:val="00897A00"/>
    <w:rsid w:val="00897A66"/>
    <w:rsid w:val="008A0034"/>
    <w:rsid w:val="008A0496"/>
    <w:rsid w:val="008A0889"/>
    <w:rsid w:val="008A0CFE"/>
    <w:rsid w:val="008A0F74"/>
    <w:rsid w:val="008A11F6"/>
    <w:rsid w:val="008A1A70"/>
    <w:rsid w:val="008A1FB3"/>
    <w:rsid w:val="008A1FEE"/>
    <w:rsid w:val="008A21BF"/>
    <w:rsid w:val="008A2634"/>
    <w:rsid w:val="008A35BC"/>
    <w:rsid w:val="008A377F"/>
    <w:rsid w:val="008A3A48"/>
    <w:rsid w:val="008A47C3"/>
    <w:rsid w:val="008A48F3"/>
    <w:rsid w:val="008A4A7D"/>
    <w:rsid w:val="008A4E83"/>
    <w:rsid w:val="008A5362"/>
    <w:rsid w:val="008A551B"/>
    <w:rsid w:val="008A55C7"/>
    <w:rsid w:val="008A57ED"/>
    <w:rsid w:val="008A5AD0"/>
    <w:rsid w:val="008A5E06"/>
    <w:rsid w:val="008A6319"/>
    <w:rsid w:val="008A6A71"/>
    <w:rsid w:val="008A6EFF"/>
    <w:rsid w:val="008A6F76"/>
    <w:rsid w:val="008A7015"/>
    <w:rsid w:val="008A71EC"/>
    <w:rsid w:val="008A7363"/>
    <w:rsid w:val="008A7681"/>
    <w:rsid w:val="008A7944"/>
    <w:rsid w:val="008A7A62"/>
    <w:rsid w:val="008B0082"/>
    <w:rsid w:val="008B05DD"/>
    <w:rsid w:val="008B10BF"/>
    <w:rsid w:val="008B1200"/>
    <w:rsid w:val="008B1368"/>
    <w:rsid w:val="008B1388"/>
    <w:rsid w:val="008B18B9"/>
    <w:rsid w:val="008B1C3B"/>
    <w:rsid w:val="008B1EF5"/>
    <w:rsid w:val="008B2AEE"/>
    <w:rsid w:val="008B2CA7"/>
    <w:rsid w:val="008B2D86"/>
    <w:rsid w:val="008B3550"/>
    <w:rsid w:val="008B364A"/>
    <w:rsid w:val="008B3799"/>
    <w:rsid w:val="008B37E2"/>
    <w:rsid w:val="008B381B"/>
    <w:rsid w:val="008B3FB7"/>
    <w:rsid w:val="008B4336"/>
    <w:rsid w:val="008B499C"/>
    <w:rsid w:val="008B49FE"/>
    <w:rsid w:val="008B4F5A"/>
    <w:rsid w:val="008B50DB"/>
    <w:rsid w:val="008B5552"/>
    <w:rsid w:val="008B5BE8"/>
    <w:rsid w:val="008B60BC"/>
    <w:rsid w:val="008B64E0"/>
    <w:rsid w:val="008B67A1"/>
    <w:rsid w:val="008B69F8"/>
    <w:rsid w:val="008B6ABE"/>
    <w:rsid w:val="008B7239"/>
    <w:rsid w:val="008B77A6"/>
    <w:rsid w:val="008B7ABF"/>
    <w:rsid w:val="008B7ADD"/>
    <w:rsid w:val="008B7D4D"/>
    <w:rsid w:val="008B7F6B"/>
    <w:rsid w:val="008C03B1"/>
    <w:rsid w:val="008C04AC"/>
    <w:rsid w:val="008C0641"/>
    <w:rsid w:val="008C0A5D"/>
    <w:rsid w:val="008C0B54"/>
    <w:rsid w:val="008C0D40"/>
    <w:rsid w:val="008C1236"/>
    <w:rsid w:val="008C1686"/>
    <w:rsid w:val="008C2348"/>
    <w:rsid w:val="008C26B7"/>
    <w:rsid w:val="008C27AB"/>
    <w:rsid w:val="008C2D9A"/>
    <w:rsid w:val="008C2EDE"/>
    <w:rsid w:val="008C3650"/>
    <w:rsid w:val="008C3DD1"/>
    <w:rsid w:val="008C4DEC"/>
    <w:rsid w:val="008C4F76"/>
    <w:rsid w:val="008C5285"/>
    <w:rsid w:val="008C57B1"/>
    <w:rsid w:val="008C5AAE"/>
    <w:rsid w:val="008C5FDC"/>
    <w:rsid w:val="008C66CE"/>
    <w:rsid w:val="008C6745"/>
    <w:rsid w:val="008C6AF4"/>
    <w:rsid w:val="008C702A"/>
    <w:rsid w:val="008C707A"/>
    <w:rsid w:val="008C7173"/>
    <w:rsid w:val="008C73AC"/>
    <w:rsid w:val="008C79CD"/>
    <w:rsid w:val="008C7DB4"/>
    <w:rsid w:val="008D063C"/>
    <w:rsid w:val="008D0CE4"/>
    <w:rsid w:val="008D1624"/>
    <w:rsid w:val="008D170A"/>
    <w:rsid w:val="008D19CD"/>
    <w:rsid w:val="008D23A9"/>
    <w:rsid w:val="008D2C09"/>
    <w:rsid w:val="008D3BA7"/>
    <w:rsid w:val="008D4228"/>
    <w:rsid w:val="008D4261"/>
    <w:rsid w:val="008D45AA"/>
    <w:rsid w:val="008D4626"/>
    <w:rsid w:val="008D4749"/>
    <w:rsid w:val="008D49AD"/>
    <w:rsid w:val="008D5124"/>
    <w:rsid w:val="008D581D"/>
    <w:rsid w:val="008D5D56"/>
    <w:rsid w:val="008D6EB5"/>
    <w:rsid w:val="008D7278"/>
    <w:rsid w:val="008D77B9"/>
    <w:rsid w:val="008D7AB8"/>
    <w:rsid w:val="008D7ACE"/>
    <w:rsid w:val="008D7BDA"/>
    <w:rsid w:val="008D7F5F"/>
    <w:rsid w:val="008E0016"/>
    <w:rsid w:val="008E056D"/>
    <w:rsid w:val="008E0C2B"/>
    <w:rsid w:val="008E0D84"/>
    <w:rsid w:val="008E1358"/>
    <w:rsid w:val="008E166E"/>
    <w:rsid w:val="008E18CB"/>
    <w:rsid w:val="008E1A4D"/>
    <w:rsid w:val="008E1D10"/>
    <w:rsid w:val="008E224E"/>
    <w:rsid w:val="008E23C1"/>
    <w:rsid w:val="008E28C0"/>
    <w:rsid w:val="008E2D11"/>
    <w:rsid w:val="008E2D4E"/>
    <w:rsid w:val="008E2DE8"/>
    <w:rsid w:val="008E2E42"/>
    <w:rsid w:val="008E322D"/>
    <w:rsid w:val="008E3781"/>
    <w:rsid w:val="008E3870"/>
    <w:rsid w:val="008E3C2E"/>
    <w:rsid w:val="008E3EF0"/>
    <w:rsid w:val="008E42FE"/>
    <w:rsid w:val="008E4458"/>
    <w:rsid w:val="008E4613"/>
    <w:rsid w:val="008E4724"/>
    <w:rsid w:val="008E4975"/>
    <w:rsid w:val="008E4C97"/>
    <w:rsid w:val="008E574B"/>
    <w:rsid w:val="008E614E"/>
    <w:rsid w:val="008E66C3"/>
    <w:rsid w:val="008E6742"/>
    <w:rsid w:val="008E6DFC"/>
    <w:rsid w:val="008E6EE3"/>
    <w:rsid w:val="008E71D7"/>
    <w:rsid w:val="008E72D4"/>
    <w:rsid w:val="008E744B"/>
    <w:rsid w:val="008E763B"/>
    <w:rsid w:val="008E76CF"/>
    <w:rsid w:val="008E7705"/>
    <w:rsid w:val="008F03A4"/>
    <w:rsid w:val="008F05D2"/>
    <w:rsid w:val="008F0964"/>
    <w:rsid w:val="008F0A0E"/>
    <w:rsid w:val="008F1023"/>
    <w:rsid w:val="008F1845"/>
    <w:rsid w:val="008F1E14"/>
    <w:rsid w:val="008F20BD"/>
    <w:rsid w:val="008F20FD"/>
    <w:rsid w:val="008F28F3"/>
    <w:rsid w:val="008F2901"/>
    <w:rsid w:val="008F2C81"/>
    <w:rsid w:val="008F2D96"/>
    <w:rsid w:val="008F31C2"/>
    <w:rsid w:val="008F3485"/>
    <w:rsid w:val="008F3557"/>
    <w:rsid w:val="008F3AF2"/>
    <w:rsid w:val="008F3ECD"/>
    <w:rsid w:val="008F3F1D"/>
    <w:rsid w:val="008F3FF7"/>
    <w:rsid w:val="008F41C6"/>
    <w:rsid w:val="008F422E"/>
    <w:rsid w:val="008F47C5"/>
    <w:rsid w:val="008F4EB5"/>
    <w:rsid w:val="008F5005"/>
    <w:rsid w:val="008F50EC"/>
    <w:rsid w:val="008F5290"/>
    <w:rsid w:val="008F558E"/>
    <w:rsid w:val="008F5908"/>
    <w:rsid w:val="008F632B"/>
    <w:rsid w:val="008F674D"/>
    <w:rsid w:val="008F6B76"/>
    <w:rsid w:val="008F6E75"/>
    <w:rsid w:val="008F7F44"/>
    <w:rsid w:val="00900132"/>
    <w:rsid w:val="00900246"/>
    <w:rsid w:val="00900339"/>
    <w:rsid w:val="009006F6"/>
    <w:rsid w:val="00900FA2"/>
    <w:rsid w:val="009012C7"/>
    <w:rsid w:val="00901908"/>
    <w:rsid w:val="00901DC8"/>
    <w:rsid w:val="0090251C"/>
    <w:rsid w:val="00902C3B"/>
    <w:rsid w:val="0090384F"/>
    <w:rsid w:val="00904294"/>
    <w:rsid w:val="009049DC"/>
    <w:rsid w:val="00904C51"/>
    <w:rsid w:val="00904D9A"/>
    <w:rsid w:val="009053F0"/>
    <w:rsid w:val="009060F6"/>
    <w:rsid w:val="00906152"/>
    <w:rsid w:val="0090630D"/>
    <w:rsid w:val="00906576"/>
    <w:rsid w:val="00906593"/>
    <w:rsid w:val="0090675F"/>
    <w:rsid w:val="009069FE"/>
    <w:rsid w:val="00907327"/>
    <w:rsid w:val="00907413"/>
    <w:rsid w:val="00907465"/>
    <w:rsid w:val="00907AD1"/>
    <w:rsid w:val="00907DD3"/>
    <w:rsid w:val="00910462"/>
    <w:rsid w:val="00910914"/>
    <w:rsid w:val="00910B06"/>
    <w:rsid w:val="00910BD0"/>
    <w:rsid w:val="00911447"/>
    <w:rsid w:val="009121E5"/>
    <w:rsid w:val="0091280F"/>
    <w:rsid w:val="00912C10"/>
    <w:rsid w:val="00912C5A"/>
    <w:rsid w:val="00912FB5"/>
    <w:rsid w:val="00913164"/>
    <w:rsid w:val="00913281"/>
    <w:rsid w:val="0091368F"/>
    <w:rsid w:val="00913A7F"/>
    <w:rsid w:val="009148AD"/>
    <w:rsid w:val="00914C83"/>
    <w:rsid w:val="00914D8A"/>
    <w:rsid w:val="00915040"/>
    <w:rsid w:val="00915253"/>
    <w:rsid w:val="0091536E"/>
    <w:rsid w:val="00915588"/>
    <w:rsid w:val="00915666"/>
    <w:rsid w:val="009157A3"/>
    <w:rsid w:val="00915F9F"/>
    <w:rsid w:val="00916076"/>
    <w:rsid w:val="0091623F"/>
    <w:rsid w:val="0091625D"/>
    <w:rsid w:val="009164CC"/>
    <w:rsid w:val="0091667D"/>
    <w:rsid w:val="009167CD"/>
    <w:rsid w:val="00916F69"/>
    <w:rsid w:val="00917649"/>
    <w:rsid w:val="009202FE"/>
    <w:rsid w:val="00920CA9"/>
    <w:rsid w:val="00920CD5"/>
    <w:rsid w:val="00920ED4"/>
    <w:rsid w:val="009212DD"/>
    <w:rsid w:val="00921358"/>
    <w:rsid w:val="00921DE2"/>
    <w:rsid w:val="00921F4F"/>
    <w:rsid w:val="009225AA"/>
    <w:rsid w:val="00922820"/>
    <w:rsid w:val="00922827"/>
    <w:rsid w:val="00922BD0"/>
    <w:rsid w:val="00922E96"/>
    <w:rsid w:val="00923598"/>
    <w:rsid w:val="009237C9"/>
    <w:rsid w:val="00923C63"/>
    <w:rsid w:val="00923F6C"/>
    <w:rsid w:val="00924577"/>
    <w:rsid w:val="0092474D"/>
    <w:rsid w:val="00924C67"/>
    <w:rsid w:val="00924D9B"/>
    <w:rsid w:val="009254C9"/>
    <w:rsid w:val="0092552F"/>
    <w:rsid w:val="00925C63"/>
    <w:rsid w:val="00925E32"/>
    <w:rsid w:val="00925EA2"/>
    <w:rsid w:val="00925EB2"/>
    <w:rsid w:val="00926326"/>
    <w:rsid w:val="00926653"/>
    <w:rsid w:val="009275E8"/>
    <w:rsid w:val="00927678"/>
    <w:rsid w:val="009277D0"/>
    <w:rsid w:val="009278D0"/>
    <w:rsid w:val="00927E5F"/>
    <w:rsid w:val="0093015E"/>
    <w:rsid w:val="0093073A"/>
    <w:rsid w:val="00930965"/>
    <w:rsid w:val="00930C15"/>
    <w:rsid w:val="00930DC0"/>
    <w:rsid w:val="00930F1F"/>
    <w:rsid w:val="0093109D"/>
    <w:rsid w:val="00931773"/>
    <w:rsid w:val="00932940"/>
    <w:rsid w:val="0093294B"/>
    <w:rsid w:val="0093297E"/>
    <w:rsid w:val="0093375A"/>
    <w:rsid w:val="00933A25"/>
    <w:rsid w:val="00933AC4"/>
    <w:rsid w:val="00933F24"/>
    <w:rsid w:val="00934005"/>
    <w:rsid w:val="00934942"/>
    <w:rsid w:val="009350C8"/>
    <w:rsid w:val="0093522C"/>
    <w:rsid w:val="00935486"/>
    <w:rsid w:val="0093585D"/>
    <w:rsid w:val="00935B45"/>
    <w:rsid w:val="00935DC5"/>
    <w:rsid w:val="00936644"/>
    <w:rsid w:val="00936C08"/>
    <w:rsid w:val="0093736B"/>
    <w:rsid w:val="00937375"/>
    <w:rsid w:val="009375CA"/>
    <w:rsid w:val="00937F0A"/>
    <w:rsid w:val="009400FD"/>
    <w:rsid w:val="00940C50"/>
    <w:rsid w:val="00940C9D"/>
    <w:rsid w:val="009410F3"/>
    <w:rsid w:val="0094113E"/>
    <w:rsid w:val="0094163D"/>
    <w:rsid w:val="00941A5A"/>
    <w:rsid w:val="00942863"/>
    <w:rsid w:val="00942A34"/>
    <w:rsid w:val="00942CD8"/>
    <w:rsid w:val="00943A2D"/>
    <w:rsid w:val="00943C01"/>
    <w:rsid w:val="00944270"/>
    <w:rsid w:val="00944341"/>
    <w:rsid w:val="0094456E"/>
    <w:rsid w:val="00944BAB"/>
    <w:rsid w:val="00944DD6"/>
    <w:rsid w:val="00944EAC"/>
    <w:rsid w:val="00945199"/>
    <w:rsid w:val="009457FB"/>
    <w:rsid w:val="00945B96"/>
    <w:rsid w:val="00946209"/>
    <w:rsid w:val="00946376"/>
    <w:rsid w:val="0094726F"/>
    <w:rsid w:val="009478FD"/>
    <w:rsid w:val="00950580"/>
    <w:rsid w:val="00950617"/>
    <w:rsid w:val="00950B5B"/>
    <w:rsid w:val="00950D9F"/>
    <w:rsid w:val="00951A32"/>
    <w:rsid w:val="00951EA7"/>
    <w:rsid w:val="00951EAD"/>
    <w:rsid w:val="00952B71"/>
    <w:rsid w:val="00952BC1"/>
    <w:rsid w:val="00953314"/>
    <w:rsid w:val="00953660"/>
    <w:rsid w:val="0095398B"/>
    <w:rsid w:val="00953A7B"/>
    <w:rsid w:val="0095416B"/>
    <w:rsid w:val="00954343"/>
    <w:rsid w:val="0095444E"/>
    <w:rsid w:val="00954583"/>
    <w:rsid w:val="00954929"/>
    <w:rsid w:val="00954B77"/>
    <w:rsid w:val="00954C2E"/>
    <w:rsid w:val="00954D7F"/>
    <w:rsid w:val="009550A8"/>
    <w:rsid w:val="00955A21"/>
    <w:rsid w:val="00955BCB"/>
    <w:rsid w:val="00955DF9"/>
    <w:rsid w:val="009561A0"/>
    <w:rsid w:val="00956402"/>
    <w:rsid w:val="00956715"/>
    <w:rsid w:val="00956EF9"/>
    <w:rsid w:val="00957093"/>
    <w:rsid w:val="00957384"/>
    <w:rsid w:val="009575C2"/>
    <w:rsid w:val="0095767C"/>
    <w:rsid w:val="009601A6"/>
    <w:rsid w:val="009605BE"/>
    <w:rsid w:val="0096078E"/>
    <w:rsid w:val="00961072"/>
    <w:rsid w:val="009610DF"/>
    <w:rsid w:val="009620F8"/>
    <w:rsid w:val="00962A15"/>
    <w:rsid w:val="00962CE0"/>
    <w:rsid w:val="00962E99"/>
    <w:rsid w:val="00962F52"/>
    <w:rsid w:val="0096319F"/>
    <w:rsid w:val="0096338D"/>
    <w:rsid w:val="009633AC"/>
    <w:rsid w:val="009633DB"/>
    <w:rsid w:val="00963528"/>
    <w:rsid w:val="0096357D"/>
    <w:rsid w:val="009636C0"/>
    <w:rsid w:val="00963D06"/>
    <w:rsid w:val="00964B91"/>
    <w:rsid w:val="00964C29"/>
    <w:rsid w:val="00965749"/>
    <w:rsid w:val="00965A84"/>
    <w:rsid w:val="00966040"/>
    <w:rsid w:val="009663DF"/>
    <w:rsid w:val="009664CC"/>
    <w:rsid w:val="00966845"/>
    <w:rsid w:val="00966AF7"/>
    <w:rsid w:val="00966D15"/>
    <w:rsid w:val="00967279"/>
    <w:rsid w:val="00967CFA"/>
    <w:rsid w:val="009709B8"/>
    <w:rsid w:val="00970BCB"/>
    <w:rsid w:val="009713F0"/>
    <w:rsid w:val="0097158C"/>
    <w:rsid w:val="009715AF"/>
    <w:rsid w:val="00971B8A"/>
    <w:rsid w:val="009724C8"/>
    <w:rsid w:val="009729D8"/>
    <w:rsid w:val="00973347"/>
    <w:rsid w:val="0097375B"/>
    <w:rsid w:val="00973F72"/>
    <w:rsid w:val="00974993"/>
    <w:rsid w:val="00974CF3"/>
    <w:rsid w:val="00975299"/>
    <w:rsid w:val="00975358"/>
    <w:rsid w:val="00975474"/>
    <w:rsid w:val="00975D04"/>
    <w:rsid w:val="00975E95"/>
    <w:rsid w:val="00976012"/>
    <w:rsid w:val="0097642F"/>
    <w:rsid w:val="0097788C"/>
    <w:rsid w:val="0097788F"/>
    <w:rsid w:val="00977A35"/>
    <w:rsid w:val="00977F58"/>
    <w:rsid w:val="009808E7"/>
    <w:rsid w:val="00980B80"/>
    <w:rsid w:val="00980C39"/>
    <w:rsid w:val="00980EE6"/>
    <w:rsid w:val="0098120C"/>
    <w:rsid w:val="009813EA"/>
    <w:rsid w:val="009814EB"/>
    <w:rsid w:val="0098169E"/>
    <w:rsid w:val="00981E66"/>
    <w:rsid w:val="00981F73"/>
    <w:rsid w:val="00982F1D"/>
    <w:rsid w:val="00983239"/>
    <w:rsid w:val="00983C50"/>
    <w:rsid w:val="00983E09"/>
    <w:rsid w:val="0098415E"/>
    <w:rsid w:val="009848CC"/>
    <w:rsid w:val="009849DC"/>
    <w:rsid w:val="00984C67"/>
    <w:rsid w:val="009850A7"/>
    <w:rsid w:val="00985453"/>
    <w:rsid w:val="00985737"/>
    <w:rsid w:val="009858A0"/>
    <w:rsid w:val="00985B6A"/>
    <w:rsid w:val="00985B9A"/>
    <w:rsid w:val="00985BE7"/>
    <w:rsid w:val="00986119"/>
    <w:rsid w:val="00986421"/>
    <w:rsid w:val="00986601"/>
    <w:rsid w:val="009867F0"/>
    <w:rsid w:val="00986B24"/>
    <w:rsid w:val="00986B7C"/>
    <w:rsid w:val="00986C07"/>
    <w:rsid w:val="00987FA6"/>
    <w:rsid w:val="009906C4"/>
    <w:rsid w:val="00990702"/>
    <w:rsid w:val="00990872"/>
    <w:rsid w:val="00991207"/>
    <w:rsid w:val="009917CC"/>
    <w:rsid w:val="00991DAD"/>
    <w:rsid w:val="009921C3"/>
    <w:rsid w:val="00992E13"/>
    <w:rsid w:val="00993016"/>
    <w:rsid w:val="009933AC"/>
    <w:rsid w:val="00993AE7"/>
    <w:rsid w:val="00993B83"/>
    <w:rsid w:val="00994526"/>
    <w:rsid w:val="009946BD"/>
    <w:rsid w:val="00994B77"/>
    <w:rsid w:val="009953AE"/>
    <w:rsid w:val="009953E9"/>
    <w:rsid w:val="00995814"/>
    <w:rsid w:val="00995AB4"/>
    <w:rsid w:val="00995C26"/>
    <w:rsid w:val="00995CD3"/>
    <w:rsid w:val="009968C8"/>
    <w:rsid w:val="00996D88"/>
    <w:rsid w:val="0099715B"/>
    <w:rsid w:val="00997739"/>
    <w:rsid w:val="00997BEB"/>
    <w:rsid w:val="00997C35"/>
    <w:rsid w:val="00997E45"/>
    <w:rsid w:val="009A0E6E"/>
    <w:rsid w:val="009A22FD"/>
    <w:rsid w:val="009A23AD"/>
    <w:rsid w:val="009A23F9"/>
    <w:rsid w:val="009A24ED"/>
    <w:rsid w:val="009A290C"/>
    <w:rsid w:val="009A2C2F"/>
    <w:rsid w:val="009A2ED3"/>
    <w:rsid w:val="009A3632"/>
    <w:rsid w:val="009A369C"/>
    <w:rsid w:val="009A3A1E"/>
    <w:rsid w:val="009A3D7A"/>
    <w:rsid w:val="009A403C"/>
    <w:rsid w:val="009A41C7"/>
    <w:rsid w:val="009A49E3"/>
    <w:rsid w:val="009A5343"/>
    <w:rsid w:val="009A5642"/>
    <w:rsid w:val="009A5B15"/>
    <w:rsid w:val="009A6223"/>
    <w:rsid w:val="009A6700"/>
    <w:rsid w:val="009A6D64"/>
    <w:rsid w:val="009A7091"/>
    <w:rsid w:val="009A757E"/>
    <w:rsid w:val="009A785C"/>
    <w:rsid w:val="009B033E"/>
    <w:rsid w:val="009B080D"/>
    <w:rsid w:val="009B09C6"/>
    <w:rsid w:val="009B09D8"/>
    <w:rsid w:val="009B0D99"/>
    <w:rsid w:val="009B13E3"/>
    <w:rsid w:val="009B141F"/>
    <w:rsid w:val="009B149E"/>
    <w:rsid w:val="009B1766"/>
    <w:rsid w:val="009B25B9"/>
    <w:rsid w:val="009B267A"/>
    <w:rsid w:val="009B2BA7"/>
    <w:rsid w:val="009B2CCE"/>
    <w:rsid w:val="009B357B"/>
    <w:rsid w:val="009B3995"/>
    <w:rsid w:val="009B3B32"/>
    <w:rsid w:val="009B3D13"/>
    <w:rsid w:val="009B406E"/>
    <w:rsid w:val="009B4228"/>
    <w:rsid w:val="009B49E7"/>
    <w:rsid w:val="009B4EDC"/>
    <w:rsid w:val="009B6500"/>
    <w:rsid w:val="009B676A"/>
    <w:rsid w:val="009B6898"/>
    <w:rsid w:val="009B6B0C"/>
    <w:rsid w:val="009B6C86"/>
    <w:rsid w:val="009B727E"/>
    <w:rsid w:val="009B799F"/>
    <w:rsid w:val="009C03EA"/>
    <w:rsid w:val="009C0588"/>
    <w:rsid w:val="009C09BE"/>
    <w:rsid w:val="009C0BBB"/>
    <w:rsid w:val="009C0F84"/>
    <w:rsid w:val="009C16CC"/>
    <w:rsid w:val="009C173F"/>
    <w:rsid w:val="009C180F"/>
    <w:rsid w:val="009C1DBC"/>
    <w:rsid w:val="009C2240"/>
    <w:rsid w:val="009C22FF"/>
    <w:rsid w:val="009C2F46"/>
    <w:rsid w:val="009C31F8"/>
    <w:rsid w:val="009C3463"/>
    <w:rsid w:val="009C357F"/>
    <w:rsid w:val="009C3631"/>
    <w:rsid w:val="009C3706"/>
    <w:rsid w:val="009C3786"/>
    <w:rsid w:val="009C3BA4"/>
    <w:rsid w:val="009C48C0"/>
    <w:rsid w:val="009C4BD3"/>
    <w:rsid w:val="009C5179"/>
    <w:rsid w:val="009C53B5"/>
    <w:rsid w:val="009C5C33"/>
    <w:rsid w:val="009C5DBA"/>
    <w:rsid w:val="009C60F2"/>
    <w:rsid w:val="009C6916"/>
    <w:rsid w:val="009C6A5C"/>
    <w:rsid w:val="009C6AC7"/>
    <w:rsid w:val="009C6C49"/>
    <w:rsid w:val="009C6F06"/>
    <w:rsid w:val="009C6FF4"/>
    <w:rsid w:val="009C702D"/>
    <w:rsid w:val="009C77C0"/>
    <w:rsid w:val="009C7CC7"/>
    <w:rsid w:val="009D06FA"/>
    <w:rsid w:val="009D0757"/>
    <w:rsid w:val="009D0AB7"/>
    <w:rsid w:val="009D0DEF"/>
    <w:rsid w:val="009D15C3"/>
    <w:rsid w:val="009D1776"/>
    <w:rsid w:val="009D18D1"/>
    <w:rsid w:val="009D197D"/>
    <w:rsid w:val="009D1B6E"/>
    <w:rsid w:val="009D1E02"/>
    <w:rsid w:val="009D22C3"/>
    <w:rsid w:val="009D3267"/>
    <w:rsid w:val="009D3957"/>
    <w:rsid w:val="009D3B48"/>
    <w:rsid w:val="009D4145"/>
    <w:rsid w:val="009D4261"/>
    <w:rsid w:val="009D427F"/>
    <w:rsid w:val="009D4F7F"/>
    <w:rsid w:val="009D513C"/>
    <w:rsid w:val="009D52AB"/>
    <w:rsid w:val="009D55E9"/>
    <w:rsid w:val="009D5DFD"/>
    <w:rsid w:val="009D6025"/>
    <w:rsid w:val="009D6883"/>
    <w:rsid w:val="009D6D72"/>
    <w:rsid w:val="009D6E20"/>
    <w:rsid w:val="009D7208"/>
    <w:rsid w:val="009D7A58"/>
    <w:rsid w:val="009E0608"/>
    <w:rsid w:val="009E132D"/>
    <w:rsid w:val="009E1527"/>
    <w:rsid w:val="009E1C23"/>
    <w:rsid w:val="009E246E"/>
    <w:rsid w:val="009E2B8A"/>
    <w:rsid w:val="009E2D5D"/>
    <w:rsid w:val="009E337E"/>
    <w:rsid w:val="009E3DE6"/>
    <w:rsid w:val="009E3E38"/>
    <w:rsid w:val="009E3EB3"/>
    <w:rsid w:val="009E4B3F"/>
    <w:rsid w:val="009E4D30"/>
    <w:rsid w:val="009E5159"/>
    <w:rsid w:val="009E51D0"/>
    <w:rsid w:val="009E5302"/>
    <w:rsid w:val="009E573B"/>
    <w:rsid w:val="009E5D2B"/>
    <w:rsid w:val="009E631E"/>
    <w:rsid w:val="009E6545"/>
    <w:rsid w:val="009E6E08"/>
    <w:rsid w:val="009E78E6"/>
    <w:rsid w:val="009E790E"/>
    <w:rsid w:val="009F0453"/>
    <w:rsid w:val="009F0511"/>
    <w:rsid w:val="009F05E4"/>
    <w:rsid w:val="009F189A"/>
    <w:rsid w:val="009F189B"/>
    <w:rsid w:val="009F1C11"/>
    <w:rsid w:val="009F21A3"/>
    <w:rsid w:val="009F2B9A"/>
    <w:rsid w:val="009F2EA9"/>
    <w:rsid w:val="009F2FAC"/>
    <w:rsid w:val="009F33D4"/>
    <w:rsid w:val="009F398C"/>
    <w:rsid w:val="009F3E50"/>
    <w:rsid w:val="009F3EE4"/>
    <w:rsid w:val="009F435E"/>
    <w:rsid w:val="009F46D3"/>
    <w:rsid w:val="009F4CE1"/>
    <w:rsid w:val="009F4FAC"/>
    <w:rsid w:val="009F51A6"/>
    <w:rsid w:val="009F54AE"/>
    <w:rsid w:val="009F59D0"/>
    <w:rsid w:val="009F5B23"/>
    <w:rsid w:val="009F5B3D"/>
    <w:rsid w:val="009F5BD2"/>
    <w:rsid w:val="009F5E2A"/>
    <w:rsid w:val="009F625B"/>
    <w:rsid w:val="009F6451"/>
    <w:rsid w:val="009F6521"/>
    <w:rsid w:val="009F695F"/>
    <w:rsid w:val="009F69AF"/>
    <w:rsid w:val="009F69E2"/>
    <w:rsid w:val="009F6C96"/>
    <w:rsid w:val="009F724C"/>
    <w:rsid w:val="009F7AB3"/>
    <w:rsid w:val="00A0033E"/>
    <w:rsid w:val="00A00540"/>
    <w:rsid w:val="00A0063B"/>
    <w:rsid w:val="00A008A3"/>
    <w:rsid w:val="00A00EDE"/>
    <w:rsid w:val="00A019AB"/>
    <w:rsid w:val="00A01B64"/>
    <w:rsid w:val="00A01D58"/>
    <w:rsid w:val="00A02194"/>
    <w:rsid w:val="00A025D1"/>
    <w:rsid w:val="00A0280C"/>
    <w:rsid w:val="00A03616"/>
    <w:rsid w:val="00A0363D"/>
    <w:rsid w:val="00A037BD"/>
    <w:rsid w:val="00A04A09"/>
    <w:rsid w:val="00A05468"/>
    <w:rsid w:val="00A054F4"/>
    <w:rsid w:val="00A05552"/>
    <w:rsid w:val="00A05B7B"/>
    <w:rsid w:val="00A05CF6"/>
    <w:rsid w:val="00A05E7A"/>
    <w:rsid w:val="00A0611F"/>
    <w:rsid w:val="00A062BE"/>
    <w:rsid w:val="00A06346"/>
    <w:rsid w:val="00A06699"/>
    <w:rsid w:val="00A069E2"/>
    <w:rsid w:val="00A06E40"/>
    <w:rsid w:val="00A06F91"/>
    <w:rsid w:val="00A07056"/>
    <w:rsid w:val="00A072AE"/>
    <w:rsid w:val="00A0730F"/>
    <w:rsid w:val="00A07432"/>
    <w:rsid w:val="00A079D3"/>
    <w:rsid w:val="00A101C6"/>
    <w:rsid w:val="00A10267"/>
    <w:rsid w:val="00A10657"/>
    <w:rsid w:val="00A1065F"/>
    <w:rsid w:val="00A108B4"/>
    <w:rsid w:val="00A118E7"/>
    <w:rsid w:val="00A119A1"/>
    <w:rsid w:val="00A11BC6"/>
    <w:rsid w:val="00A11DE4"/>
    <w:rsid w:val="00A11F8A"/>
    <w:rsid w:val="00A126FB"/>
    <w:rsid w:val="00A127F5"/>
    <w:rsid w:val="00A12C51"/>
    <w:rsid w:val="00A12E91"/>
    <w:rsid w:val="00A13939"/>
    <w:rsid w:val="00A13C37"/>
    <w:rsid w:val="00A1413B"/>
    <w:rsid w:val="00A14E33"/>
    <w:rsid w:val="00A14FB5"/>
    <w:rsid w:val="00A1533F"/>
    <w:rsid w:val="00A15822"/>
    <w:rsid w:val="00A15C56"/>
    <w:rsid w:val="00A15DB5"/>
    <w:rsid w:val="00A16CDB"/>
    <w:rsid w:val="00A16E18"/>
    <w:rsid w:val="00A16FAB"/>
    <w:rsid w:val="00A17035"/>
    <w:rsid w:val="00A179B4"/>
    <w:rsid w:val="00A17B05"/>
    <w:rsid w:val="00A204E1"/>
    <w:rsid w:val="00A20D03"/>
    <w:rsid w:val="00A21977"/>
    <w:rsid w:val="00A21DB3"/>
    <w:rsid w:val="00A21E5E"/>
    <w:rsid w:val="00A21FDC"/>
    <w:rsid w:val="00A2304B"/>
    <w:rsid w:val="00A231C8"/>
    <w:rsid w:val="00A23A26"/>
    <w:rsid w:val="00A23CF3"/>
    <w:rsid w:val="00A23E86"/>
    <w:rsid w:val="00A24330"/>
    <w:rsid w:val="00A24BA7"/>
    <w:rsid w:val="00A24C27"/>
    <w:rsid w:val="00A24CB8"/>
    <w:rsid w:val="00A24F24"/>
    <w:rsid w:val="00A250C5"/>
    <w:rsid w:val="00A25BEA"/>
    <w:rsid w:val="00A264A5"/>
    <w:rsid w:val="00A264FE"/>
    <w:rsid w:val="00A2684F"/>
    <w:rsid w:val="00A26F84"/>
    <w:rsid w:val="00A27114"/>
    <w:rsid w:val="00A271DC"/>
    <w:rsid w:val="00A27603"/>
    <w:rsid w:val="00A27B30"/>
    <w:rsid w:val="00A27D49"/>
    <w:rsid w:val="00A30071"/>
    <w:rsid w:val="00A309B6"/>
    <w:rsid w:val="00A31047"/>
    <w:rsid w:val="00A31206"/>
    <w:rsid w:val="00A32345"/>
    <w:rsid w:val="00A32347"/>
    <w:rsid w:val="00A32B56"/>
    <w:rsid w:val="00A33175"/>
    <w:rsid w:val="00A3362F"/>
    <w:rsid w:val="00A3385C"/>
    <w:rsid w:val="00A3388D"/>
    <w:rsid w:val="00A33C2B"/>
    <w:rsid w:val="00A3402E"/>
    <w:rsid w:val="00A345A9"/>
    <w:rsid w:val="00A34D00"/>
    <w:rsid w:val="00A350ED"/>
    <w:rsid w:val="00A35193"/>
    <w:rsid w:val="00A3557E"/>
    <w:rsid w:val="00A355E5"/>
    <w:rsid w:val="00A35638"/>
    <w:rsid w:val="00A35B04"/>
    <w:rsid w:val="00A35E8E"/>
    <w:rsid w:val="00A364B3"/>
    <w:rsid w:val="00A364CD"/>
    <w:rsid w:val="00A36C72"/>
    <w:rsid w:val="00A377F4"/>
    <w:rsid w:val="00A37F94"/>
    <w:rsid w:val="00A37FA5"/>
    <w:rsid w:val="00A40341"/>
    <w:rsid w:val="00A403C9"/>
    <w:rsid w:val="00A4063C"/>
    <w:rsid w:val="00A4081F"/>
    <w:rsid w:val="00A40B51"/>
    <w:rsid w:val="00A40C99"/>
    <w:rsid w:val="00A40EA8"/>
    <w:rsid w:val="00A41095"/>
    <w:rsid w:val="00A41785"/>
    <w:rsid w:val="00A419A0"/>
    <w:rsid w:val="00A41C47"/>
    <w:rsid w:val="00A42929"/>
    <w:rsid w:val="00A431AE"/>
    <w:rsid w:val="00A435D2"/>
    <w:rsid w:val="00A43D5B"/>
    <w:rsid w:val="00A4423B"/>
    <w:rsid w:val="00A4483F"/>
    <w:rsid w:val="00A4487F"/>
    <w:rsid w:val="00A44A88"/>
    <w:rsid w:val="00A44BBD"/>
    <w:rsid w:val="00A44E03"/>
    <w:rsid w:val="00A455E3"/>
    <w:rsid w:val="00A4568E"/>
    <w:rsid w:val="00A45A17"/>
    <w:rsid w:val="00A45D3C"/>
    <w:rsid w:val="00A46436"/>
    <w:rsid w:val="00A4683D"/>
    <w:rsid w:val="00A4701B"/>
    <w:rsid w:val="00A4779D"/>
    <w:rsid w:val="00A47ADC"/>
    <w:rsid w:val="00A501D0"/>
    <w:rsid w:val="00A506B7"/>
    <w:rsid w:val="00A5070C"/>
    <w:rsid w:val="00A517C9"/>
    <w:rsid w:val="00A518BD"/>
    <w:rsid w:val="00A51A1D"/>
    <w:rsid w:val="00A51DD5"/>
    <w:rsid w:val="00A51E5A"/>
    <w:rsid w:val="00A5265D"/>
    <w:rsid w:val="00A526C4"/>
    <w:rsid w:val="00A52978"/>
    <w:rsid w:val="00A52BF6"/>
    <w:rsid w:val="00A53289"/>
    <w:rsid w:val="00A532FD"/>
    <w:rsid w:val="00A53A15"/>
    <w:rsid w:val="00A544EF"/>
    <w:rsid w:val="00A54813"/>
    <w:rsid w:val="00A54A34"/>
    <w:rsid w:val="00A55033"/>
    <w:rsid w:val="00A55746"/>
    <w:rsid w:val="00A5583D"/>
    <w:rsid w:val="00A55F9F"/>
    <w:rsid w:val="00A55FBA"/>
    <w:rsid w:val="00A5626D"/>
    <w:rsid w:val="00A56606"/>
    <w:rsid w:val="00A56B14"/>
    <w:rsid w:val="00A56D93"/>
    <w:rsid w:val="00A6067A"/>
    <w:rsid w:val="00A6068F"/>
    <w:rsid w:val="00A608EC"/>
    <w:rsid w:val="00A60AFD"/>
    <w:rsid w:val="00A60B56"/>
    <w:rsid w:val="00A60C7B"/>
    <w:rsid w:val="00A61085"/>
    <w:rsid w:val="00A615D3"/>
    <w:rsid w:val="00A61895"/>
    <w:rsid w:val="00A62023"/>
    <w:rsid w:val="00A63A98"/>
    <w:rsid w:val="00A64304"/>
    <w:rsid w:val="00A6494B"/>
    <w:rsid w:val="00A6536D"/>
    <w:rsid w:val="00A65794"/>
    <w:rsid w:val="00A65B41"/>
    <w:rsid w:val="00A666FB"/>
    <w:rsid w:val="00A66774"/>
    <w:rsid w:val="00A66921"/>
    <w:rsid w:val="00A66A02"/>
    <w:rsid w:val="00A66B64"/>
    <w:rsid w:val="00A67175"/>
    <w:rsid w:val="00A67662"/>
    <w:rsid w:val="00A67748"/>
    <w:rsid w:val="00A6778B"/>
    <w:rsid w:val="00A67BB2"/>
    <w:rsid w:val="00A70046"/>
    <w:rsid w:val="00A70DAB"/>
    <w:rsid w:val="00A716C5"/>
    <w:rsid w:val="00A718C3"/>
    <w:rsid w:val="00A71C23"/>
    <w:rsid w:val="00A71EF0"/>
    <w:rsid w:val="00A71FC9"/>
    <w:rsid w:val="00A7224F"/>
    <w:rsid w:val="00A724D4"/>
    <w:rsid w:val="00A7289B"/>
    <w:rsid w:val="00A728A1"/>
    <w:rsid w:val="00A72BA3"/>
    <w:rsid w:val="00A72E8B"/>
    <w:rsid w:val="00A73065"/>
    <w:rsid w:val="00A73099"/>
    <w:rsid w:val="00A73AEA"/>
    <w:rsid w:val="00A74847"/>
    <w:rsid w:val="00A74A51"/>
    <w:rsid w:val="00A74B64"/>
    <w:rsid w:val="00A74CEB"/>
    <w:rsid w:val="00A74F0A"/>
    <w:rsid w:val="00A7507C"/>
    <w:rsid w:val="00A754FB"/>
    <w:rsid w:val="00A75585"/>
    <w:rsid w:val="00A76162"/>
    <w:rsid w:val="00A7636C"/>
    <w:rsid w:val="00A764E3"/>
    <w:rsid w:val="00A7690C"/>
    <w:rsid w:val="00A774F8"/>
    <w:rsid w:val="00A77B97"/>
    <w:rsid w:val="00A77C8E"/>
    <w:rsid w:val="00A77DAE"/>
    <w:rsid w:val="00A8016C"/>
    <w:rsid w:val="00A803CA"/>
    <w:rsid w:val="00A803F7"/>
    <w:rsid w:val="00A80B80"/>
    <w:rsid w:val="00A8165B"/>
    <w:rsid w:val="00A81878"/>
    <w:rsid w:val="00A8226F"/>
    <w:rsid w:val="00A823CC"/>
    <w:rsid w:val="00A829BA"/>
    <w:rsid w:val="00A82BDB"/>
    <w:rsid w:val="00A83595"/>
    <w:rsid w:val="00A8398F"/>
    <w:rsid w:val="00A83BBB"/>
    <w:rsid w:val="00A8543F"/>
    <w:rsid w:val="00A85FEF"/>
    <w:rsid w:val="00A86002"/>
    <w:rsid w:val="00A86A46"/>
    <w:rsid w:val="00A86A90"/>
    <w:rsid w:val="00A86AF5"/>
    <w:rsid w:val="00A87660"/>
    <w:rsid w:val="00A877CF"/>
    <w:rsid w:val="00A90008"/>
    <w:rsid w:val="00A9046D"/>
    <w:rsid w:val="00A90AFB"/>
    <w:rsid w:val="00A90F6A"/>
    <w:rsid w:val="00A9103D"/>
    <w:rsid w:val="00A910E6"/>
    <w:rsid w:val="00A91258"/>
    <w:rsid w:val="00A91623"/>
    <w:rsid w:val="00A9175A"/>
    <w:rsid w:val="00A91BE1"/>
    <w:rsid w:val="00A91C0B"/>
    <w:rsid w:val="00A91E52"/>
    <w:rsid w:val="00A92542"/>
    <w:rsid w:val="00A9283D"/>
    <w:rsid w:val="00A93E47"/>
    <w:rsid w:val="00A93FDA"/>
    <w:rsid w:val="00A93FDF"/>
    <w:rsid w:val="00A9431F"/>
    <w:rsid w:val="00A94B34"/>
    <w:rsid w:val="00A953C4"/>
    <w:rsid w:val="00A963FD"/>
    <w:rsid w:val="00A9699F"/>
    <w:rsid w:val="00A9746F"/>
    <w:rsid w:val="00A974D8"/>
    <w:rsid w:val="00A9799C"/>
    <w:rsid w:val="00A97F5F"/>
    <w:rsid w:val="00A97F66"/>
    <w:rsid w:val="00AA03CB"/>
    <w:rsid w:val="00AA0E21"/>
    <w:rsid w:val="00AA0E3A"/>
    <w:rsid w:val="00AA0F1B"/>
    <w:rsid w:val="00AA110F"/>
    <w:rsid w:val="00AA14FB"/>
    <w:rsid w:val="00AA1527"/>
    <w:rsid w:val="00AA1BC7"/>
    <w:rsid w:val="00AA1C18"/>
    <w:rsid w:val="00AA1E38"/>
    <w:rsid w:val="00AA1FE8"/>
    <w:rsid w:val="00AA2060"/>
    <w:rsid w:val="00AA2092"/>
    <w:rsid w:val="00AA209B"/>
    <w:rsid w:val="00AA2DDB"/>
    <w:rsid w:val="00AA31F8"/>
    <w:rsid w:val="00AA38C8"/>
    <w:rsid w:val="00AA3AF1"/>
    <w:rsid w:val="00AA3B9F"/>
    <w:rsid w:val="00AA40E2"/>
    <w:rsid w:val="00AA4216"/>
    <w:rsid w:val="00AA46FB"/>
    <w:rsid w:val="00AA4936"/>
    <w:rsid w:val="00AA5645"/>
    <w:rsid w:val="00AA5D04"/>
    <w:rsid w:val="00AA6731"/>
    <w:rsid w:val="00AA687B"/>
    <w:rsid w:val="00AA68C7"/>
    <w:rsid w:val="00AA6FF1"/>
    <w:rsid w:val="00AA7461"/>
    <w:rsid w:val="00AA7548"/>
    <w:rsid w:val="00AA75B1"/>
    <w:rsid w:val="00AA7666"/>
    <w:rsid w:val="00AA7B91"/>
    <w:rsid w:val="00AA7D21"/>
    <w:rsid w:val="00AB0FAA"/>
    <w:rsid w:val="00AB1ABD"/>
    <w:rsid w:val="00AB21CC"/>
    <w:rsid w:val="00AB24D7"/>
    <w:rsid w:val="00AB2556"/>
    <w:rsid w:val="00AB25EB"/>
    <w:rsid w:val="00AB2636"/>
    <w:rsid w:val="00AB29B5"/>
    <w:rsid w:val="00AB2BE1"/>
    <w:rsid w:val="00AB306E"/>
    <w:rsid w:val="00AB30F5"/>
    <w:rsid w:val="00AB36CF"/>
    <w:rsid w:val="00AB3A52"/>
    <w:rsid w:val="00AB3A5C"/>
    <w:rsid w:val="00AB3FDF"/>
    <w:rsid w:val="00AB40FA"/>
    <w:rsid w:val="00AB4473"/>
    <w:rsid w:val="00AB45CA"/>
    <w:rsid w:val="00AB4CAE"/>
    <w:rsid w:val="00AB56D3"/>
    <w:rsid w:val="00AB5C99"/>
    <w:rsid w:val="00AB5D33"/>
    <w:rsid w:val="00AB6028"/>
    <w:rsid w:val="00AB6C0A"/>
    <w:rsid w:val="00AB70EE"/>
    <w:rsid w:val="00AB7264"/>
    <w:rsid w:val="00AB75C8"/>
    <w:rsid w:val="00AB7CEF"/>
    <w:rsid w:val="00AC0422"/>
    <w:rsid w:val="00AC0790"/>
    <w:rsid w:val="00AC08FD"/>
    <w:rsid w:val="00AC0F57"/>
    <w:rsid w:val="00AC12EC"/>
    <w:rsid w:val="00AC157A"/>
    <w:rsid w:val="00AC159D"/>
    <w:rsid w:val="00AC1E88"/>
    <w:rsid w:val="00AC287F"/>
    <w:rsid w:val="00AC2A45"/>
    <w:rsid w:val="00AC3479"/>
    <w:rsid w:val="00AC3A16"/>
    <w:rsid w:val="00AC4149"/>
    <w:rsid w:val="00AC463F"/>
    <w:rsid w:val="00AC4753"/>
    <w:rsid w:val="00AC4C62"/>
    <w:rsid w:val="00AC5068"/>
    <w:rsid w:val="00AC51BE"/>
    <w:rsid w:val="00AC57F1"/>
    <w:rsid w:val="00AC581C"/>
    <w:rsid w:val="00AC5B88"/>
    <w:rsid w:val="00AC5DEC"/>
    <w:rsid w:val="00AC5E0B"/>
    <w:rsid w:val="00AC63EC"/>
    <w:rsid w:val="00AC6703"/>
    <w:rsid w:val="00AC6EEA"/>
    <w:rsid w:val="00AC7861"/>
    <w:rsid w:val="00AC7873"/>
    <w:rsid w:val="00AD040F"/>
    <w:rsid w:val="00AD0AB8"/>
    <w:rsid w:val="00AD1022"/>
    <w:rsid w:val="00AD1890"/>
    <w:rsid w:val="00AD1C1A"/>
    <w:rsid w:val="00AD1F65"/>
    <w:rsid w:val="00AD2289"/>
    <w:rsid w:val="00AD3A16"/>
    <w:rsid w:val="00AD3C9F"/>
    <w:rsid w:val="00AD415B"/>
    <w:rsid w:val="00AD4253"/>
    <w:rsid w:val="00AD43A3"/>
    <w:rsid w:val="00AD4724"/>
    <w:rsid w:val="00AD4879"/>
    <w:rsid w:val="00AD4896"/>
    <w:rsid w:val="00AD55D4"/>
    <w:rsid w:val="00AD56A3"/>
    <w:rsid w:val="00AD6617"/>
    <w:rsid w:val="00AD6A60"/>
    <w:rsid w:val="00AD78F3"/>
    <w:rsid w:val="00AD7B3D"/>
    <w:rsid w:val="00AD7E65"/>
    <w:rsid w:val="00AE0086"/>
    <w:rsid w:val="00AE01C7"/>
    <w:rsid w:val="00AE0AF5"/>
    <w:rsid w:val="00AE11E0"/>
    <w:rsid w:val="00AE1287"/>
    <w:rsid w:val="00AE14F1"/>
    <w:rsid w:val="00AE165A"/>
    <w:rsid w:val="00AE1687"/>
    <w:rsid w:val="00AE1AC5"/>
    <w:rsid w:val="00AE23F7"/>
    <w:rsid w:val="00AE2A8F"/>
    <w:rsid w:val="00AE2BD5"/>
    <w:rsid w:val="00AE2CD2"/>
    <w:rsid w:val="00AE3609"/>
    <w:rsid w:val="00AE3835"/>
    <w:rsid w:val="00AE3DAC"/>
    <w:rsid w:val="00AE4696"/>
    <w:rsid w:val="00AE4840"/>
    <w:rsid w:val="00AE489B"/>
    <w:rsid w:val="00AE4B3F"/>
    <w:rsid w:val="00AE4C45"/>
    <w:rsid w:val="00AE4E32"/>
    <w:rsid w:val="00AE4EA5"/>
    <w:rsid w:val="00AE4EC3"/>
    <w:rsid w:val="00AE50B4"/>
    <w:rsid w:val="00AE5262"/>
    <w:rsid w:val="00AE55B5"/>
    <w:rsid w:val="00AE56A8"/>
    <w:rsid w:val="00AE5AB1"/>
    <w:rsid w:val="00AE5EA1"/>
    <w:rsid w:val="00AE5EC9"/>
    <w:rsid w:val="00AE6208"/>
    <w:rsid w:val="00AE6B57"/>
    <w:rsid w:val="00AE6D72"/>
    <w:rsid w:val="00AE6F07"/>
    <w:rsid w:val="00AE7079"/>
    <w:rsid w:val="00AE72A9"/>
    <w:rsid w:val="00AE76A6"/>
    <w:rsid w:val="00AE7959"/>
    <w:rsid w:val="00AE7BAF"/>
    <w:rsid w:val="00AF003F"/>
    <w:rsid w:val="00AF064C"/>
    <w:rsid w:val="00AF0B29"/>
    <w:rsid w:val="00AF130D"/>
    <w:rsid w:val="00AF1419"/>
    <w:rsid w:val="00AF1FB1"/>
    <w:rsid w:val="00AF2349"/>
    <w:rsid w:val="00AF23A5"/>
    <w:rsid w:val="00AF2520"/>
    <w:rsid w:val="00AF2AD1"/>
    <w:rsid w:val="00AF2FBC"/>
    <w:rsid w:val="00AF30ED"/>
    <w:rsid w:val="00AF3665"/>
    <w:rsid w:val="00AF39D1"/>
    <w:rsid w:val="00AF40FC"/>
    <w:rsid w:val="00AF4240"/>
    <w:rsid w:val="00AF4782"/>
    <w:rsid w:val="00AF48E5"/>
    <w:rsid w:val="00AF48F2"/>
    <w:rsid w:val="00AF4BE5"/>
    <w:rsid w:val="00AF4CF4"/>
    <w:rsid w:val="00AF50CA"/>
    <w:rsid w:val="00AF515E"/>
    <w:rsid w:val="00AF5355"/>
    <w:rsid w:val="00AF5438"/>
    <w:rsid w:val="00AF58A7"/>
    <w:rsid w:val="00AF72FF"/>
    <w:rsid w:val="00AF73D3"/>
    <w:rsid w:val="00AF757E"/>
    <w:rsid w:val="00AF78C7"/>
    <w:rsid w:val="00AF7D19"/>
    <w:rsid w:val="00B0025A"/>
    <w:rsid w:val="00B00953"/>
    <w:rsid w:val="00B00A57"/>
    <w:rsid w:val="00B00A84"/>
    <w:rsid w:val="00B00E1F"/>
    <w:rsid w:val="00B00EDC"/>
    <w:rsid w:val="00B016AD"/>
    <w:rsid w:val="00B018AF"/>
    <w:rsid w:val="00B01C25"/>
    <w:rsid w:val="00B020A9"/>
    <w:rsid w:val="00B0355E"/>
    <w:rsid w:val="00B0384B"/>
    <w:rsid w:val="00B03CE6"/>
    <w:rsid w:val="00B03D1C"/>
    <w:rsid w:val="00B03FE1"/>
    <w:rsid w:val="00B04120"/>
    <w:rsid w:val="00B04A67"/>
    <w:rsid w:val="00B04DB2"/>
    <w:rsid w:val="00B050FE"/>
    <w:rsid w:val="00B0528E"/>
    <w:rsid w:val="00B054D4"/>
    <w:rsid w:val="00B05AA5"/>
    <w:rsid w:val="00B05B7A"/>
    <w:rsid w:val="00B05C8B"/>
    <w:rsid w:val="00B05EEA"/>
    <w:rsid w:val="00B05F25"/>
    <w:rsid w:val="00B0658E"/>
    <w:rsid w:val="00B0665B"/>
    <w:rsid w:val="00B06F25"/>
    <w:rsid w:val="00B07212"/>
    <w:rsid w:val="00B103DC"/>
    <w:rsid w:val="00B10565"/>
    <w:rsid w:val="00B1065F"/>
    <w:rsid w:val="00B10B9A"/>
    <w:rsid w:val="00B110BD"/>
    <w:rsid w:val="00B11C3C"/>
    <w:rsid w:val="00B1201C"/>
    <w:rsid w:val="00B1253A"/>
    <w:rsid w:val="00B13277"/>
    <w:rsid w:val="00B1334D"/>
    <w:rsid w:val="00B13408"/>
    <w:rsid w:val="00B13594"/>
    <w:rsid w:val="00B136A1"/>
    <w:rsid w:val="00B136AC"/>
    <w:rsid w:val="00B138CF"/>
    <w:rsid w:val="00B13E64"/>
    <w:rsid w:val="00B13EF1"/>
    <w:rsid w:val="00B140BC"/>
    <w:rsid w:val="00B1446B"/>
    <w:rsid w:val="00B1458E"/>
    <w:rsid w:val="00B151F7"/>
    <w:rsid w:val="00B152CF"/>
    <w:rsid w:val="00B16BF8"/>
    <w:rsid w:val="00B16CD2"/>
    <w:rsid w:val="00B16EEA"/>
    <w:rsid w:val="00B1753D"/>
    <w:rsid w:val="00B17651"/>
    <w:rsid w:val="00B17764"/>
    <w:rsid w:val="00B17828"/>
    <w:rsid w:val="00B178F4"/>
    <w:rsid w:val="00B2009A"/>
    <w:rsid w:val="00B20131"/>
    <w:rsid w:val="00B20346"/>
    <w:rsid w:val="00B2045D"/>
    <w:rsid w:val="00B20582"/>
    <w:rsid w:val="00B206FF"/>
    <w:rsid w:val="00B20BAC"/>
    <w:rsid w:val="00B20BC1"/>
    <w:rsid w:val="00B21BD1"/>
    <w:rsid w:val="00B22607"/>
    <w:rsid w:val="00B227D9"/>
    <w:rsid w:val="00B22D87"/>
    <w:rsid w:val="00B23153"/>
    <w:rsid w:val="00B2322E"/>
    <w:rsid w:val="00B23497"/>
    <w:rsid w:val="00B236BA"/>
    <w:rsid w:val="00B23718"/>
    <w:rsid w:val="00B23831"/>
    <w:rsid w:val="00B23A8E"/>
    <w:rsid w:val="00B23B64"/>
    <w:rsid w:val="00B24A2D"/>
    <w:rsid w:val="00B24A2F"/>
    <w:rsid w:val="00B2589C"/>
    <w:rsid w:val="00B25959"/>
    <w:rsid w:val="00B25F42"/>
    <w:rsid w:val="00B26260"/>
    <w:rsid w:val="00B26433"/>
    <w:rsid w:val="00B264D0"/>
    <w:rsid w:val="00B27009"/>
    <w:rsid w:val="00B271BF"/>
    <w:rsid w:val="00B302CE"/>
    <w:rsid w:val="00B305C2"/>
    <w:rsid w:val="00B3140F"/>
    <w:rsid w:val="00B3166C"/>
    <w:rsid w:val="00B31A3D"/>
    <w:rsid w:val="00B31BD2"/>
    <w:rsid w:val="00B326B7"/>
    <w:rsid w:val="00B327C2"/>
    <w:rsid w:val="00B328B3"/>
    <w:rsid w:val="00B32F4C"/>
    <w:rsid w:val="00B338CF"/>
    <w:rsid w:val="00B33D93"/>
    <w:rsid w:val="00B34875"/>
    <w:rsid w:val="00B348F5"/>
    <w:rsid w:val="00B34EF6"/>
    <w:rsid w:val="00B350D7"/>
    <w:rsid w:val="00B35474"/>
    <w:rsid w:val="00B35C27"/>
    <w:rsid w:val="00B35E72"/>
    <w:rsid w:val="00B3601E"/>
    <w:rsid w:val="00B362CA"/>
    <w:rsid w:val="00B36495"/>
    <w:rsid w:val="00B365DC"/>
    <w:rsid w:val="00B36707"/>
    <w:rsid w:val="00B36858"/>
    <w:rsid w:val="00B37CC2"/>
    <w:rsid w:val="00B37D87"/>
    <w:rsid w:val="00B4077E"/>
    <w:rsid w:val="00B40EE1"/>
    <w:rsid w:val="00B415A0"/>
    <w:rsid w:val="00B419B3"/>
    <w:rsid w:val="00B42650"/>
    <w:rsid w:val="00B428AE"/>
    <w:rsid w:val="00B42E7C"/>
    <w:rsid w:val="00B43090"/>
    <w:rsid w:val="00B43334"/>
    <w:rsid w:val="00B439BF"/>
    <w:rsid w:val="00B44105"/>
    <w:rsid w:val="00B442C2"/>
    <w:rsid w:val="00B4438E"/>
    <w:rsid w:val="00B44483"/>
    <w:rsid w:val="00B446B1"/>
    <w:rsid w:val="00B4489B"/>
    <w:rsid w:val="00B44A31"/>
    <w:rsid w:val="00B46AAD"/>
    <w:rsid w:val="00B47C30"/>
    <w:rsid w:val="00B47D4D"/>
    <w:rsid w:val="00B47DBA"/>
    <w:rsid w:val="00B5006A"/>
    <w:rsid w:val="00B50804"/>
    <w:rsid w:val="00B50DD8"/>
    <w:rsid w:val="00B50F10"/>
    <w:rsid w:val="00B51427"/>
    <w:rsid w:val="00B51BE8"/>
    <w:rsid w:val="00B51CEA"/>
    <w:rsid w:val="00B52A8C"/>
    <w:rsid w:val="00B52BAD"/>
    <w:rsid w:val="00B53050"/>
    <w:rsid w:val="00B53392"/>
    <w:rsid w:val="00B548D6"/>
    <w:rsid w:val="00B54C76"/>
    <w:rsid w:val="00B55861"/>
    <w:rsid w:val="00B55949"/>
    <w:rsid w:val="00B55AFF"/>
    <w:rsid w:val="00B55E50"/>
    <w:rsid w:val="00B56653"/>
    <w:rsid w:val="00B56B2A"/>
    <w:rsid w:val="00B56FF9"/>
    <w:rsid w:val="00B572A1"/>
    <w:rsid w:val="00B600FD"/>
    <w:rsid w:val="00B60706"/>
    <w:rsid w:val="00B60A53"/>
    <w:rsid w:val="00B61652"/>
    <w:rsid w:val="00B61DE3"/>
    <w:rsid w:val="00B61E1D"/>
    <w:rsid w:val="00B61ECB"/>
    <w:rsid w:val="00B63B69"/>
    <w:rsid w:val="00B64554"/>
    <w:rsid w:val="00B64C64"/>
    <w:rsid w:val="00B64D09"/>
    <w:rsid w:val="00B655F4"/>
    <w:rsid w:val="00B6591E"/>
    <w:rsid w:val="00B662F5"/>
    <w:rsid w:val="00B663DB"/>
    <w:rsid w:val="00B700E6"/>
    <w:rsid w:val="00B704DE"/>
    <w:rsid w:val="00B7160B"/>
    <w:rsid w:val="00B7175C"/>
    <w:rsid w:val="00B71804"/>
    <w:rsid w:val="00B71BDF"/>
    <w:rsid w:val="00B71ECA"/>
    <w:rsid w:val="00B726A9"/>
    <w:rsid w:val="00B72FB3"/>
    <w:rsid w:val="00B7353D"/>
    <w:rsid w:val="00B73901"/>
    <w:rsid w:val="00B73E19"/>
    <w:rsid w:val="00B7426C"/>
    <w:rsid w:val="00B744C9"/>
    <w:rsid w:val="00B74845"/>
    <w:rsid w:val="00B74A1A"/>
    <w:rsid w:val="00B74D29"/>
    <w:rsid w:val="00B753B6"/>
    <w:rsid w:val="00B7597B"/>
    <w:rsid w:val="00B7603E"/>
    <w:rsid w:val="00B76F7B"/>
    <w:rsid w:val="00B77273"/>
    <w:rsid w:val="00B773A6"/>
    <w:rsid w:val="00B77AC3"/>
    <w:rsid w:val="00B77B7F"/>
    <w:rsid w:val="00B77BBA"/>
    <w:rsid w:val="00B77CB1"/>
    <w:rsid w:val="00B77D66"/>
    <w:rsid w:val="00B77E14"/>
    <w:rsid w:val="00B800EB"/>
    <w:rsid w:val="00B801AD"/>
    <w:rsid w:val="00B80328"/>
    <w:rsid w:val="00B807CE"/>
    <w:rsid w:val="00B80C9D"/>
    <w:rsid w:val="00B80FD0"/>
    <w:rsid w:val="00B81933"/>
    <w:rsid w:val="00B81BEF"/>
    <w:rsid w:val="00B81FFB"/>
    <w:rsid w:val="00B8212D"/>
    <w:rsid w:val="00B82434"/>
    <w:rsid w:val="00B82BA9"/>
    <w:rsid w:val="00B82BD6"/>
    <w:rsid w:val="00B82D61"/>
    <w:rsid w:val="00B82EA1"/>
    <w:rsid w:val="00B837C0"/>
    <w:rsid w:val="00B83A0B"/>
    <w:rsid w:val="00B83A2D"/>
    <w:rsid w:val="00B844E4"/>
    <w:rsid w:val="00B84617"/>
    <w:rsid w:val="00B84653"/>
    <w:rsid w:val="00B8577D"/>
    <w:rsid w:val="00B85B32"/>
    <w:rsid w:val="00B85CB3"/>
    <w:rsid w:val="00B85E57"/>
    <w:rsid w:val="00B864ED"/>
    <w:rsid w:val="00B8673C"/>
    <w:rsid w:val="00B8674C"/>
    <w:rsid w:val="00B868B2"/>
    <w:rsid w:val="00B87024"/>
    <w:rsid w:val="00B8749D"/>
    <w:rsid w:val="00B87699"/>
    <w:rsid w:val="00B87A6A"/>
    <w:rsid w:val="00B87D3D"/>
    <w:rsid w:val="00B90267"/>
    <w:rsid w:val="00B9064E"/>
    <w:rsid w:val="00B907C4"/>
    <w:rsid w:val="00B915B3"/>
    <w:rsid w:val="00B91928"/>
    <w:rsid w:val="00B91E85"/>
    <w:rsid w:val="00B91EBB"/>
    <w:rsid w:val="00B9205C"/>
    <w:rsid w:val="00B92136"/>
    <w:rsid w:val="00B92B58"/>
    <w:rsid w:val="00B92FAF"/>
    <w:rsid w:val="00B93AFF"/>
    <w:rsid w:val="00B93D8A"/>
    <w:rsid w:val="00B945A8"/>
    <w:rsid w:val="00B94B1B"/>
    <w:rsid w:val="00B94EC3"/>
    <w:rsid w:val="00B94EC6"/>
    <w:rsid w:val="00B951CC"/>
    <w:rsid w:val="00B95F3E"/>
    <w:rsid w:val="00B96095"/>
    <w:rsid w:val="00B9609D"/>
    <w:rsid w:val="00B961AB"/>
    <w:rsid w:val="00B962A9"/>
    <w:rsid w:val="00B96F10"/>
    <w:rsid w:val="00B97393"/>
    <w:rsid w:val="00B97570"/>
    <w:rsid w:val="00B97B0B"/>
    <w:rsid w:val="00B97CF2"/>
    <w:rsid w:val="00BA01F6"/>
    <w:rsid w:val="00BA05CD"/>
    <w:rsid w:val="00BA0715"/>
    <w:rsid w:val="00BA07C6"/>
    <w:rsid w:val="00BA0ACF"/>
    <w:rsid w:val="00BA0B3A"/>
    <w:rsid w:val="00BA0E3D"/>
    <w:rsid w:val="00BA1481"/>
    <w:rsid w:val="00BA1531"/>
    <w:rsid w:val="00BA1630"/>
    <w:rsid w:val="00BA1B0A"/>
    <w:rsid w:val="00BA23FF"/>
    <w:rsid w:val="00BA24D3"/>
    <w:rsid w:val="00BA2530"/>
    <w:rsid w:val="00BA28C8"/>
    <w:rsid w:val="00BA3127"/>
    <w:rsid w:val="00BA38E4"/>
    <w:rsid w:val="00BA3C8D"/>
    <w:rsid w:val="00BA41B6"/>
    <w:rsid w:val="00BA447D"/>
    <w:rsid w:val="00BA46FD"/>
    <w:rsid w:val="00BA4BB6"/>
    <w:rsid w:val="00BA4E03"/>
    <w:rsid w:val="00BA54B6"/>
    <w:rsid w:val="00BA560C"/>
    <w:rsid w:val="00BA5704"/>
    <w:rsid w:val="00BA58C3"/>
    <w:rsid w:val="00BA5910"/>
    <w:rsid w:val="00BA5C47"/>
    <w:rsid w:val="00BA5D24"/>
    <w:rsid w:val="00BA6D38"/>
    <w:rsid w:val="00BA704E"/>
    <w:rsid w:val="00BA795C"/>
    <w:rsid w:val="00BB02E2"/>
    <w:rsid w:val="00BB0747"/>
    <w:rsid w:val="00BB0962"/>
    <w:rsid w:val="00BB097C"/>
    <w:rsid w:val="00BB0D5F"/>
    <w:rsid w:val="00BB119B"/>
    <w:rsid w:val="00BB1226"/>
    <w:rsid w:val="00BB1319"/>
    <w:rsid w:val="00BB14DC"/>
    <w:rsid w:val="00BB191E"/>
    <w:rsid w:val="00BB1E45"/>
    <w:rsid w:val="00BB25EC"/>
    <w:rsid w:val="00BB27DA"/>
    <w:rsid w:val="00BB28B1"/>
    <w:rsid w:val="00BB305F"/>
    <w:rsid w:val="00BB31E1"/>
    <w:rsid w:val="00BB33D8"/>
    <w:rsid w:val="00BB35FD"/>
    <w:rsid w:val="00BB3973"/>
    <w:rsid w:val="00BB39B1"/>
    <w:rsid w:val="00BB3B41"/>
    <w:rsid w:val="00BB3B80"/>
    <w:rsid w:val="00BB3CD3"/>
    <w:rsid w:val="00BB3D16"/>
    <w:rsid w:val="00BB3D6D"/>
    <w:rsid w:val="00BB4AF7"/>
    <w:rsid w:val="00BB4B03"/>
    <w:rsid w:val="00BB4D23"/>
    <w:rsid w:val="00BB4E3D"/>
    <w:rsid w:val="00BB4FA8"/>
    <w:rsid w:val="00BB5B04"/>
    <w:rsid w:val="00BB5E58"/>
    <w:rsid w:val="00BB5F0A"/>
    <w:rsid w:val="00BB668A"/>
    <w:rsid w:val="00BB67EE"/>
    <w:rsid w:val="00BB6FDE"/>
    <w:rsid w:val="00BB72E5"/>
    <w:rsid w:val="00BB74ED"/>
    <w:rsid w:val="00BB7682"/>
    <w:rsid w:val="00BB799D"/>
    <w:rsid w:val="00BB7AF9"/>
    <w:rsid w:val="00BB7CEC"/>
    <w:rsid w:val="00BB7E5D"/>
    <w:rsid w:val="00BC0098"/>
    <w:rsid w:val="00BC0492"/>
    <w:rsid w:val="00BC0F34"/>
    <w:rsid w:val="00BC1464"/>
    <w:rsid w:val="00BC1852"/>
    <w:rsid w:val="00BC1C2C"/>
    <w:rsid w:val="00BC1D1A"/>
    <w:rsid w:val="00BC264C"/>
    <w:rsid w:val="00BC2B7A"/>
    <w:rsid w:val="00BC34B6"/>
    <w:rsid w:val="00BC368B"/>
    <w:rsid w:val="00BC368D"/>
    <w:rsid w:val="00BC36C0"/>
    <w:rsid w:val="00BC3782"/>
    <w:rsid w:val="00BC3A04"/>
    <w:rsid w:val="00BC4447"/>
    <w:rsid w:val="00BC53BC"/>
    <w:rsid w:val="00BC5D29"/>
    <w:rsid w:val="00BC5DD7"/>
    <w:rsid w:val="00BC63A6"/>
    <w:rsid w:val="00BC659B"/>
    <w:rsid w:val="00BC683F"/>
    <w:rsid w:val="00BC6C6A"/>
    <w:rsid w:val="00BC6FEE"/>
    <w:rsid w:val="00BD0263"/>
    <w:rsid w:val="00BD0346"/>
    <w:rsid w:val="00BD09F0"/>
    <w:rsid w:val="00BD0E9A"/>
    <w:rsid w:val="00BD0ED0"/>
    <w:rsid w:val="00BD168D"/>
    <w:rsid w:val="00BD17E8"/>
    <w:rsid w:val="00BD18A0"/>
    <w:rsid w:val="00BD196E"/>
    <w:rsid w:val="00BD1B78"/>
    <w:rsid w:val="00BD1F3B"/>
    <w:rsid w:val="00BD2034"/>
    <w:rsid w:val="00BD21F9"/>
    <w:rsid w:val="00BD27C5"/>
    <w:rsid w:val="00BD3C74"/>
    <w:rsid w:val="00BD3E0A"/>
    <w:rsid w:val="00BD4195"/>
    <w:rsid w:val="00BD5065"/>
    <w:rsid w:val="00BD513B"/>
    <w:rsid w:val="00BD52D9"/>
    <w:rsid w:val="00BD5380"/>
    <w:rsid w:val="00BD582A"/>
    <w:rsid w:val="00BD5858"/>
    <w:rsid w:val="00BD5CDE"/>
    <w:rsid w:val="00BD5E69"/>
    <w:rsid w:val="00BD5E82"/>
    <w:rsid w:val="00BD5E88"/>
    <w:rsid w:val="00BD5EC4"/>
    <w:rsid w:val="00BD5EEE"/>
    <w:rsid w:val="00BD6611"/>
    <w:rsid w:val="00BD6704"/>
    <w:rsid w:val="00BD678A"/>
    <w:rsid w:val="00BD6E63"/>
    <w:rsid w:val="00BD745B"/>
    <w:rsid w:val="00BE101C"/>
    <w:rsid w:val="00BE1092"/>
    <w:rsid w:val="00BE11BB"/>
    <w:rsid w:val="00BE14EF"/>
    <w:rsid w:val="00BE1898"/>
    <w:rsid w:val="00BE1D5A"/>
    <w:rsid w:val="00BE22C8"/>
    <w:rsid w:val="00BE2559"/>
    <w:rsid w:val="00BE2E2F"/>
    <w:rsid w:val="00BE301F"/>
    <w:rsid w:val="00BE3155"/>
    <w:rsid w:val="00BE3236"/>
    <w:rsid w:val="00BE3412"/>
    <w:rsid w:val="00BE37A0"/>
    <w:rsid w:val="00BE3A74"/>
    <w:rsid w:val="00BE3D36"/>
    <w:rsid w:val="00BE403A"/>
    <w:rsid w:val="00BE4054"/>
    <w:rsid w:val="00BE461D"/>
    <w:rsid w:val="00BE4CB8"/>
    <w:rsid w:val="00BE5908"/>
    <w:rsid w:val="00BE5966"/>
    <w:rsid w:val="00BE6910"/>
    <w:rsid w:val="00BE6CFE"/>
    <w:rsid w:val="00BE6DB3"/>
    <w:rsid w:val="00BE77F3"/>
    <w:rsid w:val="00BE793D"/>
    <w:rsid w:val="00BE7B9E"/>
    <w:rsid w:val="00BE7C6F"/>
    <w:rsid w:val="00BE7CAF"/>
    <w:rsid w:val="00BE7F01"/>
    <w:rsid w:val="00BF077E"/>
    <w:rsid w:val="00BF0953"/>
    <w:rsid w:val="00BF1423"/>
    <w:rsid w:val="00BF1443"/>
    <w:rsid w:val="00BF1CC4"/>
    <w:rsid w:val="00BF2686"/>
    <w:rsid w:val="00BF273C"/>
    <w:rsid w:val="00BF27BE"/>
    <w:rsid w:val="00BF28F4"/>
    <w:rsid w:val="00BF2AB1"/>
    <w:rsid w:val="00BF2E0E"/>
    <w:rsid w:val="00BF2E83"/>
    <w:rsid w:val="00BF3061"/>
    <w:rsid w:val="00BF33BF"/>
    <w:rsid w:val="00BF36B3"/>
    <w:rsid w:val="00BF3B0E"/>
    <w:rsid w:val="00BF3CFC"/>
    <w:rsid w:val="00BF40F2"/>
    <w:rsid w:val="00BF440A"/>
    <w:rsid w:val="00BF4B45"/>
    <w:rsid w:val="00BF4F39"/>
    <w:rsid w:val="00BF5484"/>
    <w:rsid w:val="00BF5508"/>
    <w:rsid w:val="00BF5837"/>
    <w:rsid w:val="00BF595B"/>
    <w:rsid w:val="00BF59CD"/>
    <w:rsid w:val="00BF6371"/>
    <w:rsid w:val="00BF670A"/>
    <w:rsid w:val="00BF685B"/>
    <w:rsid w:val="00BF6C96"/>
    <w:rsid w:val="00BF6D89"/>
    <w:rsid w:val="00BF722B"/>
    <w:rsid w:val="00BF79C0"/>
    <w:rsid w:val="00BF7A87"/>
    <w:rsid w:val="00C00118"/>
    <w:rsid w:val="00C00869"/>
    <w:rsid w:val="00C00CC5"/>
    <w:rsid w:val="00C01830"/>
    <w:rsid w:val="00C018B9"/>
    <w:rsid w:val="00C01AB6"/>
    <w:rsid w:val="00C01B8C"/>
    <w:rsid w:val="00C02149"/>
    <w:rsid w:val="00C026B0"/>
    <w:rsid w:val="00C02764"/>
    <w:rsid w:val="00C027F5"/>
    <w:rsid w:val="00C0296F"/>
    <w:rsid w:val="00C02B9C"/>
    <w:rsid w:val="00C02DC7"/>
    <w:rsid w:val="00C033D6"/>
    <w:rsid w:val="00C035E8"/>
    <w:rsid w:val="00C037E0"/>
    <w:rsid w:val="00C03E7A"/>
    <w:rsid w:val="00C04FF2"/>
    <w:rsid w:val="00C05022"/>
    <w:rsid w:val="00C05065"/>
    <w:rsid w:val="00C0547F"/>
    <w:rsid w:val="00C0548E"/>
    <w:rsid w:val="00C05EEE"/>
    <w:rsid w:val="00C063D5"/>
    <w:rsid w:val="00C063E9"/>
    <w:rsid w:val="00C06A07"/>
    <w:rsid w:val="00C06D55"/>
    <w:rsid w:val="00C07804"/>
    <w:rsid w:val="00C078DB"/>
    <w:rsid w:val="00C07BD7"/>
    <w:rsid w:val="00C07DB0"/>
    <w:rsid w:val="00C10174"/>
    <w:rsid w:val="00C10653"/>
    <w:rsid w:val="00C1071C"/>
    <w:rsid w:val="00C108DE"/>
    <w:rsid w:val="00C11297"/>
    <w:rsid w:val="00C1164C"/>
    <w:rsid w:val="00C117B7"/>
    <w:rsid w:val="00C1180C"/>
    <w:rsid w:val="00C11F20"/>
    <w:rsid w:val="00C1203C"/>
    <w:rsid w:val="00C12179"/>
    <w:rsid w:val="00C12A78"/>
    <w:rsid w:val="00C12D7E"/>
    <w:rsid w:val="00C130F3"/>
    <w:rsid w:val="00C13C37"/>
    <w:rsid w:val="00C13CF6"/>
    <w:rsid w:val="00C13EEE"/>
    <w:rsid w:val="00C13FCE"/>
    <w:rsid w:val="00C142BD"/>
    <w:rsid w:val="00C142DE"/>
    <w:rsid w:val="00C142FD"/>
    <w:rsid w:val="00C14309"/>
    <w:rsid w:val="00C1480D"/>
    <w:rsid w:val="00C14AC4"/>
    <w:rsid w:val="00C14BEB"/>
    <w:rsid w:val="00C1580B"/>
    <w:rsid w:val="00C15932"/>
    <w:rsid w:val="00C16135"/>
    <w:rsid w:val="00C16457"/>
    <w:rsid w:val="00C16594"/>
    <w:rsid w:val="00C1668F"/>
    <w:rsid w:val="00C16970"/>
    <w:rsid w:val="00C16A63"/>
    <w:rsid w:val="00C171C3"/>
    <w:rsid w:val="00C1726B"/>
    <w:rsid w:val="00C17346"/>
    <w:rsid w:val="00C175CB"/>
    <w:rsid w:val="00C17731"/>
    <w:rsid w:val="00C17739"/>
    <w:rsid w:val="00C17A0B"/>
    <w:rsid w:val="00C17B3A"/>
    <w:rsid w:val="00C20903"/>
    <w:rsid w:val="00C20AFE"/>
    <w:rsid w:val="00C21B9E"/>
    <w:rsid w:val="00C222E0"/>
    <w:rsid w:val="00C2274A"/>
    <w:rsid w:val="00C22A92"/>
    <w:rsid w:val="00C22BE9"/>
    <w:rsid w:val="00C22FE0"/>
    <w:rsid w:val="00C232AC"/>
    <w:rsid w:val="00C23478"/>
    <w:rsid w:val="00C237E2"/>
    <w:rsid w:val="00C239D4"/>
    <w:rsid w:val="00C23CEE"/>
    <w:rsid w:val="00C24C14"/>
    <w:rsid w:val="00C24C19"/>
    <w:rsid w:val="00C25A27"/>
    <w:rsid w:val="00C25C09"/>
    <w:rsid w:val="00C2602F"/>
    <w:rsid w:val="00C265A5"/>
    <w:rsid w:val="00C26907"/>
    <w:rsid w:val="00C269E7"/>
    <w:rsid w:val="00C26CCE"/>
    <w:rsid w:val="00C26FE7"/>
    <w:rsid w:val="00C2734B"/>
    <w:rsid w:val="00C275BA"/>
    <w:rsid w:val="00C27788"/>
    <w:rsid w:val="00C2796C"/>
    <w:rsid w:val="00C27E9A"/>
    <w:rsid w:val="00C27F99"/>
    <w:rsid w:val="00C30899"/>
    <w:rsid w:val="00C3092B"/>
    <w:rsid w:val="00C30CE2"/>
    <w:rsid w:val="00C30FE6"/>
    <w:rsid w:val="00C31085"/>
    <w:rsid w:val="00C31759"/>
    <w:rsid w:val="00C32491"/>
    <w:rsid w:val="00C32D95"/>
    <w:rsid w:val="00C32E16"/>
    <w:rsid w:val="00C32E97"/>
    <w:rsid w:val="00C33903"/>
    <w:rsid w:val="00C339F7"/>
    <w:rsid w:val="00C33C5C"/>
    <w:rsid w:val="00C33C64"/>
    <w:rsid w:val="00C33D4A"/>
    <w:rsid w:val="00C33F77"/>
    <w:rsid w:val="00C33F96"/>
    <w:rsid w:val="00C348AF"/>
    <w:rsid w:val="00C350AC"/>
    <w:rsid w:val="00C353DA"/>
    <w:rsid w:val="00C354E7"/>
    <w:rsid w:val="00C35773"/>
    <w:rsid w:val="00C359F3"/>
    <w:rsid w:val="00C35CB2"/>
    <w:rsid w:val="00C3691A"/>
    <w:rsid w:val="00C36AC7"/>
    <w:rsid w:val="00C36F65"/>
    <w:rsid w:val="00C37460"/>
    <w:rsid w:val="00C37473"/>
    <w:rsid w:val="00C37B6E"/>
    <w:rsid w:val="00C37FE8"/>
    <w:rsid w:val="00C4016D"/>
    <w:rsid w:val="00C406E8"/>
    <w:rsid w:val="00C408D5"/>
    <w:rsid w:val="00C40EFD"/>
    <w:rsid w:val="00C41785"/>
    <w:rsid w:val="00C4184F"/>
    <w:rsid w:val="00C420FD"/>
    <w:rsid w:val="00C426C7"/>
    <w:rsid w:val="00C42833"/>
    <w:rsid w:val="00C42A84"/>
    <w:rsid w:val="00C42C9F"/>
    <w:rsid w:val="00C42CB8"/>
    <w:rsid w:val="00C437B9"/>
    <w:rsid w:val="00C43822"/>
    <w:rsid w:val="00C43A8E"/>
    <w:rsid w:val="00C43EF2"/>
    <w:rsid w:val="00C44546"/>
    <w:rsid w:val="00C44892"/>
    <w:rsid w:val="00C4496F"/>
    <w:rsid w:val="00C4534F"/>
    <w:rsid w:val="00C4556D"/>
    <w:rsid w:val="00C45601"/>
    <w:rsid w:val="00C45D8B"/>
    <w:rsid w:val="00C461AB"/>
    <w:rsid w:val="00C4657F"/>
    <w:rsid w:val="00C46991"/>
    <w:rsid w:val="00C46ECF"/>
    <w:rsid w:val="00C47551"/>
    <w:rsid w:val="00C47782"/>
    <w:rsid w:val="00C47D4A"/>
    <w:rsid w:val="00C47D93"/>
    <w:rsid w:val="00C47F70"/>
    <w:rsid w:val="00C50236"/>
    <w:rsid w:val="00C5026F"/>
    <w:rsid w:val="00C504F5"/>
    <w:rsid w:val="00C50A54"/>
    <w:rsid w:val="00C50B6C"/>
    <w:rsid w:val="00C50DB1"/>
    <w:rsid w:val="00C50ED4"/>
    <w:rsid w:val="00C50F7C"/>
    <w:rsid w:val="00C5128E"/>
    <w:rsid w:val="00C5154A"/>
    <w:rsid w:val="00C51D98"/>
    <w:rsid w:val="00C52081"/>
    <w:rsid w:val="00C5230A"/>
    <w:rsid w:val="00C52325"/>
    <w:rsid w:val="00C5236F"/>
    <w:rsid w:val="00C52631"/>
    <w:rsid w:val="00C526F1"/>
    <w:rsid w:val="00C52A49"/>
    <w:rsid w:val="00C53313"/>
    <w:rsid w:val="00C53382"/>
    <w:rsid w:val="00C53774"/>
    <w:rsid w:val="00C5381E"/>
    <w:rsid w:val="00C53DA6"/>
    <w:rsid w:val="00C53EE3"/>
    <w:rsid w:val="00C5402F"/>
    <w:rsid w:val="00C5547F"/>
    <w:rsid w:val="00C554D6"/>
    <w:rsid w:val="00C55C14"/>
    <w:rsid w:val="00C55C30"/>
    <w:rsid w:val="00C55D36"/>
    <w:rsid w:val="00C55D8F"/>
    <w:rsid w:val="00C56A3F"/>
    <w:rsid w:val="00C56C01"/>
    <w:rsid w:val="00C56CE8"/>
    <w:rsid w:val="00C56E15"/>
    <w:rsid w:val="00C57412"/>
    <w:rsid w:val="00C575F4"/>
    <w:rsid w:val="00C57B58"/>
    <w:rsid w:val="00C57C60"/>
    <w:rsid w:val="00C57CB2"/>
    <w:rsid w:val="00C60534"/>
    <w:rsid w:val="00C607A5"/>
    <w:rsid w:val="00C6093E"/>
    <w:rsid w:val="00C60996"/>
    <w:rsid w:val="00C6115D"/>
    <w:rsid w:val="00C61552"/>
    <w:rsid w:val="00C61681"/>
    <w:rsid w:val="00C623C1"/>
    <w:rsid w:val="00C624A7"/>
    <w:rsid w:val="00C62793"/>
    <w:rsid w:val="00C62CFD"/>
    <w:rsid w:val="00C62DAA"/>
    <w:rsid w:val="00C63043"/>
    <w:rsid w:val="00C635E9"/>
    <w:rsid w:val="00C636BB"/>
    <w:rsid w:val="00C63863"/>
    <w:rsid w:val="00C63DB6"/>
    <w:rsid w:val="00C63E15"/>
    <w:rsid w:val="00C63EB1"/>
    <w:rsid w:val="00C63FD9"/>
    <w:rsid w:val="00C640C7"/>
    <w:rsid w:val="00C641F9"/>
    <w:rsid w:val="00C64602"/>
    <w:rsid w:val="00C64FE7"/>
    <w:rsid w:val="00C651F8"/>
    <w:rsid w:val="00C6548C"/>
    <w:rsid w:val="00C65630"/>
    <w:rsid w:val="00C65B35"/>
    <w:rsid w:val="00C65BA8"/>
    <w:rsid w:val="00C65CE9"/>
    <w:rsid w:val="00C6632B"/>
    <w:rsid w:val="00C665AB"/>
    <w:rsid w:val="00C66F82"/>
    <w:rsid w:val="00C66FD7"/>
    <w:rsid w:val="00C670F4"/>
    <w:rsid w:val="00C67686"/>
    <w:rsid w:val="00C67945"/>
    <w:rsid w:val="00C67A0D"/>
    <w:rsid w:val="00C67AC6"/>
    <w:rsid w:val="00C67C4A"/>
    <w:rsid w:val="00C7021B"/>
    <w:rsid w:val="00C70275"/>
    <w:rsid w:val="00C707B5"/>
    <w:rsid w:val="00C70C8D"/>
    <w:rsid w:val="00C70DDB"/>
    <w:rsid w:val="00C71026"/>
    <w:rsid w:val="00C7135A"/>
    <w:rsid w:val="00C715C9"/>
    <w:rsid w:val="00C71716"/>
    <w:rsid w:val="00C71D07"/>
    <w:rsid w:val="00C72158"/>
    <w:rsid w:val="00C7218B"/>
    <w:rsid w:val="00C72354"/>
    <w:rsid w:val="00C72811"/>
    <w:rsid w:val="00C72E3C"/>
    <w:rsid w:val="00C72E60"/>
    <w:rsid w:val="00C72F22"/>
    <w:rsid w:val="00C73107"/>
    <w:rsid w:val="00C73258"/>
    <w:rsid w:val="00C732D7"/>
    <w:rsid w:val="00C73B96"/>
    <w:rsid w:val="00C7417C"/>
    <w:rsid w:val="00C748B9"/>
    <w:rsid w:val="00C7490F"/>
    <w:rsid w:val="00C75183"/>
    <w:rsid w:val="00C751DA"/>
    <w:rsid w:val="00C758FD"/>
    <w:rsid w:val="00C7597D"/>
    <w:rsid w:val="00C76B98"/>
    <w:rsid w:val="00C772D9"/>
    <w:rsid w:val="00C776F1"/>
    <w:rsid w:val="00C77C14"/>
    <w:rsid w:val="00C77F37"/>
    <w:rsid w:val="00C804C3"/>
    <w:rsid w:val="00C80655"/>
    <w:rsid w:val="00C81443"/>
    <w:rsid w:val="00C8196A"/>
    <w:rsid w:val="00C81A2B"/>
    <w:rsid w:val="00C81B1F"/>
    <w:rsid w:val="00C81BEE"/>
    <w:rsid w:val="00C82915"/>
    <w:rsid w:val="00C82B42"/>
    <w:rsid w:val="00C82B92"/>
    <w:rsid w:val="00C82CCE"/>
    <w:rsid w:val="00C82CD5"/>
    <w:rsid w:val="00C831F8"/>
    <w:rsid w:val="00C8332F"/>
    <w:rsid w:val="00C835F7"/>
    <w:rsid w:val="00C839D2"/>
    <w:rsid w:val="00C83B70"/>
    <w:rsid w:val="00C83FA0"/>
    <w:rsid w:val="00C83FFF"/>
    <w:rsid w:val="00C84842"/>
    <w:rsid w:val="00C84967"/>
    <w:rsid w:val="00C850BC"/>
    <w:rsid w:val="00C8529F"/>
    <w:rsid w:val="00C8575E"/>
    <w:rsid w:val="00C85BBD"/>
    <w:rsid w:val="00C85D01"/>
    <w:rsid w:val="00C85FBF"/>
    <w:rsid w:val="00C8632A"/>
    <w:rsid w:val="00C869A0"/>
    <w:rsid w:val="00C8749C"/>
    <w:rsid w:val="00C87733"/>
    <w:rsid w:val="00C87A65"/>
    <w:rsid w:val="00C9020F"/>
    <w:rsid w:val="00C90564"/>
    <w:rsid w:val="00C9072C"/>
    <w:rsid w:val="00C908D1"/>
    <w:rsid w:val="00C90E88"/>
    <w:rsid w:val="00C91183"/>
    <w:rsid w:val="00C91751"/>
    <w:rsid w:val="00C919A7"/>
    <w:rsid w:val="00C91AFB"/>
    <w:rsid w:val="00C91C48"/>
    <w:rsid w:val="00C91CDF"/>
    <w:rsid w:val="00C91D43"/>
    <w:rsid w:val="00C91D46"/>
    <w:rsid w:val="00C923B0"/>
    <w:rsid w:val="00C92B43"/>
    <w:rsid w:val="00C92B62"/>
    <w:rsid w:val="00C935F8"/>
    <w:rsid w:val="00C93761"/>
    <w:rsid w:val="00C93BA7"/>
    <w:rsid w:val="00C93BBB"/>
    <w:rsid w:val="00C93BBC"/>
    <w:rsid w:val="00C93EAA"/>
    <w:rsid w:val="00C94034"/>
    <w:rsid w:val="00C944AF"/>
    <w:rsid w:val="00C94A25"/>
    <w:rsid w:val="00C9567B"/>
    <w:rsid w:val="00C961EE"/>
    <w:rsid w:val="00C9637C"/>
    <w:rsid w:val="00C964BD"/>
    <w:rsid w:val="00C9659F"/>
    <w:rsid w:val="00C96B30"/>
    <w:rsid w:val="00C971C3"/>
    <w:rsid w:val="00C97349"/>
    <w:rsid w:val="00C97815"/>
    <w:rsid w:val="00C9789D"/>
    <w:rsid w:val="00C97974"/>
    <w:rsid w:val="00C97E8F"/>
    <w:rsid w:val="00C97F4C"/>
    <w:rsid w:val="00CA0236"/>
    <w:rsid w:val="00CA0356"/>
    <w:rsid w:val="00CA0745"/>
    <w:rsid w:val="00CA0D94"/>
    <w:rsid w:val="00CA1068"/>
    <w:rsid w:val="00CA1665"/>
    <w:rsid w:val="00CA1BF1"/>
    <w:rsid w:val="00CA1CB0"/>
    <w:rsid w:val="00CA1F3F"/>
    <w:rsid w:val="00CA218F"/>
    <w:rsid w:val="00CA2A8A"/>
    <w:rsid w:val="00CA30B6"/>
    <w:rsid w:val="00CA3690"/>
    <w:rsid w:val="00CA3842"/>
    <w:rsid w:val="00CA390F"/>
    <w:rsid w:val="00CA3B67"/>
    <w:rsid w:val="00CA3CA2"/>
    <w:rsid w:val="00CA4092"/>
    <w:rsid w:val="00CA4181"/>
    <w:rsid w:val="00CA49F9"/>
    <w:rsid w:val="00CA4D51"/>
    <w:rsid w:val="00CA4D6E"/>
    <w:rsid w:val="00CA51E1"/>
    <w:rsid w:val="00CA53E2"/>
    <w:rsid w:val="00CA547A"/>
    <w:rsid w:val="00CA5888"/>
    <w:rsid w:val="00CA5A6F"/>
    <w:rsid w:val="00CA609D"/>
    <w:rsid w:val="00CA6111"/>
    <w:rsid w:val="00CA643E"/>
    <w:rsid w:val="00CA64EC"/>
    <w:rsid w:val="00CA6606"/>
    <w:rsid w:val="00CA6764"/>
    <w:rsid w:val="00CA77DA"/>
    <w:rsid w:val="00CA7B2B"/>
    <w:rsid w:val="00CA7CAE"/>
    <w:rsid w:val="00CB00F1"/>
    <w:rsid w:val="00CB02C5"/>
    <w:rsid w:val="00CB03E8"/>
    <w:rsid w:val="00CB0626"/>
    <w:rsid w:val="00CB0690"/>
    <w:rsid w:val="00CB0AC4"/>
    <w:rsid w:val="00CB0CC1"/>
    <w:rsid w:val="00CB0EEC"/>
    <w:rsid w:val="00CB1129"/>
    <w:rsid w:val="00CB1657"/>
    <w:rsid w:val="00CB2445"/>
    <w:rsid w:val="00CB2552"/>
    <w:rsid w:val="00CB25CD"/>
    <w:rsid w:val="00CB28B9"/>
    <w:rsid w:val="00CB2D75"/>
    <w:rsid w:val="00CB3226"/>
    <w:rsid w:val="00CB3455"/>
    <w:rsid w:val="00CB3665"/>
    <w:rsid w:val="00CB38F3"/>
    <w:rsid w:val="00CB3A23"/>
    <w:rsid w:val="00CB3B31"/>
    <w:rsid w:val="00CB45A1"/>
    <w:rsid w:val="00CB4747"/>
    <w:rsid w:val="00CB47FA"/>
    <w:rsid w:val="00CB48EF"/>
    <w:rsid w:val="00CB498A"/>
    <w:rsid w:val="00CB4C58"/>
    <w:rsid w:val="00CB4F0A"/>
    <w:rsid w:val="00CB4FC3"/>
    <w:rsid w:val="00CB5365"/>
    <w:rsid w:val="00CB61E4"/>
    <w:rsid w:val="00CB66F8"/>
    <w:rsid w:val="00CB7774"/>
    <w:rsid w:val="00CB7C38"/>
    <w:rsid w:val="00CB7D68"/>
    <w:rsid w:val="00CC057F"/>
    <w:rsid w:val="00CC0B6C"/>
    <w:rsid w:val="00CC1687"/>
    <w:rsid w:val="00CC1CD8"/>
    <w:rsid w:val="00CC2357"/>
    <w:rsid w:val="00CC295D"/>
    <w:rsid w:val="00CC2BA8"/>
    <w:rsid w:val="00CC2C7A"/>
    <w:rsid w:val="00CC2D4A"/>
    <w:rsid w:val="00CC347F"/>
    <w:rsid w:val="00CC35F1"/>
    <w:rsid w:val="00CC38B8"/>
    <w:rsid w:val="00CC3AF5"/>
    <w:rsid w:val="00CC3CEC"/>
    <w:rsid w:val="00CC415B"/>
    <w:rsid w:val="00CC4489"/>
    <w:rsid w:val="00CC48F4"/>
    <w:rsid w:val="00CC4C30"/>
    <w:rsid w:val="00CC5053"/>
    <w:rsid w:val="00CC5157"/>
    <w:rsid w:val="00CC51AE"/>
    <w:rsid w:val="00CC52B4"/>
    <w:rsid w:val="00CC55BE"/>
    <w:rsid w:val="00CC5CB6"/>
    <w:rsid w:val="00CC5E3C"/>
    <w:rsid w:val="00CC639C"/>
    <w:rsid w:val="00CC7736"/>
    <w:rsid w:val="00CC790C"/>
    <w:rsid w:val="00CC7940"/>
    <w:rsid w:val="00CC7D58"/>
    <w:rsid w:val="00CD0F54"/>
    <w:rsid w:val="00CD1221"/>
    <w:rsid w:val="00CD1E66"/>
    <w:rsid w:val="00CD1FD3"/>
    <w:rsid w:val="00CD23EC"/>
    <w:rsid w:val="00CD2558"/>
    <w:rsid w:val="00CD27C7"/>
    <w:rsid w:val="00CD296F"/>
    <w:rsid w:val="00CD2A5D"/>
    <w:rsid w:val="00CD2CDA"/>
    <w:rsid w:val="00CD3552"/>
    <w:rsid w:val="00CD3774"/>
    <w:rsid w:val="00CD3914"/>
    <w:rsid w:val="00CD3C56"/>
    <w:rsid w:val="00CD3F6D"/>
    <w:rsid w:val="00CD409A"/>
    <w:rsid w:val="00CD457A"/>
    <w:rsid w:val="00CD4922"/>
    <w:rsid w:val="00CD5572"/>
    <w:rsid w:val="00CD581E"/>
    <w:rsid w:val="00CD5EAC"/>
    <w:rsid w:val="00CD6235"/>
    <w:rsid w:val="00CD64A6"/>
    <w:rsid w:val="00CD6D53"/>
    <w:rsid w:val="00CD6E03"/>
    <w:rsid w:val="00CD6F45"/>
    <w:rsid w:val="00CD6FB9"/>
    <w:rsid w:val="00CD6FBC"/>
    <w:rsid w:val="00CD723A"/>
    <w:rsid w:val="00CD7513"/>
    <w:rsid w:val="00CD7563"/>
    <w:rsid w:val="00CD77B9"/>
    <w:rsid w:val="00CE0063"/>
    <w:rsid w:val="00CE0676"/>
    <w:rsid w:val="00CE0A40"/>
    <w:rsid w:val="00CE0B5A"/>
    <w:rsid w:val="00CE0EA3"/>
    <w:rsid w:val="00CE11A0"/>
    <w:rsid w:val="00CE1382"/>
    <w:rsid w:val="00CE1A51"/>
    <w:rsid w:val="00CE1BFD"/>
    <w:rsid w:val="00CE1C8E"/>
    <w:rsid w:val="00CE1CE0"/>
    <w:rsid w:val="00CE2230"/>
    <w:rsid w:val="00CE48C6"/>
    <w:rsid w:val="00CE48F2"/>
    <w:rsid w:val="00CE54E7"/>
    <w:rsid w:val="00CE5BCB"/>
    <w:rsid w:val="00CE5ECE"/>
    <w:rsid w:val="00CE6425"/>
    <w:rsid w:val="00CE6519"/>
    <w:rsid w:val="00CE6AB9"/>
    <w:rsid w:val="00CE77B6"/>
    <w:rsid w:val="00CE783F"/>
    <w:rsid w:val="00CE7C5D"/>
    <w:rsid w:val="00CF00E1"/>
    <w:rsid w:val="00CF04BF"/>
    <w:rsid w:val="00CF04F9"/>
    <w:rsid w:val="00CF1097"/>
    <w:rsid w:val="00CF117D"/>
    <w:rsid w:val="00CF1705"/>
    <w:rsid w:val="00CF1D77"/>
    <w:rsid w:val="00CF209D"/>
    <w:rsid w:val="00CF23D3"/>
    <w:rsid w:val="00CF263E"/>
    <w:rsid w:val="00CF264A"/>
    <w:rsid w:val="00CF2AF5"/>
    <w:rsid w:val="00CF31F3"/>
    <w:rsid w:val="00CF32BA"/>
    <w:rsid w:val="00CF3782"/>
    <w:rsid w:val="00CF37C7"/>
    <w:rsid w:val="00CF39B4"/>
    <w:rsid w:val="00CF3A6A"/>
    <w:rsid w:val="00CF4092"/>
    <w:rsid w:val="00CF4252"/>
    <w:rsid w:val="00CF4420"/>
    <w:rsid w:val="00CF4425"/>
    <w:rsid w:val="00CF44D3"/>
    <w:rsid w:val="00CF4912"/>
    <w:rsid w:val="00CF4C88"/>
    <w:rsid w:val="00CF4CD5"/>
    <w:rsid w:val="00CF4F20"/>
    <w:rsid w:val="00CF4F46"/>
    <w:rsid w:val="00CF5423"/>
    <w:rsid w:val="00CF5B14"/>
    <w:rsid w:val="00CF5E3D"/>
    <w:rsid w:val="00CF5FA2"/>
    <w:rsid w:val="00CF6688"/>
    <w:rsid w:val="00CF6896"/>
    <w:rsid w:val="00CF72AA"/>
    <w:rsid w:val="00CF7BE6"/>
    <w:rsid w:val="00D002F3"/>
    <w:rsid w:val="00D003A1"/>
    <w:rsid w:val="00D012C4"/>
    <w:rsid w:val="00D014E3"/>
    <w:rsid w:val="00D0185E"/>
    <w:rsid w:val="00D018A1"/>
    <w:rsid w:val="00D0197A"/>
    <w:rsid w:val="00D01A7A"/>
    <w:rsid w:val="00D01B92"/>
    <w:rsid w:val="00D01CCE"/>
    <w:rsid w:val="00D02272"/>
    <w:rsid w:val="00D0260C"/>
    <w:rsid w:val="00D028E7"/>
    <w:rsid w:val="00D029BC"/>
    <w:rsid w:val="00D02EE2"/>
    <w:rsid w:val="00D032D7"/>
    <w:rsid w:val="00D049B3"/>
    <w:rsid w:val="00D04A27"/>
    <w:rsid w:val="00D04B15"/>
    <w:rsid w:val="00D05141"/>
    <w:rsid w:val="00D05BDF"/>
    <w:rsid w:val="00D0609B"/>
    <w:rsid w:val="00D061F9"/>
    <w:rsid w:val="00D065A5"/>
    <w:rsid w:val="00D06942"/>
    <w:rsid w:val="00D06BAF"/>
    <w:rsid w:val="00D07054"/>
    <w:rsid w:val="00D071BA"/>
    <w:rsid w:val="00D07648"/>
    <w:rsid w:val="00D07CE5"/>
    <w:rsid w:val="00D07EDD"/>
    <w:rsid w:val="00D10110"/>
    <w:rsid w:val="00D1113C"/>
    <w:rsid w:val="00D11225"/>
    <w:rsid w:val="00D11332"/>
    <w:rsid w:val="00D1229B"/>
    <w:rsid w:val="00D1286C"/>
    <w:rsid w:val="00D13319"/>
    <w:rsid w:val="00D1348D"/>
    <w:rsid w:val="00D13554"/>
    <w:rsid w:val="00D1399E"/>
    <w:rsid w:val="00D13EDF"/>
    <w:rsid w:val="00D143B9"/>
    <w:rsid w:val="00D14508"/>
    <w:rsid w:val="00D14CA7"/>
    <w:rsid w:val="00D14D77"/>
    <w:rsid w:val="00D14DBA"/>
    <w:rsid w:val="00D157E1"/>
    <w:rsid w:val="00D15C96"/>
    <w:rsid w:val="00D16577"/>
    <w:rsid w:val="00D1683C"/>
    <w:rsid w:val="00D16877"/>
    <w:rsid w:val="00D16EAE"/>
    <w:rsid w:val="00D17AB8"/>
    <w:rsid w:val="00D17EAB"/>
    <w:rsid w:val="00D20043"/>
    <w:rsid w:val="00D20434"/>
    <w:rsid w:val="00D205A0"/>
    <w:rsid w:val="00D206B0"/>
    <w:rsid w:val="00D2084E"/>
    <w:rsid w:val="00D20B6B"/>
    <w:rsid w:val="00D20C97"/>
    <w:rsid w:val="00D20DFD"/>
    <w:rsid w:val="00D20E2F"/>
    <w:rsid w:val="00D21390"/>
    <w:rsid w:val="00D21AE4"/>
    <w:rsid w:val="00D23757"/>
    <w:rsid w:val="00D238F7"/>
    <w:rsid w:val="00D23F16"/>
    <w:rsid w:val="00D240EE"/>
    <w:rsid w:val="00D241EE"/>
    <w:rsid w:val="00D24735"/>
    <w:rsid w:val="00D24781"/>
    <w:rsid w:val="00D248D7"/>
    <w:rsid w:val="00D24C74"/>
    <w:rsid w:val="00D252B7"/>
    <w:rsid w:val="00D25582"/>
    <w:rsid w:val="00D258DA"/>
    <w:rsid w:val="00D259D9"/>
    <w:rsid w:val="00D25AE2"/>
    <w:rsid w:val="00D25CA6"/>
    <w:rsid w:val="00D26CED"/>
    <w:rsid w:val="00D27062"/>
    <w:rsid w:val="00D2739C"/>
    <w:rsid w:val="00D27996"/>
    <w:rsid w:val="00D30300"/>
    <w:rsid w:val="00D30680"/>
    <w:rsid w:val="00D30846"/>
    <w:rsid w:val="00D30D8E"/>
    <w:rsid w:val="00D30E5C"/>
    <w:rsid w:val="00D31095"/>
    <w:rsid w:val="00D3158F"/>
    <w:rsid w:val="00D31A31"/>
    <w:rsid w:val="00D3272F"/>
    <w:rsid w:val="00D3298F"/>
    <w:rsid w:val="00D32AAB"/>
    <w:rsid w:val="00D32DBC"/>
    <w:rsid w:val="00D336FD"/>
    <w:rsid w:val="00D3371F"/>
    <w:rsid w:val="00D33ADF"/>
    <w:rsid w:val="00D33C67"/>
    <w:rsid w:val="00D34475"/>
    <w:rsid w:val="00D345B5"/>
    <w:rsid w:val="00D3558E"/>
    <w:rsid w:val="00D3564B"/>
    <w:rsid w:val="00D356CB"/>
    <w:rsid w:val="00D3574F"/>
    <w:rsid w:val="00D35981"/>
    <w:rsid w:val="00D359E7"/>
    <w:rsid w:val="00D361D1"/>
    <w:rsid w:val="00D362B9"/>
    <w:rsid w:val="00D36712"/>
    <w:rsid w:val="00D36C98"/>
    <w:rsid w:val="00D36FDF"/>
    <w:rsid w:val="00D37230"/>
    <w:rsid w:val="00D37A70"/>
    <w:rsid w:val="00D37B58"/>
    <w:rsid w:val="00D37BE4"/>
    <w:rsid w:val="00D37F2F"/>
    <w:rsid w:val="00D37F58"/>
    <w:rsid w:val="00D40098"/>
    <w:rsid w:val="00D401A9"/>
    <w:rsid w:val="00D40398"/>
    <w:rsid w:val="00D405CD"/>
    <w:rsid w:val="00D4063F"/>
    <w:rsid w:val="00D40A7C"/>
    <w:rsid w:val="00D40D72"/>
    <w:rsid w:val="00D415AB"/>
    <w:rsid w:val="00D41C41"/>
    <w:rsid w:val="00D41E05"/>
    <w:rsid w:val="00D41ED7"/>
    <w:rsid w:val="00D41FE2"/>
    <w:rsid w:val="00D421B0"/>
    <w:rsid w:val="00D42CFC"/>
    <w:rsid w:val="00D4347F"/>
    <w:rsid w:val="00D43669"/>
    <w:rsid w:val="00D43989"/>
    <w:rsid w:val="00D43D4B"/>
    <w:rsid w:val="00D44160"/>
    <w:rsid w:val="00D4425C"/>
    <w:rsid w:val="00D442EA"/>
    <w:rsid w:val="00D444A6"/>
    <w:rsid w:val="00D44B5A"/>
    <w:rsid w:val="00D44E5D"/>
    <w:rsid w:val="00D4505C"/>
    <w:rsid w:val="00D453E6"/>
    <w:rsid w:val="00D45EB8"/>
    <w:rsid w:val="00D4618C"/>
    <w:rsid w:val="00D465C1"/>
    <w:rsid w:val="00D46DF6"/>
    <w:rsid w:val="00D47238"/>
    <w:rsid w:val="00D476A3"/>
    <w:rsid w:val="00D50060"/>
    <w:rsid w:val="00D500F3"/>
    <w:rsid w:val="00D50B19"/>
    <w:rsid w:val="00D5116A"/>
    <w:rsid w:val="00D51603"/>
    <w:rsid w:val="00D51CA6"/>
    <w:rsid w:val="00D52754"/>
    <w:rsid w:val="00D527F4"/>
    <w:rsid w:val="00D52BC7"/>
    <w:rsid w:val="00D52C2E"/>
    <w:rsid w:val="00D53D40"/>
    <w:rsid w:val="00D54B01"/>
    <w:rsid w:val="00D55191"/>
    <w:rsid w:val="00D55223"/>
    <w:rsid w:val="00D5550A"/>
    <w:rsid w:val="00D55626"/>
    <w:rsid w:val="00D558BE"/>
    <w:rsid w:val="00D563A8"/>
    <w:rsid w:val="00D565F0"/>
    <w:rsid w:val="00D572FD"/>
    <w:rsid w:val="00D57452"/>
    <w:rsid w:val="00D57C2C"/>
    <w:rsid w:val="00D60255"/>
    <w:rsid w:val="00D605F1"/>
    <w:rsid w:val="00D60863"/>
    <w:rsid w:val="00D60D83"/>
    <w:rsid w:val="00D60DC2"/>
    <w:rsid w:val="00D61631"/>
    <w:rsid w:val="00D61905"/>
    <w:rsid w:val="00D61953"/>
    <w:rsid w:val="00D61B0B"/>
    <w:rsid w:val="00D61C68"/>
    <w:rsid w:val="00D620FB"/>
    <w:rsid w:val="00D62356"/>
    <w:rsid w:val="00D62B38"/>
    <w:rsid w:val="00D62BD2"/>
    <w:rsid w:val="00D62EDF"/>
    <w:rsid w:val="00D631BC"/>
    <w:rsid w:val="00D63275"/>
    <w:rsid w:val="00D63E8E"/>
    <w:rsid w:val="00D64026"/>
    <w:rsid w:val="00D64218"/>
    <w:rsid w:val="00D6502F"/>
    <w:rsid w:val="00D65170"/>
    <w:rsid w:val="00D65286"/>
    <w:rsid w:val="00D65306"/>
    <w:rsid w:val="00D657C4"/>
    <w:rsid w:val="00D65896"/>
    <w:rsid w:val="00D65BBC"/>
    <w:rsid w:val="00D66CA2"/>
    <w:rsid w:val="00D66CF7"/>
    <w:rsid w:val="00D675D6"/>
    <w:rsid w:val="00D67BD7"/>
    <w:rsid w:val="00D67BEB"/>
    <w:rsid w:val="00D67D3E"/>
    <w:rsid w:val="00D67E19"/>
    <w:rsid w:val="00D67E58"/>
    <w:rsid w:val="00D67EEE"/>
    <w:rsid w:val="00D705B3"/>
    <w:rsid w:val="00D70755"/>
    <w:rsid w:val="00D70876"/>
    <w:rsid w:val="00D70985"/>
    <w:rsid w:val="00D7114A"/>
    <w:rsid w:val="00D717FD"/>
    <w:rsid w:val="00D71883"/>
    <w:rsid w:val="00D71896"/>
    <w:rsid w:val="00D718F6"/>
    <w:rsid w:val="00D719A4"/>
    <w:rsid w:val="00D7259A"/>
    <w:rsid w:val="00D72B87"/>
    <w:rsid w:val="00D73463"/>
    <w:rsid w:val="00D7367D"/>
    <w:rsid w:val="00D73799"/>
    <w:rsid w:val="00D73C31"/>
    <w:rsid w:val="00D73F9B"/>
    <w:rsid w:val="00D74304"/>
    <w:rsid w:val="00D74684"/>
    <w:rsid w:val="00D74C4D"/>
    <w:rsid w:val="00D7548E"/>
    <w:rsid w:val="00D755DF"/>
    <w:rsid w:val="00D7613A"/>
    <w:rsid w:val="00D7660B"/>
    <w:rsid w:val="00D77140"/>
    <w:rsid w:val="00D77567"/>
    <w:rsid w:val="00D775C2"/>
    <w:rsid w:val="00D77800"/>
    <w:rsid w:val="00D779C7"/>
    <w:rsid w:val="00D779D0"/>
    <w:rsid w:val="00D80224"/>
    <w:rsid w:val="00D803A5"/>
    <w:rsid w:val="00D804BD"/>
    <w:rsid w:val="00D80545"/>
    <w:rsid w:val="00D80610"/>
    <w:rsid w:val="00D809EB"/>
    <w:rsid w:val="00D80B74"/>
    <w:rsid w:val="00D80C7D"/>
    <w:rsid w:val="00D80ED8"/>
    <w:rsid w:val="00D81043"/>
    <w:rsid w:val="00D81A52"/>
    <w:rsid w:val="00D82252"/>
    <w:rsid w:val="00D82825"/>
    <w:rsid w:val="00D829C2"/>
    <w:rsid w:val="00D82A81"/>
    <w:rsid w:val="00D82A98"/>
    <w:rsid w:val="00D82BFB"/>
    <w:rsid w:val="00D8338A"/>
    <w:rsid w:val="00D83BE7"/>
    <w:rsid w:val="00D83DE9"/>
    <w:rsid w:val="00D83FC9"/>
    <w:rsid w:val="00D84389"/>
    <w:rsid w:val="00D84498"/>
    <w:rsid w:val="00D84FB6"/>
    <w:rsid w:val="00D85131"/>
    <w:rsid w:val="00D85262"/>
    <w:rsid w:val="00D85319"/>
    <w:rsid w:val="00D8550E"/>
    <w:rsid w:val="00D8578E"/>
    <w:rsid w:val="00D85B0F"/>
    <w:rsid w:val="00D85E5A"/>
    <w:rsid w:val="00D85FC4"/>
    <w:rsid w:val="00D86174"/>
    <w:rsid w:val="00D861C8"/>
    <w:rsid w:val="00D865E6"/>
    <w:rsid w:val="00D8670F"/>
    <w:rsid w:val="00D86899"/>
    <w:rsid w:val="00D8702E"/>
    <w:rsid w:val="00D87111"/>
    <w:rsid w:val="00D8716F"/>
    <w:rsid w:val="00D872EA"/>
    <w:rsid w:val="00D8738E"/>
    <w:rsid w:val="00D874E5"/>
    <w:rsid w:val="00D87637"/>
    <w:rsid w:val="00D87946"/>
    <w:rsid w:val="00D87A3E"/>
    <w:rsid w:val="00D87DA9"/>
    <w:rsid w:val="00D87DED"/>
    <w:rsid w:val="00D87EC2"/>
    <w:rsid w:val="00D90143"/>
    <w:rsid w:val="00D901D0"/>
    <w:rsid w:val="00D901FD"/>
    <w:rsid w:val="00D906CF"/>
    <w:rsid w:val="00D909DA"/>
    <w:rsid w:val="00D90A98"/>
    <w:rsid w:val="00D90CC1"/>
    <w:rsid w:val="00D918B0"/>
    <w:rsid w:val="00D91A01"/>
    <w:rsid w:val="00D9217A"/>
    <w:rsid w:val="00D923BE"/>
    <w:rsid w:val="00D925C0"/>
    <w:rsid w:val="00D92DEA"/>
    <w:rsid w:val="00D93173"/>
    <w:rsid w:val="00D93335"/>
    <w:rsid w:val="00D933C3"/>
    <w:rsid w:val="00D937A6"/>
    <w:rsid w:val="00D94468"/>
    <w:rsid w:val="00D945E9"/>
    <w:rsid w:val="00D94664"/>
    <w:rsid w:val="00D9494F"/>
    <w:rsid w:val="00D94A82"/>
    <w:rsid w:val="00D94AD2"/>
    <w:rsid w:val="00D94B8F"/>
    <w:rsid w:val="00D94DA1"/>
    <w:rsid w:val="00D96020"/>
    <w:rsid w:val="00D96987"/>
    <w:rsid w:val="00D96C4F"/>
    <w:rsid w:val="00D96E70"/>
    <w:rsid w:val="00DA0298"/>
    <w:rsid w:val="00DA060F"/>
    <w:rsid w:val="00DA06C9"/>
    <w:rsid w:val="00DA09BC"/>
    <w:rsid w:val="00DA106F"/>
    <w:rsid w:val="00DA13F8"/>
    <w:rsid w:val="00DA15EB"/>
    <w:rsid w:val="00DA1AB5"/>
    <w:rsid w:val="00DA2675"/>
    <w:rsid w:val="00DA2720"/>
    <w:rsid w:val="00DA29DF"/>
    <w:rsid w:val="00DA2C94"/>
    <w:rsid w:val="00DA43E3"/>
    <w:rsid w:val="00DA4C67"/>
    <w:rsid w:val="00DA4F0F"/>
    <w:rsid w:val="00DA4F90"/>
    <w:rsid w:val="00DA4FB1"/>
    <w:rsid w:val="00DA4FD3"/>
    <w:rsid w:val="00DA5206"/>
    <w:rsid w:val="00DA5A80"/>
    <w:rsid w:val="00DA68EA"/>
    <w:rsid w:val="00DA6D12"/>
    <w:rsid w:val="00DA6DA6"/>
    <w:rsid w:val="00DA7999"/>
    <w:rsid w:val="00DA7A2C"/>
    <w:rsid w:val="00DA7AC7"/>
    <w:rsid w:val="00DA7BCC"/>
    <w:rsid w:val="00DA7C0B"/>
    <w:rsid w:val="00DA7FAF"/>
    <w:rsid w:val="00DB0704"/>
    <w:rsid w:val="00DB08F4"/>
    <w:rsid w:val="00DB0F23"/>
    <w:rsid w:val="00DB14C7"/>
    <w:rsid w:val="00DB1BFF"/>
    <w:rsid w:val="00DB1E5E"/>
    <w:rsid w:val="00DB1FB5"/>
    <w:rsid w:val="00DB228B"/>
    <w:rsid w:val="00DB2C8E"/>
    <w:rsid w:val="00DB367A"/>
    <w:rsid w:val="00DB3A39"/>
    <w:rsid w:val="00DB4115"/>
    <w:rsid w:val="00DB465F"/>
    <w:rsid w:val="00DB474C"/>
    <w:rsid w:val="00DB4876"/>
    <w:rsid w:val="00DB4C39"/>
    <w:rsid w:val="00DB50E1"/>
    <w:rsid w:val="00DB5495"/>
    <w:rsid w:val="00DB56D5"/>
    <w:rsid w:val="00DB5766"/>
    <w:rsid w:val="00DB5962"/>
    <w:rsid w:val="00DB621B"/>
    <w:rsid w:val="00DB63EF"/>
    <w:rsid w:val="00DB6508"/>
    <w:rsid w:val="00DB668F"/>
    <w:rsid w:val="00DB691D"/>
    <w:rsid w:val="00DB6AD7"/>
    <w:rsid w:val="00DB6B27"/>
    <w:rsid w:val="00DB6B3B"/>
    <w:rsid w:val="00DB749F"/>
    <w:rsid w:val="00DB7C32"/>
    <w:rsid w:val="00DB7CE9"/>
    <w:rsid w:val="00DC062C"/>
    <w:rsid w:val="00DC08A3"/>
    <w:rsid w:val="00DC1371"/>
    <w:rsid w:val="00DC1517"/>
    <w:rsid w:val="00DC1947"/>
    <w:rsid w:val="00DC1DDC"/>
    <w:rsid w:val="00DC240C"/>
    <w:rsid w:val="00DC2785"/>
    <w:rsid w:val="00DC294F"/>
    <w:rsid w:val="00DC342B"/>
    <w:rsid w:val="00DC3754"/>
    <w:rsid w:val="00DC3803"/>
    <w:rsid w:val="00DC416A"/>
    <w:rsid w:val="00DC423B"/>
    <w:rsid w:val="00DC4998"/>
    <w:rsid w:val="00DC4FAC"/>
    <w:rsid w:val="00DC52F7"/>
    <w:rsid w:val="00DC5EB2"/>
    <w:rsid w:val="00DC606F"/>
    <w:rsid w:val="00DC6528"/>
    <w:rsid w:val="00DC6BB2"/>
    <w:rsid w:val="00DC6C78"/>
    <w:rsid w:val="00DC7169"/>
    <w:rsid w:val="00DC71F4"/>
    <w:rsid w:val="00DC7402"/>
    <w:rsid w:val="00DC745C"/>
    <w:rsid w:val="00DC74F6"/>
    <w:rsid w:val="00DC754C"/>
    <w:rsid w:val="00DC7F9D"/>
    <w:rsid w:val="00DD017F"/>
    <w:rsid w:val="00DD03DD"/>
    <w:rsid w:val="00DD0D88"/>
    <w:rsid w:val="00DD1002"/>
    <w:rsid w:val="00DD120C"/>
    <w:rsid w:val="00DD1BBD"/>
    <w:rsid w:val="00DD2089"/>
    <w:rsid w:val="00DD2186"/>
    <w:rsid w:val="00DD224F"/>
    <w:rsid w:val="00DD232D"/>
    <w:rsid w:val="00DD2956"/>
    <w:rsid w:val="00DD2BC7"/>
    <w:rsid w:val="00DD2C71"/>
    <w:rsid w:val="00DD2E96"/>
    <w:rsid w:val="00DD303C"/>
    <w:rsid w:val="00DD3301"/>
    <w:rsid w:val="00DD33D1"/>
    <w:rsid w:val="00DD36B6"/>
    <w:rsid w:val="00DD37B3"/>
    <w:rsid w:val="00DD3998"/>
    <w:rsid w:val="00DD40D3"/>
    <w:rsid w:val="00DD4270"/>
    <w:rsid w:val="00DD45A7"/>
    <w:rsid w:val="00DD4EE0"/>
    <w:rsid w:val="00DD51A3"/>
    <w:rsid w:val="00DD52AF"/>
    <w:rsid w:val="00DD543C"/>
    <w:rsid w:val="00DD5643"/>
    <w:rsid w:val="00DD569A"/>
    <w:rsid w:val="00DD63A1"/>
    <w:rsid w:val="00DD68E4"/>
    <w:rsid w:val="00DD71B7"/>
    <w:rsid w:val="00DD74E8"/>
    <w:rsid w:val="00DD7BA3"/>
    <w:rsid w:val="00DE0904"/>
    <w:rsid w:val="00DE0B4D"/>
    <w:rsid w:val="00DE1086"/>
    <w:rsid w:val="00DE11EB"/>
    <w:rsid w:val="00DE16CC"/>
    <w:rsid w:val="00DE1C94"/>
    <w:rsid w:val="00DE23CA"/>
    <w:rsid w:val="00DE23F7"/>
    <w:rsid w:val="00DE2552"/>
    <w:rsid w:val="00DE2B51"/>
    <w:rsid w:val="00DE3C88"/>
    <w:rsid w:val="00DE41DB"/>
    <w:rsid w:val="00DE4B82"/>
    <w:rsid w:val="00DE4F5B"/>
    <w:rsid w:val="00DE572D"/>
    <w:rsid w:val="00DE576E"/>
    <w:rsid w:val="00DE59C6"/>
    <w:rsid w:val="00DE64BC"/>
    <w:rsid w:val="00DE6855"/>
    <w:rsid w:val="00DE70CE"/>
    <w:rsid w:val="00DE74E1"/>
    <w:rsid w:val="00DF0337"/>
    <w:rsid w:val="00DF0754"/>
    <w:rsid w:val="00DF07B9"/>
    <w:rsid w:val="00DF0872"/>
    <w:rsid w:val="00DF0A9E"/>
    <w:rsid w:val="00DF0F96"/>
    <w:rsid w:val="00DF1847"/>
    <w:rsid w:val="00DF191D"/>
    <w:rsid w:val="00DF1EEE"/>
    <w:rsid w:val="00DF1F62"/>
    <w:rsid w:val="00DF2031"/>
    <w:rsid w:val="00DF24B6"/>
    <w:rsid w:val="00DF24BE"/>
    <w:rsid w:val="00DF2727"/>
    <w:rsid w:val="00DF286D"/>
    <w:rsid w:val="00DF2BD4"/>
    <w:rsid w:val="00DF2FBC"/>
    <w:rsid w:val="00DF2FD5"/>
    <w:rsid w:val="00DF3325"/>
    <w:rsid w:val="00DF3738"/>
    <w:rsid w:val="00DF412F"/>
    <w:rsid w:val="00DF4767"/>
    <w:rsid w:val="00DF483C"/>
    <w:rsid w:val="00DF4883"/>
    <w:rsid w:val="00DF4BB2"/>
    <w:rsid w:val="00DF537E"/>
    <w:rsid w:val="00DF6108"/>
    <w:rsid w:val="00DF634A"/>
    <w:rsid w:val="00DF63FB"/>
    <w:rsid w:val="00DF64A4"/>
    <w:rsid w:val="00DF7003"/>
    <w:rsid w:val="00DF7220"/>
    <w:rsid w:val="00DF7869"/>
    <w:rsid w:val="00DF78F9"/>
    <w:rsid w:val="00DF7AAF"/>
    <w:rsid w:val="00DF7CB3"/>
    <w:rsid w:val="00E000F0"/>
    <w:rsid w:val="00E001DB"/>
    <w:rsid w:val="00E001EB"/>
    <w:rsid w:val="00E00A0D"/>
    <w:rsid w:val="00E00DC8"/>
    <w:rsid w:val="00E00E33"/>
    <w:rsid w:val="00E00F12"/>
    <w:rsid w:val="00E0157A"/>
    <w:rsid w:val="00E01B79"/>
    <w:rsid w:val="00E02535"/>
    <w:rsid w:val="00E0277C"/>
    <w:rsid w:val="00E0287C"/>
    <w:rsid w:val="00E0291D"/>
    <w:rsid w:val="00E02A16"/>
    <w:rsid w:val="00E0331A"/>
    <w:rsid w:val="00E03371"/>
    <w:rsid w:val="00E0343B"/>
    <w:rsid w:val="00E03863"/>
    <w:rsid w:val="00E039C7"/>
    <w:rsid w:val="00E03C93"/>
    <w:rsid w:val="00E0409C"/>
    <w:rsid w:val="00E04496"/>
    <w:rsid w:val="00E0459F"/>
    <w:rsid w:val="00E045EC"/>
    <w:rsid w:val="00E0474B"/>
    <w:rsid w:val="00E047A0"/>
    <w:rsid w:val="00E058AA"/>
    <w:rsid w:val="00E058BC"/>
    <w:rsid w:val="00E05FC3"/>
    <w:rsid w:val="00E060B5"/>
    <w:rsid w:val="00E0626B"/>
    <w:rsid w:val="00E064FD"/>
    <w:rsid w:val="00E0686F"/>
    <w:rsid w:val="00E06982"/>
    <w:rsid w:val="00E06E3E"/>
    <w:rsid w:val="00E070EC"/>
    <w:rsid w:val="00E072EB"/>
    <w:rsid w:val="00E07C25"/>
    <w:rsid w:val="00E07CF2"/>
    <w:rsid w:val="00E10140"/>
    <w:rsid w:val="00E1073A"/>
    <w:rsid w:val="00E109CB"/>
    <w:rsid w:val="00E11247"/>
    <w:rsid w:val="00E112A1"/>
    <w:rsid w:val="00E114CF"/>
    <w:rsid w:val="00E118B5"/>
    <w:rsid w:val="00E11C94"/>
    <w:rsid w:val="00E11F8A"/>
    <w:rsid w:val="00E12311"/>
    <w:rsid w:val="00E133CC"/>
    <w:rsid w:val="00E133FA"/>
    <w:rsid w:val="00E134B6"/>
    <w:rsid w:val="00E13601"/>
    <w:rsid w:val="00E13629"/>
    <w:rsid w:val="00E13FA5"/>
    <w:rsid w:val="00E141B2"/>
    <w:rsid w:val="00E14207"/>
    <w:rsid w:val="00E1436A"/>
    <w:rsid w:val="00E14611"/>
    <w:rsid w:val="00E14B2F"/>
    <w:rsid w:val="00E14B84"/>
    <w:rsid w:val="00E14CD7"/>
    <w:rsid w:val="00E14F23"/>
    <w:rsid w:val="00E152A1"/>
    <w:rsid w:val="00E1538F"/>
    <w:rsid w:val="00E154E5"/>
    <w:rsid w:val="00E155B5"/>
    <w:rsid w:val="00E15916"/>
    <w:rsid w:val="00E15A12"/>
    <w:rsid w:val="00E15EBE"/>
    <w:rsid w:val="00E1637D"/>
    <w:rsid w:val="00E16695"/>
    <w:rsid w:val="00E16869"/>
    <w:rsid w:val="00E16D4B"/>
    <w:rsid w:val="00E16DDB"/>
    <w:rsid w:val="00E16F5E"/>
    <w:rsid w:val="00E16F8E"/>
    <w:rsid w:val="00E1720F"/>
    <w:rsid w:val="00E172FF"/>
    <w:rsid w:val="00E1742F"/>
    <w:rsid w:val="00E177AB"/>
    <w:rsid w:val="00E179F4"/>
    <w:rsid w:val="00E17B3E"/>
    <w:rsid w:val="00E17C0E"/>
    <w:rsid w:val="00E20174"/>
    <w:rsid w:val="00E20654"/>
    <w:rsid w:val="00E20BA4"/>
    <w:rsid w:val="00E213B7"/>
    <w:rsid w:val="00E21501"/>
    <w:rsid w:val="00E21535"/>
    <w:rsid w:val="00E228E8"/>
    <w:rsid w:val="00E22EB3"/>
    <w:rsid w:val="00E23ABC"/>
    <w:rsid w:val="00E23B28"/>
    <w:rsid w:val="00E23EB6"/>
    <w:rsid w:val="00E24421"/>
    <w:rsid w:val="00E24B1B"/>
    <w:rsid w:val="00E24BDE"/>
    <w:rsid w:val="00E2594E"/>
    <w:rsid w:val="00E25A1E"/>
    <w:rsid w:val="00E269DB"/>
    <w:rsid w:val="00E26D33"/>
    <w:rsid w:val="00E2772C"/>
    <w:rsid w:val="00E27841"/>
    <w:rsid w:val="00E27A47"/>
    <w:rsid w:val="00E27B0F"/>
    <w:rsid w:val="00E27B51"/>
    <w:rsid w:val="00E27BED"/>
    <w:rsid w:val="00E302C3"/>
    <w:rsid w:val="00E30575"/>
    <w:rsid w:val="00E30640"/>
    <w:rsid w:val="00E308B8"/>
    <w:rsid w:val="00E30D00"/>
    <w:rsid w:val="00E30E6F"/>
    <w:rsid w:val="00E3109E"/>
    <w:rsid w:val="00E310AB"/>
    <w:rsid w:val="00E31357"/>
    <w:rsid w:val="00E315F6"/>
    <w:rsid w:val="00E31761"/>
    <w:rsid w:val="00E31A28"/>
    <w:rsid w:val="00E31F57"/>
    <w:rsid w:val="00E32754"/>
    <w:rsid w:val="00E329E8"/>
    <w:rsid w:val="00E33145"/>
    <w:rsid w:val="00E3386D"/>
    <w:rsid w:val="00E34C54"/>
    <w:rsid w:val="00E34CA1"/>
    <w:rsid w:val="00E35281"/>
    <w:rsid w:val="00E354BB"/>
    <w:rsid w:val="00E35938"/>
    <w:rsid w:val="00E35E19"/>
    <w:rsid w:val="00E36715"/>
    <w:rsid w:val="00E36783"/>
    <w:rsid w:val="00E369E9"/>
    <w:rsid w:val="00E36B66"/>
    <w:rsid w:val="00E36D34"/>
    <w:rsid w:val="00E37217"/>
    <w:rsid w:val="00E372DB"/>
    <w:rsid w:val="00E3746F"/>
    <w:rsid w:val="00E37CCB"/>
    <w:rsid w:val="00E40350"/>
    <w:rsid w:val="00E40534"/>
    <w:rsid w:val="00E40C98"/>
    <w:rsid w:val="00E40DB5"/>
    <w:rsid w:val="00E4109B"/>
    <w:rsid w:val="00E411F3"/>
    <w:rsid w:val="00E413AB"/>
    <w:rsid w:val="00E41A73"/>
    <w:rsid w:val="00E41B71"/>
    <w:rsid w:val="00E41DC4"/>
    <w:rsid w:val="00E4279C"/>
    <w:rsid w:val="00E428A6"/>
    <w:rsid w:val="00E42DC1"/>
    <w:rsid w:val="00E42F05"/>
    <w:rsid w:val="00E4307E"/>
    <w:rsid w:val="00E43745"/>
    <w:rsid w:val="00E43D9C"/>
    <w:rsid w:val="00E43E5A"/>
    <w:rsid w:val="00E4457D"/>
    <w:rsid w:val="00E44B85"/>
    <w:rsid w:val="00E44F92"/>
    <w:rsid w:val="00E451E2"/>
    <w:rsid w:val="00E45F3E"/>
    <w:rsid w:val="00E46074"/>
    <w:rsid w:val="00E462F9"/>
    <w:rsid w:val="00E470A4"/>
    <w:rsid w:val="00E473CC"/>
    <w:rsid w:val="00E477F9"/>
    <w:rsid w:val="00E4790C"/>
    <w:rsid w:val="00E47E1D"/>
    <w:rsid w:val="00E509BD"/>
    <w:rsid w:val="00E50A0F"/>
    <w:rsid w:val="00E50D7C"/>
    <w:rsid w:val="00E50D88"/>
    <w:rsid w:val="00E50FCC"/>
    <w:rsid w:val="00E513E0"/>
    <w:rsid w:val="00E517D3"/>
    <w:rsid w:val="00E51886"/>
    <w:rsid w:val="00E51B5A"/>
    <w:rsid w:val="00E51E7E"/>
    <w:rsid w:val="00E53021"/>
    <w:rsid w:val="00E532EF"/>
    <w:rsid w:val="00E53369"/>
    <w:rsid w:val="00E539CC"/>
    <w:rsid w:val="00E539E2"/>
    <w:rsid w:val="00E53D5B"/>
    <w:rsid w:val="00E53E31"/>
    <w:rsid w:val="00E54454"/>
    <w:rsid w:val="00E5457A"/>
    <w:rsid w:val="00E54810"/>
    <w:rsid w:val="00E54D3F"/>
    <w:rsid w:val="00E54E6D"/>
    <w:rsid w:val="00E55085"/>
    <w:rsid w:val="00E553C1"/>
    <w:rsid w:val="00E55694"/>
    <w:rsid w:val="00E56352"/>
    <w:rsid w:val="00E56C01"/>
    <w:rsid w:val="00E56F28"/>
    <w:rsid w:val="00E57044"/>
    <w:rsid w:val="00E57379"/>
    <w:rsid w:val="00E57422"/>
    <w:rsid w:val="00E57570"/>
    <w:rsid w:val="00E57CA7"/>
    <w:rsid w:val="00E601FB"/>
    <w:rsid w:val="00E6032A"/>
    <w:rsid w:val="00E60C40"/>
    <w:rsid w:val="00E60DA8"/>
    <w:rsid w:val="00E60F90"/>
    <w:rsid w:val="00E6156E"/>
    <w:rsid w:val="00E617E0"/>
    <w:rsid w:val="00E6193D"/>
    <w:rsid w:val="00E61E9F"/>
    <w:rsid w:val="00E6286C"/>
    <w:rsid w:val="00E62BF5"/>
    <w:rsid w:val="00E63177"/>
    <w:rsid w:val="00E63997"/>
    <w:rsid w:val="00E63DAB"/>
    <w:rsid w:val="00E640A8"/>
    <w:rsid w:val="00E640C7"/>
    <w:rsid w:val="00E6418B"/>
    <w:rsid w:val="00E649C9"/>
    <w:rsid w:val="00E650DA"/>
    <w:rsid w:val="00E652A4"/>
    <w:rsid w:val="00E65618"/>
    <w:rsid w:val="00E6561C"/>
    <w:rsid w:val="00E6581E"/>
    <w:rsid w:val="00E65911"/>
    <w:rsid w:val="00E65E3B"/>
    <w:rsid w:val="00E663CD"/>
    <w:rsid w:val="00E6663B"/>
    <w:rsid w:val="00E66932"/>
    <w:rsid w:val="00E669F5"/>
    <w:rsid w:val="00E66B74"/>
    <w:rsid w:val="00E67180"/>
    <w:rsid w:val="00E672C6"/>
    <w:rsid w:val="00E67537"/>
    <w:rsid w:val="00E67604"/>
    <w:rsid w:val="00E677DD"/>
    <w:rsid w:val="00E701E4"/>
    <w:rsid w:val="00E701F0"/>
    <w:rsid w:val="00E70704"/>
    <w:rsid w:val="00E707BD"/>
    <w:rsid w:val="00E70E4C"/>
    <w:rsid w:val="00E70F03"/>
    <w:rsid w:val="00E715DC"/>
    <w:rsid w:val="00E7177D"/>
    <w:rsid w:val="00E71CE2"/>
    <w:rsid w:val="00E72115"/>
    <w:rsid w:val="00E726A9"/>
    <w:rsid w:val="00E7367A"/>
    <w:rsid w:val="00E7408C"/>
    <w:rsid w:val="00E74828"/>
    <w:rsid w:val="00E74887"/>
    <w:rsid w:val="00E75E1D"/>
    <w:rsid w:val="00E76680"/>
    <w:rsid w:val="00E76844"/>
    <w:rsid w:val="00E76ED5"/>
    <w:rsid w:val="00E7729C"/>
    <w:rsid w:val="00E775EE"/>
    <w:rsid w:val="00E7785A"/>
    <w:rsid w:val="00E779A8"/>
    <w:rsid w:val="00E77B84"/>
    <w:rsid w:val="00E81143"/>
    <w:rsid w:val="00E813E5"/>
    <w:rsid w:val="00E8144D"/>
    <w:rsid w:val="00E815C6"/>
    <w:rsid w:val="00E817BA"/>
    <w:rsid w:val="00E81B4B"/>
    <w:rsid w:val="00E8218A"/>
    <w:rsid w:val="00E837B7"/>
    <w:rsid w:val="00E837D7"/>
    <w:rsid w:val="00E83E5E"/>
    <w:rsid w:val="00E83FA3"/>
    <w:rsid w:val="00E843A4"/>
    <w:rsid w:val="00E8442E"/>
    <w:rsid w:val="00E8456C"/>
    <w:rsid w:val="00E84A47"/>
    <w:rsid w:val="00E85A44"/>
    <w:rsid w:val="00E85A5C"/>
    <w:rsid w:val="00E85DF8"/>
    <w:rsid w:val="00E860B1"/>
    <w:rsid w:val="00E868DD"/>
    <w:rsid w:val="00E871C5"/>
    <w:rsid w:val="00E87445"/>
    <w:rsid w:val="00E87CC4"/>
    <w:rsid w:val="00E87D0E"/>
    <w:rsid w:val="00E87DC7"/>
    <w:rsid w:val="00E87E2E"/>
    <w:rsid w:val="00E87E52"/>
    <w:rsid w:val="00E90285"/>
    <w:rsid w:val="00E9079F"/>
    <w:rsid w:val="00E908A3"/>
    <w:rsid w:val="00E90A4A"/>
    <w:rsid w:val="00E90B12"/>
    <w:rsid w:val="00E9118C"/>
    <w:rsid w:val="00E91439"/>
    <w:rsid w:val="00E914F6"/>
    <w:rsid w:val="00E91E45"/>
    <w:rsid w:val="00E92488"/>
    <w:rsid w:val="00E92FF4"/>
    <w:rsid w:val="00E93731"/>
    <w:rsid w:val="00E93844"/>
    <w:rsid w:val="00E93B91"/>
    <w:rsid w:val="00E93DDC"/>
    <w:rsid w:val="00E94971"/>
    <w:rsid w:val="00E94DAE"/>
    <w:rsid w:val="00E9526F"/>
    <w:rsid w:val="00E95374"/>
    <w:rsid w:val="00E9562E"/>
    <w:rsid w:val="00E956AA"/>
    <w:rsid w:val="00E95A72"/>
    <w:rsid w:val="00E96153"/>
    <w:rsid w:val="00E961A4"/>
    <w:rsid w:val="00E961BC"/>
    <w:rsid w:val="00E96471"/>
    <w:rsid w:val="00E967F9"/>
    <w:rsid w:val="00E96EE5"/>
    <w:rsid w:val="00E96FCA"/>
    <w:rsid w:val="00E9749E"/>
    <w:rsid w:val="00E9766D"/>
    <w:rsid w:val="00E97D26"/>
    <w:rsid w:val="00E97E8E"/>
    <w:rsid w:val="00EA0129"/>
    <w:rsid w:val="00EA020A"/>
    <w:rsid w:val="00EA118E"/>
    <w:rsid w:val="00EA1A93"/>
    <w:rsid w:val="00EA1BFF"/>
    <w:rsid w:val="00EA1EB2"/>
    <w:rsid w:val="00EA2024"/>
    <w:rsid w:val="00EA307A"/>
    <w:rsid w:val="00EA3206"/>
    <w:rsid w:val="00EA3FF7"/>
    <w:rsid w:val="00EA402E"/>
    <w:rsid w:val="00EA46C1"/>
    <w:rsid w:val="00EA48A0"/>
    <w:rsid w:val="00EA531A"/>
    <w:rsid w:val="00EA5A2D"/>
    <w:rsid w:val="00EA5C43"/>
    <w:rsid w:val="00EA5E06"/>
    <w:rsid w:val="00EA5F19"/>
    <w:rsid w:val="00EA6282"/>
    <w:rsid w:val="00EA62A3"/>
    <w:rsid w:val="00EA6333"/>
    <w:rsid w:val="00EA74D5"/>
    <w:rsid w:val="00EA7A30"/>
    <w:rsid w:val="00EA7A3B"/>
    <w:rsid w:val="00EA7B11"/>
    <w:rsid w:val="00EA7C1B"/>
    <w:rsid w:val="00EA7ED2"/>
    <w:rsid w:val="00EA7FEB"/>
    <w:rsid w:val="00EB037B"/>
    <w:rsid w:val="00EB069F"/>
    <w:rsid w:val="00EB0CE4"/>
    <w:rsid w:val="00EB11DE"/>
    <w:rsid w:val="00EB1C07"/>
    <w:rsid w:val="00EB2388"/>
    <w:rsid w:val="00EB261E"/>
    <w:rsid w:val="00EB2E7D"/>
    <w:rsid w:val="00EB316A"/>
    <w:rsid w:val="00EB32C0"/>
    <w:rsid w:val="00EB3A56"/>
    <w:rsid w:val="00EB3DD3"/>
    <w:rsid w:val="00EB414C"/>
    <w:rsid w:val="00EB479D"/>
    <w:rsid w:val="00EB4917"/>
    <w:rsid w:val="00EB4DA5"/>
    <w:rsid w:val="00EB5AFF"/>
    <w:rsid w:val="00EB5D94"/>
    <w:rsid w:val="00EB5DA4"/>
    <w:rsid w:val="00EB5E7C"/>
    <w:rsid w:val="00EB5EC6"/>
    <w:rsid w:val="00EB68E1"/>
    <w:rsid w:val="00EB6AE7"/>
    <w:rsid w:val="00EB6C6C"/>
    <w:rsid w:val="00EB7124"/>
    <w:rsid w:val="00EB7392"/>
    <w:rsid w:val="00EB79BC"/>
    <w:rsid w:val="00EB7B90"/>
    <w:rsid w:val="00EB7BB5"/>
    <w:rsid w:val="00EB7BE0"/>
    <w:rsid w:val="00EB7C72"/>
    <w:rsid w:val="00EB7F05"/>
    <w:rsid w:val="00EC0172"/>
    <w:rsid w:val="00EC076C"/>
    <w:rsid w:val="00EC07C0"/>
    <w:rsid w:val="00EC0C4E"/>
    <w:rsid w:val="00EC1CF3"/>
    <w:rsid w:val="00EC1FAE"/>
    <w:rsid w:val="00EC2161"/>
    <w:rsid w:val="00EC2565"/>
    <w:rsid w:val="00EC2D11"/>
    <w:rsid w:val="00EC3817"/>
    <w:rsid w:val="00EC3A2F"/>
    <w:rsid w:val="00EC4530"/>
    <w:rsid w:val="00EC4937"/>
    <w:rsid w:val="00EC49ED"/>
    <w:rsid w:val="00EC4A54"/>
    <w:rsid w:val="00EC4B04"/>
    <w:rsid w:val="00EC500D"/>
    <w:rsid w:val="00EC512A"/>
    <w:rsid w:val="00EC525C"/>
    <w:rsid w:val="00EC5A2E"/>
    <w:rsid w:val="00EC5A43"/>
    <w:rsid w:val="00EC5D68"/>
    <w:rsid w:val="00EC6563"/>
    <w:rsid w:val="00EC6686"/>
    <w:rsid w:val="00EC6782"/>
    <w:rsid w:val="00EC6847"/>
    <w:rsid w:val="00EC6CA7"/>
    <w:rsid w:val="00EC72B7"/>
    <w:rsid w:val="00EC73CF"/>
    <w:rsid w:val="00EC7413"/>
    <w:rsid w:val="00EC74B7"/>
    <w:rsid w:val="00EC7651"/>
    <w:rsid w:val="00EC7779"/>
    <w:rsid w:val="00ED062A"/>
    <w:rsid w:val="00ED0AB2"/>
    <w:rsid w:val="00ED0BD0"/>
    <w:rsid w:val="00ED0F48"/>
    <w:rsid w:val="00ED1013"/>
    <w:rsid w:val="00ED136E"/>
    <w:rsid w:val="00ED1500"/>
    <w:rsid w:val="00ED17BD"/>
    <w:rsid w:val="00ED29A6"/>
    <w:rsid w:val="00ED29AC"/>
    <w:rsid w:val="00ED303E"/>
    <w:rsid w:val="00ED3663"/>
    <w:rsid w:val="00ED3688"/>
    <w:rsid w:val="00ED424C"/>
    <w:rsid w:val="00ED4694"/>
    <w:rsid w:val="00ED47FD"/>
    <w:rsid w:val="00ED53BC"/>
    <w:rsid w:val="00ED5447"/>
    <w:rsid w:val="00ED556A"/>
    <w:rsid w:val="00ED5D46"/>
    <w:rsid w:val="00ED6887"/>
    <w:rsid w:val="00ED691D"/>
    <w:rsid w:val="00ED6FEB"/>
    <w:rsid w:val="00ED713D"/>
    <w:rsid w:val="00ED7520"/>
    <w:rsid w:val="00ED7647"/>
    <w:rsid w:val="00ED7ABF"/>
    <w:rsid w:val="00ED7BB6"/>
    <w:rsid w:val="00EE04F8"/>
    <w:rsid w:val="00EE0FF8"/>
    <w:rsid w:val="00EE16CF"/>
    <w:rsid w:val="00EE248B"/>
    <w:rsid w:val="00EE268E"/>
    <w:rsid w:val="00EE2768"/>
    <w:rsid w:val="00EE2888"/>
    <w:rsid w:val="00EE2F10"/>
    <w:rsid w:val="00EE3028"/>
    <w:rsid w:val="00EE35C4"/>
    <w:rsid w:val="00EE38AD"/>
    <w:rsid w:val="00EE474D"/>
    <w:rsid w:val="00EE4859"/>
    <w:rsid w:val="00EE4DC7"/>
    <w:rsid w:val="00EE4F52"/>
    <w:rsid w:val="00EE50DD"/>
    <w:rsid w:val="00EE563F"/>
    <w:rsid w:val="00EE5755"/>
    <w:rsid w:val="00EE5E74"/>
    <w:rsid w:val="00EE6343"/>
    <w:rsid w:val="00EE6569"/>
    <w:rsid w:val="00EE6573"/>
    <w:rsid w:val="00EE6961"/>
    <w:rsid w:val="00EE6FE2"/>
    <w:rsid w:val="00EE73DE"/>
    <w:rsid w:val="00EE784B"/>
    <w:rsid w:val="00EE7C21"/>
    <w:rsid w:val="00EE7F09"/>
    <w:rsid w:val="00EF03FE"/>
    <w:rsid w:val="00EF091F"/>
    <w:rsid w:val="00EF0BFD"/>
    <w:rsid w:val="00EF0E03"/>
    <w:rsid w:val="00EF183F"/>
    <w:rsid w:val="00EF1888"/>
    <w:rsid w:val="00EF1D28"/>
    <w:rsid w:val="00EF1E17"/>
    <w:rsid w:val="00EF1EB2"/>
    <w:rsid w:val="00EF1FDD"/>
    <w:rsid w:val="00EF2332"/>
    <w:rsid w:val="00EF2537"/>
    <w:rsid w:val="00EF3184"/>
    <w:rsid w:val="00EF3259"/>
    <w:rsid w:val="00EF331B"/>
    <w:rsid w:val="00EF3530"/>
    <w:rsid w:val="00EF36F2"/>
    <w:rsid w:val="00EF3966"/>
    <w:rsid w:val="00EF3B5B"/>
    <w:rsid w:val="00EF3CEC"/>
    <w:rsid w:val="00EF40C3"/>
    <w:rsid w:val="00EF415D"/>
    <w:rsid w:val="00EF4427"/>
    <w:rsid w:val="00EF4738"/>
    <w:rsid w:val="00EF4904"/>
    <w:rsid w:val="00EF4BE1"/>
    <w:rsid w:val="00EF4C27"/>
    <w:rsid w:val="00EF5406"/>
    <w:rsid w:val="00EF5512"/>
    <w:rsid w:val="00EF5630"/>
    <w:rsid w:val="00EF58CF"/>
    <w:rsid w:val="00EF5D09"/>
    <w:rsid w:val="00EF5E17"/>
    <w:rsid w:val="00EF61BA"/>
    <w:rsid w:val="00EF6497"/>
    <w:rsid w:val="00EF675B"/>
    <w:rsid w:val="00EF71D7"/>
    <w:rsid w:val="00EF7458"/>
    <w:rsid w:val="00EF7E3B"/>
    <w:rsid w:val="00EF7EF8"/>
    <w:rsid w:val="00F001F5"/>
    <w:rsid w:val="00F009F7"/>
    <w:rsid w:val="00F00A5D"/>
    <w:rsid w:val="00F00F85"/>
    <w:rsid w:val="00F0149A"/>
    <w:rsid w:val="00F016F4"/>
    <w:rsid w:val="00F0197A"/>
    <w:rsid w:val="00F01B2E"/>
    <w:rsid w:val="00F01B5F"/>
    <w:rsid w:val="00F01E54"/>
    <w:rsid w:val="00F029D0"/>
    <w:rsid w:val="00F032E2"/>
    <w:rsid w:val="00F038BE"/>
    <w:rsid w:val="00F03BE6"/>
    <w:rsid w:val="00F03ECD"/>
    <w:rsid w:val="00F049A7"/>
    <w:rsid w:val="00F04C27"/>
    <w:rsid w:val="00F05F77"/>
    <w:rsid w:val="00F06043"/>
    <w:rsid w:val="00F075F6"/>
    <w:rsid w:val="00F10FE8"/>
    <w:rsid w:val="00F11007"/>
    <w:rsid w:val="00F11E40"/>
    <w:rsid w:val="00F11F79"/>
    <w:rsid w:val="00F12718"/>
    <w:rsid w:val="00F12845"/>
    <w:rsid w:val="00F12FF0"/>
    <w:rsid w:val="00F13161"/>
    <w:rsid w:val="00F1347A"/>
    <w:rsid w:val="00F134F0"/>
    <w:rsid w:val="00F13534"/>
    <w:rsid w:val="00F13551"/>
    <w:rsid w:val="00F137D1"/>
    <w:rsid w:val="00F13906"/>
    <w:rsid w:val="00F13D1C"/>
    <w:rsid w:val="00F14244"/>
    <w:rsid w:val="00F1479F"/>
    <w:rsid w:val="00F14934"/>
    <w:rsid w:val="00F149B6"/>
    <w:rsid w:val="00F14A59"/>
    <w:rsid w:val="00F14AEC"/>
    <w:rsid w:val="00F151EF"/>
    <w:rsid w:val="00F15F53"/>
    <w:rsid w:val="00F16488"/>
    <w:rsid w:val="00F16604"/>
    <w:rsid w:val="00F16635"/>
    <w:rsid w:val="00F16DC0"/>
    <w:rsid w:val="00F174BD"/>
    <w:rsid w:val="00F17722"/>
    <w:rsid w:val="00F17AAD"/>
    <w:rsid w:val="00F202CC"/>
    <w:rsid w:val="00F20E23"/>
    <w:rsid w:val="00F20E63"/>
    <w:rsid w:val="00F2127F"/>
    <w:rsid w:val="00F21831"/>
    <w:rsid w:val="00F218A9"/>
    <w:rsid w:val="00F21964"/>
    <w:rsid w:val="00F21E4B"/>
    <w:rsid w:val="00F2301C"/>
    <w:rsid w:val="00F231B4"/>
    <w:rsid w:val="00F239C0"/>
    <w:rsid w:val="00F23A55"/>
    <w:rsid w:val="00F23DBB"/>
    <w:rsid w:val="00F2404D"/>
    <w:rsid w:val="00F2426B"/>
    <w:rsid w:val="00F24374"/>
    <w:rsid w:val="00F243AA"/>
    <w:rsid w:val="00F245BC"/>
    <w:rsid w:val="00F2479F"/>
    <w:rsid w:val="00F24981"/>
    <w:rsid w:val="00F2504C"/>
    <w:rsid w:val="00F25337"/>
    <w:rsid w:val="00F25AAB"/>
    <w:rsid w:val="00F25ECE"/>
    <w:rsid w:val="00F26081"/>
    <w:rsid w:val="00F26620"/>
    <w:rsid w:val="00F2664E"/>
    <w:rsid w:val="00F26B5E"/>
    <w:rsid w:val="00F26E97"/>
    <w:rsid w:val="00F278E3"/>
    <w:rsid w:val="00F27C4E"/>
    <w:rsid w:val="00F306A0"/>
    <w:rsid w:val="00F3080C"/>
    <w:rsid w:val="00F31229"/>
    <w:rsid w:val="00F32060"/>
    <w:rsid w:val="00F329E3"/>
    <w:rsid w:val="00F32D2A"/>
    <w:rsid w:val="00F32E29"/>
    <w:rsid w:val="00F33798"/>
    <w:rsid w:val="00F34304"/>
    <w:rsid w:val="00F344A1"/>
    <w:rsid w:val="00F34781"/>
    <w:rsid w:val="00F34C54"/>
    <w:rsid w:val="00F34F52"/>
    <w:rsid w:val="00F35188"/>
    <w:rsid w:val="00F353C6"/>
    <w:rsid w:val="00F365E9"/>
    <w:rsid w:val="00F36756"/>
    <w:rsid w:val="00F37334"/>
    <w:rsid w:val="00F375DC"/>
    <w:rsid w:val="00F37F99"/>
    <w:rsid w:val="00F401F3"/>
    <w:rsid w:val="00F40846"/>
    <w:rsid w:val="00F40A8D"/>
    <w:rsid w:val="00F40AC3"/>
    <w:rsid w:val="00F41171"/>
    <w:rsid w:val="00F419DF"/>
    <w:rsid w:val="00F422F5"/>
    <w:rsid w:val="00F426C3"/>
    <w:rsid w:val="00F42E8D"/>
    <w:rsid w:val="00F43031"/>
    <w:rsid w:val="00F4381B"/>
    <w:rsid w:val="00F43F3B"/>
    <w:rsid w:val="00F43F70"/>
    <w:rsid w:val="00F44093"/>
    <w:rsid w:val="00F44D13"/>
    <w:rsid w:val="00F454C0"/>
    <w:rsid w:val="00F455DD"/>
    <w:rsid w:val="00F46A0A"/>
    <w:rsid w:val="00F46AE1"/>
    <w:rsid w:val="00F46D28"/>
    <w:rsid w:val="00F46E90"/>
    <w:rsid w:val="00F47312"/>
    <w:rsid w:val="00F47432"/>
    <w:rsid w:val="00F47860"/>
    <w:rsid w:val="00F47A68"/>
    <w:rsid w:val="00F47D6E"/>
    <w:rsid w:val="00F47F5C"/>
    <w:rsid w:val="00F503C0"/>
    <w:rsid w:val="00F50463"/>
    <w:rsid w:val="00F5081D"/>
    <w:rsid w:val="00F50A1E"/>
    <w:rsid w:val="00F50F37"/>
    <w:rsid w:val="00F50F5F"/>
    <w:rsid w:val="00F51158"/>
    <w:rsid w:val="00F51426"/>
    <w:rsid w:val="00F514C5"/>
    <w:rsid w:val="00F51949"/>
    <w:rsid w:val="00F51D2C"/>
    <w:rsid w:val="00F51EB8"/>
    <w:rsid w:val="00F526BB"/>
    <w:rsid w:val="00F528A2"/>
    <w:rsid w:val="00F534E4"/>
    <w:rsid w:val="00F53733"/>
    <w:rsid w:val="00F53841"/>
    <w:rsid w:val="00F538BE"/>
    <w:rsid w:val="00F53CB9"/>
    <w:rsid w:val="00F53F9A"/>
    <w:rsid w:val="00F542F4"/>
    <w:rsid w:val="00F546E5"/>
    <w:rsid w:val="00F548FF"/>
    <w:rsid w:val="00F54DFF"/>
    <w:rsid w:val="00F54E33"/>
    <w:rsid w:val="00F54EA3"/>
    <w:rsid w:val="00F54EA5"/>
    <w:rsid w:val="00F54FAD"/>
    <w:rsid w:val="00F55743"/>
    <w:rsid w:val="00F55E64"/>
    <w:rsid w:val="00F562D0"/>
    <w:rsid w:val="00F56483"/>
    <w:rsid w:val="00F5662F"/>
    <w:rsid w:val="00F56635"/>
    <w:rsid w:val="00F569F8"/>
    <w:rsid w:val="00F56EB5"/>
    <w:rsid w:val="00F575D6"/>
    <w:rsid w:val="00F57926"/>
    <w:rsid w:val="00F57DBF"/>
    <w:rsid w:val="00F60050"/>
    <w:rsid w:val="00F60181"/>
    <w:rsid w:val="00F605A8"/>
    <w:rsid w:val="00F60745"/>
    <w:rsid w:val="00F60BAA"/>
    <w:rsid w:val="00F60C52"/>
    <w:rsid w:val="00F617CB"/>
    <w:rsid w:val="00F619E0"/>
    <w:rsid w:val="00F61A57"/>
    <w:rsid w:val="00F61B55"/>
    <w:rsid w:val="00F625EC"/>
    <w:rsid w:val="00F62617"/>
    <w:rsid w:val="00F62DBC"/>
    <w:rsid w:val="00F63542"/>
    <w:rsid w:val="00F63692"/>
    <w:rsid w:val="00F638E8"/>
    <w:rsid w:val="00F63DAE"/>
    <w:rsid w:val="00F63F86"/>
    <w:rsid w:val="00F63FF4"/>
    <w:rsid w:val="00F644FE"/>
    <w:rsid w:val="00F64EBB"/>
    <w:rsid w:val="00F653A9"/>
    <w:rsid w:val="00F65BAF"/>
    <w:rsid w:val="00F65ED6"/>
    <w:rsid w:val="00F66402"/>
    <w:rsid w:val="00F672A7"/>
    <w:rsid w:val="00F673E7"/>
    <w:rsid w:val="00F673FF"/>
    <w:rsid w:val="00F67686"/>
    <w:rsid w:val="00F6792C"/>
    <w:rsid w:val="00F67B56"/>
    <w:rsid w:val="00F67BEE"/>
    <w:rsid w:val="00F67C5E"/>
    <w:rsid w:val="00F702CB"/>
    <w:rsid w:val="00F702DB"/>
    <w:rsid w:val="00F70637"/>
    <w:rsid w:val="00F709D9"/>
    <w:rsid w:val="00F71D8D"/>
    <w:rsid w:val="00F72A9E"/>
    <w:rsid w:val="00F731D1"/>
    <w:rsid w:val="00F733CC"/>
    <w:rsid w:val="00F73608"/>
    <w:rsid w:val="00F73932"/>
    <w:rsid w:val="00F73989"/>
    <w:rsid w:val="00F74051"/>
    <w:rsid w:val="00F74120"/>
    <w:rsid w:val="00F74680"/>
    <w:rsid w:val="00F746D3"/>
    <w:rsid w:val="00F746F4"/>
    <w:rsid w:val="00F747CB"/>
    <w:rsid w:val="00F749BD"/>
    <w:rsid w:val="00F750E1"/>
    <w:rsid w:val="00F75153"/>
    <w:rsid w:val="00F75283"/>
    <w:rsid w:val="00F75612"/>
    <w:rsid w:val="00F758F8"/>
    <w:rsid w:val="00F761F6"/>
    <w:rsid w:val="00F7632B"/>
    <w:rsid w:val="00F763B8"/>
    <w:rsid w:val="00F76561"/>
    <w:rsid w:val="00F77375"/>
    <w:rsid w:val="00F77CC9"/>
    <w:rsid w:val="00F803AA"/>
    <w:rsid w:val="00F80997"/>
    <w:rsid w:val="00F80F45"/>
    <w:rsid w:val="00F81161"/>
    <w:rsid w:val="00F81603"/>
    <w:rsid w:val="00F81968"/>
    <w:rsid w:val="00F81B72"/>
    <w:rsid w:val="00F81C49"/>
    <w:rsid w:val="00F81C83"/>
    <w:rsid w:val="00F827C3"/>
    <w:rsid w:val="00F82C3B"/>
    <w:rsid w:val="00F82C98"/>
    <w:rsid w:val="00F82CEF"/>
    <w:rsid w:val="00F82DCD"/>
    <w:rsid w:val="00F835B5"/>
    <w:rsid w:val="00F8368B"/>
    <w:rsid w:val="00F8381B"/>
    <w:rsid w:val="00F8386D"/>
    <w:rsid w:val="00F83D1D"/>
    <w:rsid w:val="00F83F98"/>
    <w:rsid w:val="00F842A0"/>
    <w:rsid w:val="00F84B4D"/>
    <w:rsid w:val="00F84B9B"/>
    <w:rsid w:val="00F85232"/>
    <w:rsid w:val="00F85899"/>
    <w:rsid w:val="00F85FF3"/>
    <w:rsid w:val="00F87986"/>
    <w:rsid w:val="00F879E1"/>
    <w:rsid w:val="00F87BDA"/>
    <w:rsid w:val="00F90E55"/>
    <w:rsid w:val="00F9156E"/>
    <w:rsid w:val="00F91E80"/>
    <w:rsid w:val="00F921B7"/>
    <w:rsid w:val="00F92DB9"/>
    <w:rsid w:val="00F92F7B"/>
    <w:rsid w:val="00F93479"/>
    <w:rsid w:val="00F939E3"/>
    <w:rsid w:val="00F93AEC"/>
    <w:rsid w:val="00F94441"/>
    <w:rsid w:val="00F94567"/>
    <w:rsid w:val="00F9468E"/>
    <w:rsid w:val="00F94730"/>
    <w:rsid w:val="00F94AD8"/>
    <w:rsid w:val="00F94C6D"/>
    <w:rsid w:val="00F94D3B"/>
    <w:rsid w:val="00F94FAF"/>
    <w:rsid w:val="00F95107"/>
    <w:rsid w:val="00F95160"/>
    <w:rsid w:val="00F95319"/>
    <w:rsid w:val="00F95B51"/>
    <w:rsid w:val="00F96173"/>
    <w:rsid w:val="00F96B87"/>
    <w:rsid w:val="00F96EAC"/>
    <w:rsid w:val="00F97230"/>
    <w:rsid w:val="00F9776D"/>
    <w:rsid w:val="00F97E93"/>
    <w:rsid w:val="00FA03F4"/>
    <w:rsid w:val="00FA0AA7"/>
    <w:rsid w:val="00FA11D1"/>
    <w:rsid w:val="00FA1608"/>
    <w:rsid w:val="00FA169D"/>
    <w:rsid w:val="00FA16A0"/>
    <w:rsid w:val="00FA17F0"/>
    <w:rsid w:val="00FA1962"/>
    <w:rsid w:val="00FA1A53"/>
    <w:rsid w:val="00FA1BA9"/>
    <w:rsid w:val="00FA1ED5"/>
    <w:rsid w:val="00FA2582"/>
    <w:rsid w:val="00FA2D1E"/>
    <w:rsid w:val="00FA3ACE"/>
    <w:rsid w:val="00FA3C6D"/>
    <w:rsid w:val="00FA404F"/>
    <w:rsid w:val="00FA4185"/>
    <w:rsid w:val="00FA4391"/>
    <w:rsid w:val="00FA4570"/>
    <w:rsid w:val="00FA4690"/>
    <w:rsid w:val="00FA46C6"/>
    <w:rsid w:val="00FA472E"/>
    <w:rsid w:val="00FA475D"/>
    <w:rsid w:val="00FA47C5"/>
    <w:rsid w:val="00FA49BF"/>
    <w:rsid w:val="00FA4AC8"/>
    <w:rsid w:val="00FA4D64"/>
    <w:rsid w:val="00FA5C19"/>
    <w:rsid w:val="00FA5DB9"/>
    <w:rsid w:val="00FA6108"/>
    <w:rsid w:val="00FA6192"/>
    <w:rsid w:val="00FA6491"/>
    <w:rsid w:val="00FA6580"/>
    <w:rsid w:val="00FA6646"/>
    <w:rsid w:val="00FA686B"/>
    <w:rsid w:val="00FA6980"/>
    <w:rsid w:val="00FA6A43"/>
    <w:rsid w:val="00FA6BBA"/>
    <w:rsid w:val="00FA6D1D"/>
    <w:rsid w:val="00FA6FFF"/>
    <w:rsid w:val="00FA723F"/>
    <w:rsid w:val="00FA7424"/>
    <w:rsid w:val="00FA7D45"/>
    <w:rsid w:val="00FA7EC0"/>
    <w:rsid w:val="00FB0456"/>
    <w:rsid w:val="00FB0569"/>
    <w:rsid w:val="00FB1024"/>
    <w:rsid w:val="00FB15BD"/>
    <w:rsid w:val="00FB1A4F"/>
    <w:rsid w:val="00FB1A71"/>
    <w:rsid w:val="00FB1F6A"/>
    <w:rsid w:val="00FB1F8C"/>
    <w:rsid w:val="00FB1F92"/>
    <w:rsid w:val="00FB1FCE"/>
    <w:rsid w:val="00FB2342"/>
    <w:rsid w:val="00FB2A8B"/>
    <w:rsid w:val="00FB2B94"/>
    <w:rsid w:val="00FB2E17"/>
    <w:rsid w:val="00FB2EDA"/>
    <w:rsid w:val="00FB2FA1"/>
    <w:rsid w:val="00FB326C"/>
    <w:rsid w:val="00FB4617"/>
    <w:rsid w:val="00FB5483"/>
    <w:rsid w:val="00FB54AB"/>
    <w:rsid w:val="00FB54D3"/>
    <w:rsid w:val="00FB5838"/>
    <w:rsid w:val="00FB58AE"/>
    <w:rsid w:val="00FB5B41"/>
    <w:rsid w:val="00FB5E71"/>
    <w:rsid w:val="00FB6C67"/>
    <w:rsid w:val="00FB6E50"/>
    <w:rsid w:val="00FB6E89"/>
    <w:rsid w:val="00FB77C3"/>
    <w:rsid w:val="00FB78B5"/>
    <w:rsid w:val="00FB7BC5"/>
    <w:rsid w:val="00FB7D60"/>
    <w:rsid w:val="00FC003F"/>
    <w:rsid w:val="00FC0DD2"/>
    <w:rsid w:val="00FC0F02"/>
    <w:rsid w:val="00FC24B6"/>
    <w:rsid w:val="00FC2520"/>
    <w:rsid w:val="00FC29B2"/>
    <w:rsid w:val="00FC2D41"/>
    <w:rsid w:val="00FC3418"/>
    <w:rsid w:val="00FC34D7"/>
    <w:rsid w:val="00FC3753"/>
    <w:rsid w:val="00FC3980"/>
    <w:rsid w:val="00FC3B69"/>
    <w:rsid w:val="00FC40BD"/>
    <w:rsid w:val="00FC4176"/>
    <w:rsid w:val="00FC45EF"/>
    <w:rsid w:val="00FC4730"/>
    <w:rsid w:val="00FC4A53"/>
    <w:rsid w:val="00FC4F1C"/>
    <w:rsid w:val="00FC5138"/>
    <w:rsid w:val="00FC53C3"/>
    <w:rsid w:val="00FC5497"/>
    <w:rsid w:val="00FC5865"/>
    <w:rsid w:val="00FC602F"/>
    <w:rsid w:val="00FC60F4"/>
    <w:rsid w:val="00FC6208"/>
    <w:rsid w:val="00FC6212"/>
    <w:rsid w:val="00FC6411"/>
    <w:rsid w:val="00FC6427"/>
    <w:rsid w:val="00FC6C0A"/>
    <w:rsid w:val="00FC6C3E"/>
    <w:rsid w:val="00FC6D01"/>
    <w:rsid w:val="00FC6DC8"/>
    <w:rsid w:val="00FC79D8"/>
    <w:rsid w:val="00FC7B96"/>
    <w:rsid w:val="00FC7F81"/>
    <w:rsid w:val="00FD01C7"/>
    <w:rsid w:val="00FD01FE"/>
    <w:rsid w:val="00FD0599"/>
    <w:rsid w:val="00FD0647"/>
    <w:rsid w:val="00FD06D0"/>
    <w:rsid w:val="00FD09A1"/>
    <w:rsid w:val="00FD0D62"/>
    <w:rsid w:val="00FD1262"/>
    <w:rsid w:val="00FD1273"/>
    <w:rsid w:val="00FD1546"/>
    <w:rsid w:val="00FD190D"/>
    <w:rsid w:val="00FD1A06"/>
    <w:rsid w:val="00FD1BA4"/>
    <w:rsid w:val="00FD21EB"/>
    <w:rsid w:val="00FD223B"/>
    <w:rsid w:val="00FD24C9"/>
    <w:rsid w:val="00FD2F40"/>
    <w:rsid w:val="00FD3545"/>
    <w:rsid w:val="00FD3DF1"/>
    <w:rsid w:val="00FD4C93"/>
    <w:rsid w:val="00FD4DBF"/>
    <w:rsid w:val="00FD58B9"/>
    <w:rsid w:val="00FD5B9A"/>
    <w:rsid w:val="00FD6239"/>
    <w:rsid w:val="00FD6EF7"/>
    <w:rsid w:val="00FD77CA"/>
    <w:rsid w:val="00FD7A5D"/>
    <w:rsid w:val="00FD7CB9"/>
    <w:rsid w:val="00FD7E81"/>
    <w:rsid w:val="00FE0A1B"/>
    <w:rsid w:val="00FE0B4B"/>
    <w:rsid w:val="00FE0FA7"/>
    <w:rsid w:val="00FE1198"/>
    <w:rsid w:val="00FE1610"/>
    <w:rsid w:val="00FE183A"/>
    <w:rsid w:val="00FE27DA"/>
    <w:rsid w:val="00FE2B3F"/>
    <w:rsid w:val="00FE336A"/>
    <w:rsid w:val="00FE372E"/>
    <w:rsid w:val="00FE3933"/>
    <w:rsid w:val="00FE3B80"/>
    <w:rsid w:val="00FE3D65"/>
    <w:rsid w:val="00FE3DF4"/>
    <w:rsid w:val="00FE40EB"/>
    <w:rsid w:val="00FE43F9"/>
    <w:rsid w:val="00FE4546"/>
    <w:rsid w:val="00FE4733"/>
    <w:rsid w:val="00FE4D5D"/>
    <w:rsid w:val="00FE5296"/>
    <w:rsid w:val="00FE57FE"/>
    <w:rsid w:val="00FE58A2"/>
    <w:rsid w:val="00FE5BEA"/>
    <w:rsid w:val="00FE5D37"/>
    <w:rsid w:val="00FE6103"/>
    <w:rsid w:val="00FE685A"/>
    <w:rsid w:val="00FE6962"/>
    <w:rsid w:val="00FE6E87"/>
    <w:rsid w:val="00FE7094"/>
    <w:rsid w:val="00FE73A9"/>
    <w:rsid w:val="00FE7C86"/>
    <w:rsid w:val="00FF0168"/>
    <w:rsid w:val="00FF01EA"/>
    <w:rsid w:val="00FF03D4"/>
    <w:rsid w:val="00FF0893"/>
    <w:rsid w:val="00FF0EF6"/>
    <w:rsid w:val="00FF10FE"/>
    <w:rsid w:val="00FF1110"/>
    <w:rsid w:val="00FF18FE"/>
    <w:rsid w:val="00FF1A7C"/>
    <w:rsid w:val="00FF1ADB"/>
    <w:rsid w:val="00FF1B27"/>
    <w:rsid w:val="00FF1BB4"/>
    <w:rsid w:val="00FF1E25"/>
    <w:rsid w:val="00FF1E62"/>
    <w:rsid w:val="00FF239F"/>
    <w:rsid w:val="00FF249B"/>
    <w:rsid w:val="00FF2965"/>
    <w:rsid w:val="00FF2BCA"/>
    <w:rsid w:val="00FF32D7"/>
    <w:rsid w:val="00FF3374"/>
    <w:rsid w:val="00FF361F"/>
    <w:rsid w:val="00FF38F0"/>
    <w:rsid w:val="00FF3C45"/>
    <w:rsid w:val="00FF435C"/>
    <w:rsid w:val="00FF48D8"/>
    <w:rsid w:val="00FF5394"/>
    <w:rsid w:val="00FF5407"/>
    <w:rsid w:val="00FF5832"/>
    <w:rsid w:val="00FF5D7C"/>
    <w:rsid w:val="00FF5DDE"/>
    <w:rsid w:val="00FF5E71"/>
    <w:rsid w:val="00FF63DF"/>
    <w:rsid w:val="00FF693B"/>
    <w:rsid w:val="00FF6AC7"/>
    <w:rsid w:val="00FF7197"/>
    <w:rsid w:val="00FF7810"/>
    <w:rsid w:val="0B7B9AAF"/>
    <w:rsid w:val="1DF7FA81"/>
    <w:rsid w:val="2F2F0EAD"/>
    <w:rsid w:val="3CEF7E52"/>
    <w:rsid w:val="3EFEBB4A"/>
    <w:rsid w:val="3F3A3C40"/>
    <w:rsid w:val="3FDDB9CC"/>
    <w:rsid w:val="418D7953"/>
    <w:rsid w:val="46FFE37C"/>
    <w:rsid w:val="4FFF5477"/>
    <w:rsid w:val="53BDE9A1"/>
    <w:rsid w:val="5FFCBC1B"/>
    <w:rsid w:val="5FFCF53A"/>
    <w:rsid w:val="63F7BA1B"/>
    <w:rsid w:val="6577899A"/>
    <w:rsid w:val="65D9042D"/>
    <w:rsid w:val="677F3FDD"/>
    <w:rsid w:val="67DB7AB8"/>
    <w:rsid w:val="6D3EED74"/>
    <w:rsid w:val="6DBBFBBD"/>
    <w:rsid w:val="6FD7D6ED"/>
    <w:rsid w:val="76DFA249"/>
    <w:rsid w:val="77BA00BC"/>
    <w:rsid w:val="79FEC615"/>
    <w:rsid w:val="7DFF2300"/>
    <w:rsid w:val="7ED39F22"/>
    <w:rsid w:val="7EE5BBBF"/>
    <w:rsid w:val="7EFFBE18"/>
    <w:rsid w:val="7F7F04D8"/>
    <w:rsid w:val="7FFE9F82"/>
    <w:rsid w:val="9CFF4CF5"/>
    <w:rsid w:val="9F2E1881"/>
    <w:rsid w:val="AFF729A5"/>
    <w:rsid w:val="B4DE556D"/>
    <w:rsid w:val="B5CF0D52"/>
    <w:rsid w:val="B66FEF00"/>
    <w:rsid w:val="BE4FFB50"/>
    <w:rsid w:val="BEFF69D1"/>
    <w:rsid w:val="BF3307E6"/>
    <w:rsid w:val="C3FFC21F"/>
    <w:rsid w:val="D1FE2FCA"/>
    <w:rsid w:val="DBBFB2F4"/>
    <w:rsid w:val="E3FF2361"/>
    <w:rsid w:val="E599DAD7"/>
    <w:rsid w:val="E5F57EFB"/>
    <w:rsid w:val="EBF87BA3"/>
    <w:rsid w:val="EC7A7716"/>
    <w:rsid w:val="F6370B31"/>
    <w:rsid w:val="F71D5C72"/>
    <w:rsid w:val="FB7CFAC2"/>
    <w:rsid w:val="FBABA6EC"/>
    <w:rsid w:val="FDF62535"/>
    <w:rsid w:val="FF705963"/>
    <w:rsid w:val="FFD1C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99"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0" w:semiHidden="0" w:name="Table Grid" w:locked="1"/>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7"/>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58"/>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59"/>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locked/>
    <w:uiPriority w:val="0"/>
    <w:pPr>
      <w:keepNext/>
      <w:keepLines/>
      <w:spacing w:before="280" w:after="290" w:line="376" w:lineRule="auto"/>
      <w:ind w:left="864" w:hanging="864"/>
      <w:outlineLvl w:val="3"/>
    </w:pPr>
    <w:rPr>
      <w:rFonts w:ascii="Cambria" w:hAnsi="Cambria"/>
      <w:b/>
      <w:bCs/>
      <w:kern w:val="0"/>
      <w:sz w:val="30"/>
      <w:szCs w:val="28"/>
    </w:rPr>
  </w:style>
  <w:style w:type="paragraph" w:styleId="7">
    <w:name w:val="heading 5"/>
    <w:basedOn w:val="1"/>
    <w:next w:val="1"/>
    <w:link w:val="62"/>
    <w:qFormat/>
    <w:locked/>
    <w:uiPriority w:val="0"/>
    <w:pPr>
      <w:keepNext/>
      <w:keepLines/>
      <w:spacing w:before="280" w:after="290" w:line="376" w:lineRule="auto"/>
      <w:ind w:left="1008" w:hanging="1008"/>
      <w:outlineLvl w:val="4"/>
    </w:pPr>
    <w:rPr>
      <w:rFonts w:ascii="Calibri" w:hAnsi="Calibri"/>
      <w:b/>
      <w:bCs/>
      <w:kern w:val="0"/>
      <w:sz w:val="28"/>
      <w:szCs w:val="28"/>
    </w:rPr>
  </w:style>
  <w:style w:type="paragraph" w:styleId="8">
    <w:name w:val="heading 6"/>
    <w:basedOn w:val="1"/>
    <w:next w:val="1"/>
    <w:link w:val="63"/>
    <w:qFormat/>
    <w:locked/>
    <w:uiPriority w:val="0"/>
    <w:pPr>
      <w:keepNext/>
      <w:keepLines/>
      <w:spacing w:before="240" w:after="64" w:line="320" w:lineRule="auto"/>
      <w:ind w:left="1152" w:hanging="1152"/>
      <w:outlineLvl w:val="5"/>
    </w:pPr>
    <w:rPr>
      <w:rFonts w:ascii="Cambria" w:hAnsi="Cambria"/>
      <w:b/>
      <w:bCs/>
      <w:kern w:val="0"/>
      <w:sz w:val="24"/>
      <w:szCs w:val="24"/>
    </w:rPr>
  </w:style>
  <w:style w:type="paragraph" w:styleId="9">
    <w:name w:val="heading 7"/>
    <w:basedOn w:val="8"/>
    <w:next w:val="1"/>
    <w:link w:val="64"/>
    <w:qFormat/>
    <w:locked/>
    <w:uiPriority w:val="0"/>
    <w:pPr>
      <w:outlineLvl w:val="6"/>
    </w:pPr>
  </w:style>
  <w:style w:type="paragraph" w:styleId="10">
    <w:name w:val="heading 8"/>
    <w:basedOn w:val="1"/>
    <w:next w:val="1"/>
    <w:link w:val="65"/>
    <w:qFormat/>
    <w:locked/>
    <w:uiPriority w:val="0"/>
    <w:pPr>
      <w:keepNext/>
      <w:keepLines/>
      <w:spacing w:before="240" w:after="64" w:line="320" w:lineRule="auto"/>
      <w:ind w:left="1440" w:hanging="1440"/>
      <w:outlineLvl w:val="7"/>
    </w:pPr>
    <w:rPr>
      <w:rFonts w:ascii="Cambria" w:hAnsi="Cambria"/>
      <w:kern w:val="0"/>
      <w:sz w:val="24"/>
      <w:szCs w:val="24"/>
    </w:rPr>
  </w:style>
  <w:style w:type="paragraph" w:styleId="11">
    <w:name w:val="heading 9"/>
    <w:basedOn w:val="1"/>
    <w:next w:val="1"/>
    <w:link w:val="66"/>
    <w:qFormat/>
    <w:locked/>
    <w:uiPriority w:val="0"/>
    <w:pPr>
      <w:keepNext/>
      <w:keepLines/>
      <w:spacing w:before="240" w:after="64" w:line="320" w:lineRule="auto"/>
      <w:ind w:left="1584" w:hanging="1584"/>
      <w:outlineLvl w:val="8"/>
    </w:pPr>
    <w:rPr>
      <w:rFonts w:ascii="Cambria" w:hAnsi="Cambria"/>
      <w:kern w:val="0"/>
      <w:sz w:val="20"/>
      <w:szCs w:val="20"/>
    </w:rPr>
  </w:style>
  <w:style w:type="character" w:default="1" w:styleId="49">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5">
    <w:name w:val="Normal Indent"/>
    <w:basedOn w:val="1"/>
    <w:link w:val="60"/>
    <w:qFormat/>
    <w:uiPriority w:val="0"/>
    <w:pPr>
      <w:ind w:firstLine="420" w:firstLineChars="200"/>
    </w:pPr>
  </w:style>
  <w:style w:type="paragraph" w:styleId="12">
    <w:name w:val="List 3"/>
    <w:basedOn w:val="1"/>
    <w:qFormat/>
    <w:uiPriority w:val="0"/>
    <w:pPr>
      <w:ind w:left="1260" w:hanging="420"/>
    </w:pPr>
    <w:rPr>
      <w:szCs w:val="20"/>
    </w:rPr>
  </w:style>
  <w:style w:type="paragraph" w:styleId="13">
    <w:name w:val="toc 7"/>
    <w:basedOn w:val="1"/>
    <w:next w:val="1"/>
    <w:unhideWhenUsed/>
    <w:qFormat/>
    <w:locked/>
    <w:uiPriority w:val="39"/>
    <w:pPr>
      <w:ind w:left="1260"/>
      <w:jc w:val="left"/>
    </w:pPr>
    <w:rPr>
      <w:rFonts w:asciiTheme="minorHAnsi" w:hAnsiTheme="minorHAnsi" w:cstheme="minorHAnsi"/>
      <w:sz w:val="18"/>
      <w:szCs w:val="18"/>
    </w:rPr>
  </w:style>
  <w:style w:type="paragraph" w:styleId="14">
    <w:name w:val="caption"/>
    <w:basedOn w:val="1"/>
    <w:next w:val="1"/>
    <w:qFormat/>
    <w:locked/>
    <w:uiPriority w:val="0"/>
    <w:rPr>
      <w:rFonts w:ascii="Calibri Light" w:hAnsi="Calibri Light" w:eastAsia="黑体" w:cs="黑体"/>
      <w:sz w:val="20"/>
      <w:szCs w:val="20"/>
    </w:rPr>
  </w:style>
  <w:style w:type="paragraph" w:styleId="15">
    <w:name w:val="List Bullet"/>
    <w:basedOn w:val="1"/>
    <w:qFormat/>
    <w:uiPriority w:val="99"/>
    <w:pPr>
      <w:tabs>
        <w:tab w:val="left" w:pos="360"/>
      </w:tabs>
      <w:ind w:left="360" w:hanging="360" w:hangingChars="200"/>
    </w:pPr>
    <w:rPr>
      <w:szCs w:val="24"/>
    </w:rPr>
  </w:style>
  <w:style w:type="paragraph" w:styleId="16">
    <w:name w:val="Document Map"/>
    <w:basedOn w:val="1"/>
    <w:link w:val="67"/>
    <w:qFormat/>
    <w:uiPriority w:val="99"/>
    <w:rPr>
      <w:rFonts w:ascii="宋体" w:hAnsi="Calibri"/>
      <w:kern w:val="0"/>
      <w:sz w:val="18"/>
      <w:szCs w:val="18"/>
    </w:rPr>
  </w:style>
  <w:style w:type="paragraph" w:styleId="17">
    <w:name w:val="annotation text"/>
    <w:basedOn w:val="1"/>
    <w:link w:val="68"/>
    <w:qFormat/>
    <w:uiPriority w:val="99"/>
    <w:pPr>
      <w:spacing w:line="400" w:lineRule="exact"/>
      <w:jc w:val="left"/>
    </w:pPr>
    <w:rPr>
      <w:rFonts w:ascii="Calibri" w:hAnsi="Calibri"/>
      <w:kern w:val="0"/>
      <w:sz w:val="24"/>
      <w:szCs w:val="24"/>
    </w:rPr>
  </w:style>
  <w:style w:type="paragraph" w:styleId="18">
    <w:name w:val="Body Text 3"/>
    <w:basedOn w:val="1"/>
    <w:link w:val="69"/>
    <w:qFormat/>
    <w:uiPriority w:val="0"/>
    <w:rPr>
      <w:sz w:val="18"/>
      <w:szCs w:val="20"/>
    </w:rPr>
  </w:style>
  <w:style w:type="paragraph" w:styleId="19">
    <w:name w:val="Body Text"/>
    <w:basedOn w:val="1"/>
    <w:link w:val="70"/>
    <w:qFormat/>
    <w:uiPriority w:val="0"/>
    <w:pPr>
      <w:adjustRightInd w:val="0"/>
      <w:snapToGrid w:val="0"/>
    </w:pPr>
    <w:rPr>
      <w:color w:val="000000"/>
      <w:sz w:val="15"/>
      <w:szCs w:val="24"/>
    </w:rPr>
  </w:style>
  <w:style w:type="paragraph" w:styleId="20">
    <w:name w:val="Body Text Indent"/>
    <w:basedOn w:val="1"/>
    <w:link w:val="71"/>
    <w:qFormat/>
    <w:uiPriority w:val="0"/>
    <w:pPr>
      <w:spacing w:after="120"/>
      <w:ind w:left="420" w:leftChars="200"/>
    </w:pPr>
    <w:rPr>
      <w:szCs w:val="24"/>
    </w:rPr>
  </w:style>
  <w:style w:type="paragraph" w:styleId="21">
    <w:name w:val="List 2"/>
    <w:basedOn w:val="1"/>
    <w:qFormat/>
    <w:uiPriority w:val="0"/>
    <w:pPr>
      <w:ind w:left="840" w:hanging="420"/>
    </w:pPr>
    <w:rPr>
      <w:szCs w:val="20"/>
    </w:rPr>
  </w:style>
  <w:style w:type="paragraph" w:styleId="22">
    <w:name w:val="toc 5"/>
    <w:basedOn w:val="1"/>
    <w:next w:val="1"/>
    <w:unhideWhenUsed/>
    <w:qFormat/>
    <w:locked/>
    <w:uiPriority w:val="39"/>
    <w:pPr>
      <w:ind w:left="840"/>
      <w:jc w:val="left"/>
    </w:pPr>
    <w:rPr>
      <w:rFonts w:asciiTheme="minorHAnsi" w:hAnsiTheme="minorHAnsi" w:cstheme="minorHAnsi"/>
      <w:sz w:val="18"/>
      <w:szCs w:val="18"/>
    </w:rPr>
  </w:style>
  <w:style w:type="paragraph" w:styleId="23">
    <w:name w:val="toc 3"/>
    <w:basedOn w:val="1"/>
    <w:next w:val="1"/>
    <w:qFormat/>
    <w:locked/>
    <w:uiPriority w:val="39"/>
    <w:pPr>
      <w:ind w:left="420"/>
      <w:jc w:val="left"/>
    </w:pPr>
    <w:rPr>
      <w:rFonts w:asciiTheme="minorHAnsi" w:hAnsiTheme="minorHAnsi" w:cstheme="minorHAnsi"/>
      <w:i/>
      <w:iCs/>
      <w:sz w:val="20"/>
      <w:szCs w:val="20"/>
    </w:rPr>
  </w:style>
  <w:style w:type="paragraph" w:styleId="24">
    <w:name w:val="Plain Text"/>
    <w:basedOn w:val="1"/>
    <w:link w:val="72"/>
    <w:qFormat/>
    <w:uiPriority w:val="0"/>
    <w:rPr>
      <w:rFonts w:ascii="宋体" w:hAnsi="Courier New"/>
      <w:kern w:val="0"/>
    </w:rPr>
  </w:style>
  <w:style w:type="paragraph" w:styleId="25">
    <w:name w:val="toc 8"/>
    <w:basedOn w:val="1"/>
    <w:next w:val="1"/>
    <w:unhideWhenUsed/>
    <w:qFormat/>
    <w:locked/>
    <w:uiPriority w:val="39"/>
    <w:pPr>
      <w:ind w:left="1470"/>
      <w:jc w:val="left"/>
    </w:pPr>
    <w:rPr>
      <w:rFonts w:asciiTheme="minorHAnsi" w:hAnsiTheme="minorHAnsi" w:cstheme="minorHAnsi"/>
      <w:sz w:val="18"/>
      <w:szCs w:val="18"/>
    </w:rPr>
  </w:style>
  <w:style w:type="paragraph" w:styleId="26">
    <w:name w:val="Date"/>
    <w:basedOn w:val="1"/>
    <w:next w:val="1"/>
    <w:link w:val="73"/>
    <w:qFormat/>
    <w:uiPriority w:val="0"/>
    <w:pPr>
      <w:ind w:left="100" w:leftChars="2500"/>
    </w:pPr>
    <w:rPr>
      <w:rFonts w:ascii="Calibri" w:hAnsi="Calibri"/>
      <w:kern w:val="0"/>
      <w:sz w:val="24"/>
      <w:szCs w:val="24"/>
    </w:rPr>
  </w:style>
  <w:style w:type="paragraph" w:styleId="27">
    <w:name w:val="Body Text Indent 2"/>
    <w:basedOn w:val="1"/>
    <w:link w:val="74"/>
    <w:unhideWhenUsed/>
    <w:qFormat/>
    <w:uiPriority w:val="0"/>
    <w:pPr>
      <w:spacing w:after="120" w:line="480" w:lineRule="auto"/>
      <w:ind w:left="420" w:leftChars="200"/>
    </w:pPr>
  </w:style>
  <w:style w:type="paragraph" w:styleId="28">
    <w:name w:val="Balloon Text"/>
    <w:basedOn w:val="1"/>
    <w:link w:val="75"/>
    <w:qFormat/>
    <w:uiPriority w:val="0"/>
    <w:rPr>
      <w:rFonts w:ascii="Calibri" w:hAnsi="Calibri"/>
      <w:kern w:val="0"/>
      <w:sz w:val="18"/>
      <w:szCs w:val="18"/>
    </w:rPr>
  </w:style>
  <w:style w:type="paragraph" w:styleId="29">
    <w:name w:val="footer"/>
    <w:basedOn w:val="1"/>
    <w:link w:val="76"/>
    <w:qFormat/>
    <w:uiPriority w:val="99"/>
    <w:pPr>
      <w:tabs>
        <w:tab w:val="center" w:pos="4153"/>
        <w:tab w:val="right" w:pos="8306"/>
      </w:tabs>
      <w:snapToGrid w:val="0"/>
      <w:jc w:val="left"/>
    </w:pPr>
    <w:rPr>
      <w:sz w:val="18"/>
      <w:szCs w:val="18"/>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locked/>
    <w:uiPriority w:val="39"/>
    <w:pPr>
      <w:spacing w:before="120" w:after="120"/>
      <w:jc w:val="left"/>
    </w:pPr>
    <w:rPr>
      <w:rFonts w:asciiTheme="minorHAnsi" w:hAnsiTheme="minorHAnsi" w:cstheme="minorHAnsi"/>
      <w:b/>
      <w:bCs/>
      <w:caps/>
      <w:sz w:val="20"/>
      <w:szCs w:val="20"/>
    </w:rPr>
  </w:style>
  <w:style w:type="paragraph" w:styleId="32">
    <w:name w:val="toc 4"/>
    <w:basedOn w:val="1"/>
    <w:next w:val="1"/>
    <w:unhideWhenUsed/>
    <w:qFormat/>
    <w:locked/>
    <w:uiPriority w:val="39"/>
    <w:pPr>
      <w:ind w:left="630"/>
      <w:jc w:val="left"/>
    </w:pPr>
    <w:rPr>
      <w:rFonts w:asciiTheme="minorHAnsi" w:hAnsiTheme="minorHAnsi" w:cstheme="minorHAnsi"/>
      <w:sz w:val="18"/>
      <w:szCs w:val="18"/>
    </w:rPr>
  </w:style>
  <w:style w:type="paragraph" w:styleId="33">
    <w:name w:val="Subtitle"/>
    <w:basedOn w:val="1"/>
    <w:next w:val="1"/>
    <w:link w:val="78"/>
    <w:qFormat/>
    <w:locked/>
    <w:uiPriority w:val="11"/>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ind w:left="420" w:hanging="420"/>
    </w:pPr>
    <w:rPr>
      <w:szCs w:val="20"/>
    </w:rPr>
  </w:style>
  <w:style w:type="paragraph" w:styleId="35">
    <w:name w:val="toc 6"/>
    <w:basedOn w:val="1"/>
    <w:next w:val="1"/>
    <w:unhideWhenUsed/>
    <w:qFormat/>
    <w:locked/>
    <w:uiPriority w:val="39"/>
    <w:pPr>
      <w:ind w:left="1050"/>
      <w:jc w:val="left"/>
    </w:pPr>
    <w:rPr>
      <w:rFonts w:asciiTheme="minorHAnsi" w:hAnsiTheme="minorHAnsi" w:cstheme="minorHAnsi"/>
      <w:sz w:val="18"/>
      <w:szCs w:val="18"/>
    </w:rPr>
  </w:style>
  <w:style w:type="paragraph" w:styleId="36">
    <w:name w:val="Body Text Indent 3"/>
    <w:basedOn w:val="1"/>
    <w:link w:val="79"/>
    <w:unhideWhenUsed/>
    <w:qFormat/>
    <w:uiPriority w:val="0"/>
    <w:pPr>
      <w:spacing w:after="120"/>
      <w:ind w:left="420" w:leftChars="200"/>
    </w:pPr>
    <w:rPr>
      <w:sz w:val="16"/>
      <w:szCs w:val="16"/>
    </w:rPr>
  </w:style>
  <w:style w:type="paragraph" w:styleId="37">
    <w:name w:val="toc 2"/>
    <w:basedOn w:val="1"/>
    <w:next w:val="1"/>
    <w:qFormat/>
    <w:locked/>
    <w:uiPriority w:val="39"/>
    <w:pPr>
      <w:ind w:left="210"/>
      <w:jc w:val="left"/>
    </w:pPr>
    <w:rPr>
      <w:rFonts w:asciiTheme="minorHAnsi" w:hAnsiTheme="minorHAnsi" w:cstheme="minorHAnsi"/>
      <w:smallCaps/>
      <w:sz w:val="20"/>
      <w:szCs w:val="20"/>
    </w:rPr>
  </w:style>
  <w:style w:type="paragraph" w:styleId="38">
    <w:name w:val="toc 9"/>
    <w:basedOn w:val="1"/>
    <w:next w:val="1"/>
    <w:unhideWhenUsed/>
    <w:qFormat/>
    <w:locked/>
    <w:uiPriority w:val="39"/>
    <w:pPr>
      <w:ind w:left="1680"/>
      <w:jc w:val="left"/>
    </w:pPr>
    <w:rPr>
      <w:rFonts w:asciiTheme="minorHAnsi" w:hAnsiTheme="minorHAnsi" w:cstheme="minorHAnsi"/>
      <w:sz w:val="18"/>
      <w:szCs w:val="18"/>
    </w:rPr>
  </w:style>
  <w:style w:type="paragraph" w:styleId="39">
    <w:name w:val="Body Text 2"/>
    <w:basedOn w:val="1"/>
    <w:link w:val="80"/>
    <w:qFormat/>
    <w:uiPriority w:val="0"/>
    <w:pPr>
      <w:jc w:val="center"/>
    </w:pPr>
    <w:rPr>
      <w:rFonts w:ascii="Calibri" w:hAnsi="Calibri"/>
      <w:kern w:val="0"/>
      <w:sz w:val="32"/>
      <w:szCs w:val="32"/>
    </w:rPr>
  </w:style>
  <w:style w:type="paragraph" w:styleId="40">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2">
    <w:name w:val="Title"/>
    <w:basedOn w:val="1"/>
    <w:next w:val="1"/>
    <w:link w:val="82"/>
    <w:qFormat/>
    <w:uiPriority w:val="0"/>
    <w:pPr>
      <w:spacing w:before="240" w:after="60"/>
      <w:jc w:val="center"/>
      <w:outlineLvl w:val="0"/>
    </w:pPr>
    <w:rPr>
      <w:rFonts w:ascii="Cambria" w:hAnsi="Cambria" w:cs="Cambria"/>
      <w:b/>
      <w:bCs/>
      <w:sz w:val="32"/>
      <w:szCs w:val="32"/>
    </w:rPr>
  </w:style>
  <w:style w:type="paragraph" w:styleId="43">
    <w:name w:val="annotation subject"/>
    <w:basedOn w:val="17"/>
    <w:next w:val="17"/>
    <w:link w:val="83"/>
    <w:unhideWhenUsed/>
    <w:qFormat/>
    <w:uiPriority w:val="0"/>
    <w:pPr>
      <w:spacing w:line="240" w:lineRule="auto"/>
    </w:pPr>
    <w:rPr>
      <w:rFonts w:ascii="Times New Roman" w:hAnsi="Times New Roman"/>
      <w:b/>
      <w:bCs/>
      <w:kern w:val="2"/>
      <w:sz w:val="21"/>
      <w:szCs w:val="21"/>
    </w:rPr>
  </w:style>
  <w:style w:type="paragraph" w:styleId="44">
    <w:name w:val="Body Text First Indent"/>
    <w:basedOn w:val="1"/>
    <w:link w:val="84"/>
    <w:qFormat/>
    <w:uiPriority w:val="0"/>
    <w:pPr>
      <w:ind w:firstLine="200" w:firstLineChars="200"/>
    </w:pPr>
    <w:rPr>
      <w:sz w:val="24"/>
    </w:rPr>
  </w:style>
  <w:style w:type="table" w:styleId="46">
    <w:name w:val="Table Grid"/>
    <w:basedOn w:val="45"/>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Theme"/>
    <w:basedOn w:val="4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8">
    <w:name w:val="Table Colorful 1"/>
    <w:basedOn w:val="45"/>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50">
    <w:name w:val="Strong"/>
    <w:qFormat/>
    <w:locked/>
    <w:uiPriority w:val="0"/>
    <w:rPr>
      <w:b/>
      <w:bCs/>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qFormat/>
    <w:locked/>
    <w:uiPriority w:val="0"/>
    <w:rPr>
      <w:i/>
      <w:iCs/>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HTML Cite"/>
    <w:qFormat/>
    <w:uiPriority w:val="0"/>
    <w:rPr>
      <w:sz w:val="24"/>
      <w:szCs w:val="24"/>
    </w:rPr>
  </w:style>
  <w:style w:type="character" w:customStyle="1" w:styleId="57">
    <w:name w:val="标题 1 Char"/>
    <w:link w:val="2"/>
    <w:qFormat/>
    <w:locked/>
    <w:uiPriority w:val="0"/>
    <w:rPr>
      <w:rFonts w:ascii="Times New Roman" w:hAnsi="Times New Roman" w:eastAsia="宋体" w:cs="Times New Roman"/>
      <w:b/>
      <w:bCs/>
      <w:kern w:val="44"/>
      <w:sz w:val="44"/>
      <w:szCs w:val="44"/>
    </w:rPr>
  </w:style>
  <w:style w:type="character" w:customStyle="1" w:styleId="58">
    <w:name w:val="标题 2 Char"/>
    <w:link w:val="3"/>
    <w:qFormat/>
    <w:uiPriority w:val="0"/>
    <w:rPr>
      <w:rFonts w:ascii="Arial" w:hAnsi="Arial" w:eastAsia="黑体"/>
      <w:b/>
      <w:bCs/>
      <w:kern w:val="2"/>
      <w:sz w:val="32"/>
      <w:szCs w:val="32"/>
    </w:rPr>
  </w:style>
  <w:style w:type="character" w:customStyle="1" w:styleId="59">
    <w:name w:val="标题 3 Char"/>
    <w:link w:val="4"/>
    <w:qFormat/>
    <w:locked/>
    <w:uiPriority w:val="9"/>
    <w:rPr>
      <w:rFonts w:ascii="Times New Roman" w:hAnsi="Times New Roman" w:eastAsia="宋体" w:cs="Times New Roman"/>
      <w:b/>
      <w:bCs/>
      <w:sz w:val="20"/>
      <w:szCs w:val="20"/>
    </w:rPr>
  </w:style>
  <w:style w:type="character" w:customStyle="1" w:styleId="60">
    <w:name w:val="正文缩进 Char"/>
    <w:link w:val="5"/>
    <w:qFormat/>
    <w:uiPriority w:val="0"/>
    <w:rPr>
      <w:rFonts w:ascii="Times New Roman" w:hAnsi="Times New Roman"/>
      <w:kern w:val="2"/>
      <w:sz w:val="21"/>
      <w:szCs w:val="21"/>
    </w:rPr>
  </w:style>
  <w:style w:type="character" w:customStyle="1" w:styleId="61">
    <w:name w:val="标题 4 Char"/>
    <w:link w:val="6"/>
    <w:qFormat/>
    <w:uiPriority w:val="0"/>
    <w:rPr>
      <w:rFonts w:ascii="Cambria" w:hAnsi="Cambria"/>
      <w:b/>
      <w:bCs/>
      <w:sz w:val="30"/>
      <w:szCs w:val="28"/>
    </w:rPr>
  </w:style>
  <w:style w:type="character" w:customStyle="1" w:styleId="62">
    <w:name w:val="标题 5 Char"/>
    <w:link w:val="7"/>
    <w:qFormat/>
    <w:uiPriority w:val="0"/>
    <w:rPr>
      <w:b/>
      <w:bCs/>
      <w:sz w:val="28"/>
      <w:szCs w:val="28"/>
    </w:rPr>
  </w:style>
  <w:style w:type="character" w:customStyle="1" w:styleId="63">
    <w:name w:val="标题 6 Char"/>
    <w:link w:val="8"/>
    <w:qFormat/>
    <w:uiPriority w:val="0"/>
    <w:rPr>
      <w:rFonts w:ascii="Cambria" w:hAnsi="Cambria"/>
      <w:b/>
      <w:bCs/>
      <w:sz w:val="24"/>
      <w:szCs w:val="24"/>
    </w:rPr>
  </w:style>
  <w:style w:type="character" w:customStyle="1" w:styleId="64">
    <w:name w:val="标题 7 Char"/>
    <w:link w:val="9"/>
    <w:qFormat/>
    <w:uiPriority w:val="0"/>
    <w:rPr>
      <w:rFonts w:ascii="Cambria" w:hAnsi="Cambria"/>
      <w:b/>
      <w:bCs/>
      <w:sz w:val="24"/>
      <w:szCs w:val="24"/>
    </w:rPr>
  </w:style>
  <w:style w:type="character" w:customStyle="1" w:styleId="65">
    <w:name w:val="标题 8 Char"/>
    <w:link w:val="10"/>
    <w:qFormat/>
    <w:uiPriority w:val="0"/>
    <w:rPr>
      <w:rFonts w:ascii="Cambria" w:hAnsi="Cambria"/>
      <w:sz w:val="24"/>
      <w:szCs w:val="24"/>
    </w:rPr>
  </w:style>
  <w:style w:type="character" w:customStyle="1" w:styleId="66">
    <w:name w:val="标题 9 Char"/>
    <w:link w:val="11"/>
    <w:qFormat/>
    <w:uiPriority w:val="0"/>
    <w:rPr>
      <w:rFonts w:ascii="Cambria" w:hAnsi="Cambria"/>
    </w:rPr>
  </w:style>
  <w:style w:type="character" w:customStyle="1" w:styleId="67">
    <w:name w:val="文档结构图 Char"/>
    <w:link w:val="16"/>
    <w:qFormat/>
    <w:locked/>
    <w:uiPriority w:val="99"/>
    <w:rPr>
      <w:rFonts w:ascii="Times New Roman" w:hAnsi="Times New Roman" w:cs="Times New Roman"/>
      <w:sz w:val="2"/>
      <w:szCs w:val="2"/>
    </w:rPr>
  </w:style>
  <w:style w:type="character" w:customStyle="1" w:styleId="68">
    <w:name w:val="批注文字 Char"/>
    <w:link w:val="17"/>
    <w:qFormat/>
    <w:locked/>
    <w:uiPriority w:val="99"/>
    <w:rPr>
      <w:rFonts w:ascii="Times New Roman" w:hAnsi="Times New Roman" w:cs="Times New Roman"/>
      <w:sz w:val="21"/>
      <w:szCs w:val="21"/>
    </w:rPr>
  </w:style>
  <w:style w:type="character" w:customStyle="1" w:styleId="69">
    <w:name w:val="正文文本 3 Char"/>
    <w:link w:val="18"/>
    <w:qFormat/>
    <w:uiPriority w:val="0"/>
    <w:rPr>
      <w:rFonts w:ascii="Times New Roman" w:hAnsi="Times New Roman"/>
      <w:kern w:val="2"/>
      <w:sz w:val="18"/>
    </w:rPr>
  </w:style>
  <w:style w:type="character" w:customStyle="1" w:styleId="70">
    <w:name w:val="正文文本 Char"/>
    <w:link w:val="19"/>
    <w:qFormat/>
    <w:uiPriority w:val="1"/>
    <w:rPr>
      <w:rFonts w:ascii="Times New Roman" w:hAnsi="Times New Roman"/>
      <w:color w:val="000000"/>
      <w:kern w:val="2"/>
      <w:sz w:val="15"/>
      <w:szCs w:val="24"/>
    </w:rPr>
  </w:style>
  <w:style w:type="character" w:customStyle="1" w:styleId="71">
    <w:name w:val="正文文本缩进 Char"/>
    <w:link w:val="20"/>
    <w:qFormat/>
    <w:uiPriority w:val="99"/>
    <w:rPr>
      <w:rFonts w:ascii="Times New Roman" w:hAnsi="Times New Roman"/>
      <w:kern w:val="2"/>
      <w:sz w:val="21"/>
      <w:szCs w:val="24"/>
    </w:rPr>
  </w:style>
  <w:style w:type="character" w:customStyle="1" w:styleId="72">
    <w:name w:val="纯文本 Char"/>
    <w:link w:val="24"/>
    <w:qFormat/>
    <w:locked/>
    <w:uiPriority w:val="0"/>
    <w:rPr>
      <w:rFonts w:ascii="宋体" w:hAnsi="Courier New" w:cs="宋体"/>
      <w:sz w:val="21"/>
      <w:szCs w:val="21"/>
    </w:rPr>
  </w:style>
  <w:style w:type="character" w:customStyle="1" w:styleId="73">
    <w:name w:val="日期 Char"/>
    <w:link w:val="26"/>
    <w:qFormat/>
    <w:locked/>
    <w:uiPriority w:val="0"/>
    <w:rPr>
      <w:rFonts w:ascii="Times New Roman" w:hAnsi="Times New Roman" w:cs="Times New Roman"/>
      <w:sz w:val="21"/>
      <w:szCs w:val="21"/>
    </w:rPr>
  </w:style>
  <w:style w:type="character" w:customStyle="1" w:styleId="74">
    <w:name w:val="正文文本缩进 2 Char"/>
    <w:link w:val="27"/>
    <w:qFormat/>
    <w:uiPriority w:val="0"/>
    <w:rPr>
      <w:rFonts w:ascii="Times New Roman" w:hAnsi="Times New Roman"/>
      <w:kern w:val="2"/>
      <w:sz w:val="21"/>
      <w:szCs w:val="21"/>
    </w:rPr>
  </w:style>
  <w:style w:type="character" w:customStyle="1" w:styleId="75">
    <w:name w:val="批注框文本 Char"/>
    <w:link w:val="28"/>
    <w:qFormat/>
    <w:locked/>
    <w:uiPriority w:val="0"/>
    <w:rPr>
      <w:rFonts w:ascii="Times New Roman" w:hAnsi="Times New Roman" w:cs="Times New Roman"/>
      <w:sz w:val="2"/>
      <w:szCs w:val="2"/>
    </w:rPr>
  </w:style>
  <w:style w:type="character" w:customStyle="1" w:styleId="76">
    <w:name w:val="页脚 Char"/>
    <w:link w:val="29"/>
    <w:qFormat/>
    <w:locked/>
    <w:uiPriority w:val="99"/>
    <w:rPr>
      <w:sz w:val="18"/>
      <w:szCs w:val="18"/>
    </w:rPr>
  </w:style>
  <w:style w:type="character" w:customStyle="1" w:styleId="77">
    <w:name w:val="页眉 Char"/>
    <w:link w:val="30"/>
    <w:qFormat/>
    <w:locked/>
    <w:uiPriority w:val="99"/>
    <w:rPr>
      <w:sz w:val="18"/>
      <w:szCs w:val="18"/>
    </w:rPr>
  </w:style>
  <w:style w:type="character" w:customStyle="1" w:styleId="78">
    <w:name w:val="副标题 Char"/>
    <w:link w:val="33"/>
    <w:qFormat/>
    <w:uiPriority w:val="11"/>
    <w:rPr>
      <w:rFonts w:ascii="Cambria" w:hAnsi="Cambria" w:cs="Times New Roman"/>
      <w:b/>
      <w:bCs/>
      <w:kern w:val="28"/>
      <w:sz w:val="32"/>
      <w:szCs w:val="32"/>
    </w:rPr>
  </w:style>
  <w:style w:type="character" w:customStyle="1" w:styleId="79">
    <w:name w:val="正文文本缩进 3 Char"/>
    <w:link w:val="36"/>
    <w:qFormat/>
    <w:uiPriority w:val="99"/>
    <w:rPr>
      <w:rFonts w:ascii="Times New Roman" w:hAnsi="Times New Roman"/>
      <w:kern w:val="2"/>
      <w:sz w:val="16"/>
      <w:szCs w:val="16"/>
    </w:rPr>
  </w:style>
  <w:style w:type="character" w:customStyle="1" w:styleId="80">
    <w:name w:val="正文文本 2 Char"/>
    <w:link w:val="39"/>
    <w:qFormat/>
    <w:locked/>
    <w:uiPriority w:val="0"/>
    <w:rPr>
      <w:rFonts w:ascii="Times New Roman" w:hAnsi="Times New Roman" w:cs="Times New Roman"/>
      <w:sz w:val="21"/>
      <w:szCs w:val="21"/>
    </w:rPr>
  </w:style>
  <w:style w:type="character" w:customStyle="1" w:styleId="81">
    <w:name w:val="HTML 预设格式 Char"/>
    <w:link w:val="40"/>
    <w:qFormat/>
    <w:uiPriority w:val="99"/>
    <w:rPr>
      <w:rFonts w:ascii="黑体" w:hAnsi="Courier New" w:eastAsia="黑体"/>
    </w:rPr>
  </w:style>
  <w:style w:type="character" w:customStyle="1" w:styleId="82">
    <w:name w:val="标题 Char"/>
    <w:link w:val="42"/>
    <w:qFormat/>
    <w:locked/>
    <w:uiPriority w:val="0"/>
    <w:rPr>
      <w:rFonts w:ascii="Cambria" w:hAnsi="Cambria" w:eastAsia="宋体" w:cs="Cambria"/>
      <w:b/>
      <w:bCs/>
      <w:sz w:val="32"/>
      <w:szCs w:val="32"/>
    </w:rPr>
  </w:style>
  <w:style w:type="character" w:customStyle="1" w:styleId="83">
    <w:name w:val="批注主题 Char"/>
    <w:link w:val="43"/>
    <w:qFormat/>
    <w:uiPriority w:val="0"/>
    <w:rPr>
      <w:rFonts w:ascii="Times New Roman" w:hAnsi="Times New Roman" w:cs="Times New Roman"/>
      <w:b/>
      <w:bCs/>
      <w:kern w:val="2"/>
      <w:sz w:val="21"/>
      <w:szCs w:val="21"/>
    </w:rPr>
  </w:style>
  <w:style w:type="character" w:customStyle="1" w:styleId="84">
    <w:name w:val="正文首行缩进 Char"/>
    <w:link w:val="44"/>
    <w:qFormat/>
    <w:uiPriority w:val="0"/>
    <w:rPr>
      <w:rFonts w:ascii="Times New Roman" w:hAnsi="Times New Roman"/>
      <w:color w:val="000000"/>
      <w:kern w:val="2"/>
      <w:sz w:val="24"/>
      <w:szCs w:val="21"/>
    </w:rPr>
  </w:style>
  <w:style w:type="character" w:customStyle="1" w:styleId="85">
    <w:name w:val="Document Map Char"/>
    <w:qFormat/>
    <w:locked/>
    <w:uiPriority w:val="99"/>
    <w:rPr>
      <w:rFonts w:ascii="宋体" w:cs="宋体"/>
      <w:sz w:val="18"/>
      <w:szCs w:val="18"/>
    </w:rPr>
  </w:style>
  <w:style w:type="character" w:customStyle="1" w:styleId="86">
    <w:name w:val="Date Char"/>
    <w:qFormat/>
    <w:locked/>
    <w:uiPriority w:val="99"/>
    <w:rPr>
      <w:sz w:val="24"/>
      <w:szCs w:val="24"/>
    </w:rPr>
  </w:style>
  <w:style w:type="character" w:customStyle="1" w:styleId="87">
    <w:name w:val="Plain Text Char"/>
    <w:qFormat/>
    <w:locked/>
    <w:uiPriority w:val="99"/>
    <w:rPr>
      <w:rFonts w:ascii="宋体" w:hAnsi="Courier New" w:cs="宋体"/>
      <w:sz w:val="21"/>
      <w:szCs w:val="21"/>
    </w:rPr>
  </w:style>
  <w:style w:type="character" w:customStyle="1" w:styleId="88">
    <w:name w:val="Comment Text Char"/>
    <w:qFormat/>
    <w:locked/>
    <w:uiPriority w:val="0"/>
    <w:rPr>
      <w:sz w:val="24"/>
      <w:szCs w:val="24"/>
    </w:rPr>
  </w:style>
  <w:style w:type="character" w:customStyle="1" w:styleId="89">
    <w:name w:val="Body Text 2 Char"/>
    <w:qFormat/>
    <w:locked/>
    <w:uiPriority w:val="99"/>
    <w:rPr>
      <w:sz w:val="32"/>
      <w:szCs w:val="32"/>
    </w:rPr>
  </w:style>
  <w:style w:type="character" w:customStyle="1" w:styleId="90">
    <w:name w:val="Balloon Text Char"/>
    <w:qFormat/>
    <w:locked/>
    <w:uiPriority w:val="99"/>
    <w:rPr>
      <w:sz w:val="18"/>
      <w:szCs w:val="18"/>
    </w:rPr>
  </w:style>
  <w:style w:type="paragraph" w:customStyle="1" w:styleId="9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2">
    <w:name w:val="文档结构图 Char1"/>
    <w:semiHidden/>
    <w:qFormat/>
    <w:uiPriority w:val="99"/>
    <w:rPr>
      <w:rFonts w:ascii="宋体" w:hAnsi="Times New Roman" w:eastAsia="宋体" w:cs="宋体"/>
      <w:sz w:val="18"/>
      <w:szCs w:val="18"/>
    </w:rPr>
  </w:style>
  <w:style w:type="character" w:customStyle="1" w:styleId="93">
    <w:name w:val="日期 Char1"/>
    <w:qFormat/>
    <w:uiPriority w:val="0"/>
    <w:rPr>
      <w:rFonts w:ascii="Times New Roman" w:hAnsi="Times New Roman" w:eastAsia="宋体" w:cs="Times New Roman"/>
      <w:sz w:val="24"/>
      <w:szCs w:val="24"/>
    </w:rPr>
  </w:style>
  <w:style w:type="character" w:customStyle="1" w:styleId="94">
    <w:name w:val="批注框文本 Char1"/>
    <w:semiHidden/>
    <w:qFormat/>
    <w:uiPriority w:val="99"/>
    <w:rPr>
      <w:rFonts w:ascii="Times New Roman" w:hAnsi="Times New Roman" w:eastAsia="宋体" w:cs="Times New Roman"/>
      <w:sz w:val="18"/>
      <w:szCs w:val="18"/>
    </w:rPr>
  </w:style>
  <w:style w:type="character" w:customStyle="1" w:styleId="95">
    <w:name w:val="纯文本 Char1"/>
    <w:qFormat/>
    <w:uiPriority w:val="0"/>
    <w:rPr>
      <w:rFonts w:ascii="宋体" w:hAnsi="Courier New" w:eastAsia="宋体" w:cs="宋体"/>
      <w:sz w:val="21"/>
      <w:szCs w:val="21"/>
    </w:rPr>
  </w:style>
  <w:style w:type="character" w:customStyle="1" w:styleId="96">
    <w:name w:val="正文文本 2 Char1"/>
    <w:link w:val="97"/>
    <w:qFormat/>
    <w:uiPriority w:val="0"/>
    <w:rPr>
      <w:rFonts w:ascii="Times New Roman" w:hAnsi="Times New Roman" w:eastAsia="宋体" w:cs="Times New Roman"/>
      <w:sz w:val="24"/>
      <w:szCs w:val="24"/>
    </w:rPr>
  </w:style>
  <w:style w:type="paragraph" w:customStyle="1" w:styleId="97">
    <w:name w:val="Body Text 21"/>
    <w:basedOn w:val="1"/>
    <w:link w:val="96"/>
    <w:qFormat/>
    <w:uiPriority w:val="0"/>
    <w:pPr>
      <w:spacing w:line="240" w:lineRule="exact"/>
      <w:jc w:val="center"/>
    </w:pPr>
    <w:rPr>
      <w:kern w:val="0"/>
      <w:sz w:val="24"/>
      <w:szCs w:val="24"/>
    </w:rPr>
  </w:style>
  <w:style w:type="character" w:customStyle="1" w:styleId="98">
    <w:name w:val="批注文字 Char1"/>
    <w:semiHidden/>
    <w:qFormat/>
    <w:uiPriority w:val="99"/>
    <w:rPr>
      <w:rFonts w:ascii="Times New Roman" w:hAnsi="Times New Roman" w:eastAsia="宋体" w:cs="Times New Roman"/>
      <w:sz w:val="24"/>
      <w:szCs w:val="24"/>
    </w:rPr>
  </w:style>
  <w:style w:type="paragraph" w:customStyle="1" w:styleId="99">
    <w:name w:val="附录标识"/>
    <w:basedOn w:val="1"/>
    <w:qFormat/>
    <w:uiPriority w:val="0"/>
    <w:pPr>
      <w:widowControl/>
      <w:shd w:val="clear" w:color="FFFFFF" w:fill="FFFFFF"/>
      <w:tabs>
        <w:tab w:val="left" w:pos="6405"/>
      </w:tabs>
      <w:spacing w:before="640" w:after="200"/>
      <w:ind w:left="900"/>
      <w:jc w:val="center"/>
      <w:outlineLvl w:val="0"/>
    </w:pPr>
    <w:rPr>
      <w:rFonts w:ascii="黑体" w:eastAsia="黑体" w:cs="黑体"/>
      <w:kern w:val="0"/>
    </w:rPr>
  </w:style>
  <w:style w:type="paragraph" w:styleId="100">
    <w:name w:val="List Paragraph"/>
    <w:basedOn w:val="1"/>
    <w:qFormat/>
    <w:uiPriority w:val="34"/>
    <w:pPr>
      <w:ind w:firstLine="420" w:firstLineChars="200"/>
    </w:pPr>
  </w:style>
  <w:style w:type="paragraph" w:customStyle="1" w:styleId="101">
    <w:name w:val="列出段落1"/>
    <w:basedOn w:val="1"/>
    <w:link w:val="102"/>
    <w:qFormat/>
    <w:uiPriority w:val="0"/>
    <w:pPr>
      <w:ind w:firstLine="420" w:firstLineChars="200"/>
    </w:pPr>
    <w:rPr>
      <w:rFonts w:ascii="Calibri" w:hAnsi="Calibri" w:cs="Calibri"/>
    </w:rPr>
  </w:style>
  <w:style w:type="character" w:customStyle="1" w:styleId="102">
    <w:name w:val="列出段落 Char"/>
    <w:link w:val="101"/>
    <w:qFormat/>
    <w:locked/>
    <w:uiPriority w:val="34"/>
    <w:rPr>
      <w:rFonts w:cs="Calibri"/>
      <w:kern w:val="2"/>
      <w:sz w:val="21"/>
      <w:szCs w:val="21"/>
    </w:rPr>
  </w:style>
  <w:style w:type="paragraph" w:customStyle="1" w:styleId="103">
    <w:name w:val="字元 字元 Char Char"/>
    <w:basedOn w:val="26"/>
    <w:next w:val="1"/>
    <w:qFormat/>
    <w:uiPriority w:val="0"/>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105">
    <w:name w:val="段 Char"/>
    <w:link w:val="104"/>
    <w:qFormat/>
    <w:locked/>
    <w:uiPriority w:val="0"/>
    <w:rPr>
      <w:rFonts w:ascii="宋体" w:hAnsi="Times New Roman" w:cs="宋体"/>
      <w:sz w:val="21"/>
      <w:szCs w:val="21"/>
      <w:lang w:val="en-US" w:eastAsia="zh-CN" w:bidi="ar-SA"/>
    </w:rPr>
  </w:style>
  <w:style w:type="paragraph" w:customStyle="1" w:styleId="106">
    <w:name w:val="修订1"/>
    <w:qFormat/>
    <w:uiPriority w:val="0"/>
    <w:rPr>
      <w:rFonts w:ascii="Times New Roman" w:hAnsi="Times New Roman" w:eastAsia="宋体" w:cs="Times New Roman"/>
      <w:kern w:val="2"/>
      <w:sz w:val="21"/>
      <w:szCs w:val="21"/>
      <w:lang w:val="en-US" w:eastAsia="zh-CN" w:bidi="ar-SA"/>
    </w:rPr>
  </w:style>
  <w:style w:type="paragraph" w:styleId="107">
    <w:name w:val="No Spacing"/>
    <w:link w:val="108"/>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108">
    <w:name w:val="无间隔 Char"/>
    <w:link w:val="107"/>
    <w:qFormat/>
    <w:uiPriority w:val="1"/>
    <w:rPr>
      <w:rFonts w:ascii="Times New Roman" w:hAnsi="Times New Roman"/>
      <w:kern w:val="2"/>
      <w:sz w:val="21"/>
      <w:szCs w:val="21"/>
    </w:rPr>
  </w:style>
  <w:style w:type="paragraph" w:customStyle="1" w:styleId="109">
    <w:name w:val="TOC 标题1"/>
    <w:basedOn w:val="2"/>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character" w:customStyle="1" w:styleId="110">
    <w:name w:val="apple-converted-space"/>
    <w:qFormat/>
    <w:uiPriority w:val="0"/>
  </w:style>
  <w:style w:type="paragraph" w:customStyle="1" w:styleId="111">
    <w:name w:val="1"/>
    <w:basedOn w:val="1"/>
    <w:next w:val="20"/>
    <w:link w:val="112"/>
    <w:qFormat/>
    <w:uiPriority w:val="0"/>
    <w:pPr>
      <w:spacing w:line="360" w:lineRule="auto"/>
      <w:ind w:firstLine="435"/>
    </w:pPr>
    <w:rPr>
      <w:b/>
      <w:bCs/>
      <w:szCs w:val="24"/>
    </w:rPr>
  </w:style>
  <w:style w:type="character" w:customStyle="1" w:styleId="112">
    <w:name w:val="1 Char"/>
    <w:link w:val="111"/>
    <w:qFormat/>
    <w:uiPriority w:val="0"/>
    <w:rPr>
      <w:rFonts w:ascii="Times New Roman" w:hAnsi="Times New Roman" w:cs="Calibri"/>
      <w:b/>
      <w:bCs/>
      <w:kern w:val="2"/>
      <w:sz w:val="21"/>
      <w:szCs w:val="24"/>
    </w:rPr>
  </w:style>
  <w:style w:type="character" w:customStyle="1" w:styleId="113">
    <w:name w:val="Char Char1"/>
    <w:qFormat/>
    <w:uiPriority w:val="0"/>
    <w:rPr>
      <w:rFonts w:ascii="宋体" w:hAnsi="宋体" w:eastAsia="宋体"/>
      <w:b/>
      <w:bCs/>
      <w:color w:val="FF0000"/>
      <w:kern w:val="2"/>
      <w:sz w:val="21"/>
      <w:szCs w:val="24"/>
      <w:lang w:val="en-US" w:eastAsia="zh-CN" w:bidi="ar-SA"/>
    </w:rPr>
  </w:style>
  <w:style w:type="character" w:customStyle="1" w:styleId="114">
    <w:name w:val="发布"/>
    <w:qFormat/>
    <w:uiPriority w:val="0"/>
    <w:rPr>
      <w:rFonts w:ascii="黑体" w:eastAsia="黑体"/>
      <w:spacing w:val="22"/>
      <w:w w:val="100"/>
      <w:position w:val="3"/>
      <w:sz w:val="28"/>
    </w:rPr>
  </w:style>
  <w:style w:type="paragraph" w:customStyle="1" w:styleId="115">
    <w:name w:val="实施日期"/>
    <w:basedOn w:val="116"/>
    <w:qFormat/>
    <w:uiPriority w:val="0"/>
    <w:pPr>
      <w:jc w:val="right"/>
    </w:pPr>
  </w:style>
  <w:style w:type="paragraph" w:customStyle="1" w:styleId="116">
    <w:name w:val="发布日期"/>
    <w:qFormat/>
    <w:uiPriority w:val="0"/>
    <w:rPr>
      <w:rFonts w:ascii="Times New Roman" w:hAnsi="Times New Roman" w:eastAsia="黑体" w:cs="Times New Roman"/>
      <w:sz w:val="28"/>
      <w:lang w:val="en-US" w:eastAsia="zh-CN" w:bidi="ar-SA"/>
    </w:rPr>
  </w:style>
  <w:style w:type="paragraph" w:customStyle="1" w:styleId="11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1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0">
    <w:name w:val="发布部门"/>
    <w:next w:val="104"/>
    <w:qFormat/>
    <w:uiPriority w:val="0"/>
    <w:pPr>
      <w:jc w:val="center"/>
    </w:pPr>
    <w:rPr>
      <w:rFonts w:ascii="宋体" w:hAnsi="Times New Roman" w:eastAsia="宋体" w:cs="Times New Roman"/>
      <w:b/>
      <w:spacing w:val="20"/>
      <w:w w:val="135"/>
      <w:sz w:val="36"/>
      <w:lang w:val="en-US" w:eastAsia="zh-CN" w:bidi="ar-SA"/>
    </w:rPr>
  </w:style>
  <w:style w:type="paragraph" w:customStyle="1" w:styleId="12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126">
    <w:name w:val="Heading 1 Char"/>
    <w:qFormat/>
    <w:locked/>
    <w:uiPriority w:val="0"/>
    <w:rPr>
      <w:rFonts w:ascii="宋体" w:hAnsi="宋体" w:eastAsia="宋体" w:cs="Times New Roman"/>
      <w:b/>
      <w:bCs/>
      <w:color w:val="FF0000"/>
      <w:sz w:val="24"/>
      <w:szCs w:val="24"/>
    </w:rPr>
  </w:style>
  <w:style w:type="character" w:customStyle="1" w:styleId="127">
    <w:name w:val="Char Char11"/>
    <w:qFormat/>
    <w:uiPriority w:val="0"/>
    <w:rPr>
      <w:rFonts w:ascii="宋体" w:hAnsi="宋体" w:eastAsia="宋体"/>
      <w:b/>
      <w:color w:val="FF0000"/>
      <w:kern w:val="2"/>
      <w:sz w:val="24"/>
      <w:lang w:val="en-US" w:eastAsia="zh-CN"/>
    </w:rPr>
  </w:style>
  <w:style w:type="paragraph" w:customStyle="1" w:styleId="128">
    <w:name w:val="_Style 111"/>
    <w:qFormat/>
    <w:uiPriority w:val="0"/>
    <w:rPr>
      <w:rFonts w:ascii="Calibri" w:hAnsi="Calibri" w:eastAsia="宋体" w:cs="Times New Roman"/>
      <w:lang w:val="en-US" w:eastAsia="zh-CN" w:bidi="ar-SA"/>
    </w:rPr>
  </w:style>
  <w:style w:type="character" w:styleId="129">
    <w:name w:val="Placeholder Text"/>
    <w:qFormat/>
    <w:uiPriority w:val="99"/>
    <w:rPr>
      <w:color w:val="808080"/>
    </w:rPr>
  </w:style>
  <w:style w:type="paragraph" w:customStyle="1" w:styleId="130">
    <w:name w:val="表格文字"/>
    <w:basedOn w:val="1"/>
    <w:link w:val="131"/>
    <w:qFormat/>
    <w:uiPriority w:val="0"/>
    <w:pPr>
      <w:jc w:val="center"/>
    </w:pPr>
    <w:rPr>
      <w:rFonts w:ascii="楷体_GB2312" w:eastAsia="楷体_GB2312" w:cs="楷体_GB2312"/>
      <w:sz w:val="24"/>
      <w:szCs w:val="24"/>
    </w:rPr>
  </w:style>
  <w:style w:type="character" w:customStyle="1" w:styleId="131">
    <w:name w:val="表格文字 Char"/>
    <w:link w:val="130"/>
    <w:qFormat/>
    <w:uiPriority w:val="0"/>
    <w:rPr>
      <w:rFonts w:ascii="楷体_GB2312" w:hAnsi="Times New Roman" w:eastAsia="楷体_GB2312" w:cs="楷体_GB2312"/>
      <w:kern w:val="2"/>
      <w:sz w:val="24"/>
      <w:szCs w:val="24"/>
    </w:rPr>
  </w:style>
  <w:style w:type="paragraph" w:customStyle="1" w:styleId="132">
    <w:name w:val="xl25"/>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3">
    <w:name w:val="样式1"/>
    <w:link w:val="134"/>
    <w:qFormat/>
    <w:uiPriority w:val="0"/>
    <w:pPr>
      <w:jc w:val="center"/>
    </w:pPr>
    <w:rPr>
      <w:rFonts w:ascii="Times New Roman" w:hAnsi="Times New Roman" w:eastAsia="宋体" w:cs="Times New Roman"/>
      <w:sz w:val="21"/>
      <w:szCs w:val="21"/>
      <w:lang w:val="en-US" w:eastAsia="zh-CN" w:bidi="ar-SA"/>
    </w:rPr>
  </w:style>
  <w:style w:type="character" w:customStyle="1" w:styleId="134">
    <w:name w:val="样式1 字符"/>
    <w:link w:val="133"/>
    <w:qFormat/>
    <w:uiPriority w:val="0"/>
    <w:rPr>
      <w:rFonts w:ascii="Times New Roman" w:hAnsi="Times New Roman"/>
      <w:sz w:val="21"/>
      <w:szCs w:val="21"/>
    </w:rPr>
  </w:style>
  <w:style w:type="paragraph" w:customStyle="1" w:styleId="135">
    <w:name w:val="Char Char Char Char"/>
    <w:basedOn w:val="16"/>
    <w:qFormat/>
    <w:uiPriority w:val="99"/>
    <w:pPr>
      <w:shd w:val="clear" w:color="auto" w:fill="000080"/>
      <w:adjustRightInd w:val="0"/>
      <w:spacing w:line="436" w:lineRule="exact"/>
      <w:ind w:left="357"/>
      <w:jc w:val="left"/>
      <w:outlineLvl w:val="3"/>
    </w:pPr>
    <w:rPr>
      <w:rFonts w:ascii="Tahoma" w:hAnsi="Tahoma" w:cs="Tahoma"/>
      <w:b/>
      <w:bCs/>
      <w:kern w:val="2"/>
      <w:sz w:val="24"/>
      <w:szCs w:val="24"/>
    </w:rPr>
  </w:style>
  <w:style w:type="paragraph" w:customStyle="1" w:styleId="136">
    <w:name w:val="p0"/>
    <w:basedOn w:val="1"/>
    <w:link w:val="137"/>
    <w:qFormat/>
    <w:uiPriority w:val="0"/>
    <w:pPr>
      <w:widowControl/>
    </w:pPr>
    <w:rPr>
      <w:rFonts w:ascii="CG Times" w:hAnsi="CG Times" w:cs="CG Times"/>
      <w:kern w:val="0"/>
    </w:rPr>
  </w:style>
  <w:style w:type="character" w:customStyle="1" w:styleId="137">
    <w:name w:val="p0 Char"/>
    <w:link w:val="136"/>
    <w:qFormat/>
    <w:uiPriority w:val="0"/>
    <w:rPr>
      <w:rFonts w:ascii="CG Times" w:hAnsi="CG Times" w:cs="CG Times"/>
      <w:sz w:val="21"/>
      <w:szCs w:val="21"/>
    </w:rPr>
  </w:style>
  <w:style w:type="paragraph" w:customStyle="1" w:styleId="138">
    <w:name w:val="无间隔1"/>
    <w:link w:val="139"/>
    <w:qFormat/>
    <w:uiPriority w:val="1"/>
    <w:rPr>
      <w:rFonts w:ascii="Calibri" w:hAnsi="Calibri" w:eastAsia="宋体" w:cs="Calibri"/>
      <w:sz w:val="22"/>
      <w:szCs w:val="22"/>
      <w:lang w:val="en-US" w:eastAsia="zh-CN" w:bidi="ar-SA"/>
    </w:rPr>
  </w:style>
  <w:style w:type="character" w:customStyle="1" w:styleId="139">
    <w:name w:val="No Spacing Char"/>
    <w:link w:val="138"/>
    <w:qFormat/>
    <w:locked/>
    <w:uiPriority w:val="99"/>
    <w:rPr>
      <w:rFonts w:cs="Calibri"/>
      <w:sz w:val="22"/>
      <w:szCs w:val="22"/>
    </w:rPr>
  </w:style>
  <w:style w:type="paragraph" w:customStyle="1" w:styleId="140">
    <w:name w:val="章"/>
    <w:basedOn w:val="1"/>
    <w:link w:val="141"/>
    <w:qFormat/>
    <w:uiPriority w:val="0"/>
    <w:pPr>
      <w:spacing w:beforeLines="100" w:afterLines="100" w:line="300" w:lineRule="auto"/>
      <w:jc w:val="center"/>
      <w:outlineLvl w:val="0"/>
    </w:pPr>
    <w:rPr>
      <w:b/>
      <w:sz w:val="28"/>
      <w:szCs w:val="20"/>
    </w:rPr>
  </w:style>
  <w:style w:type="character" w:customStyle="1" w:styleId="141">
    <w:name w:val="章 Char"/>
    <w:link w:val="140"/>
    <w:qFormat/>
    <w:locked/>
    <w:uiPriority w:val="0"/>
    <w:rPr>
      <w:rFonts w:ascii="Times New Roman" w:hAnsi="Times New Roman"/>
      <w:b/>
      <w:kern w:val="2"/>
      <w:sz w:val="28"/>
    </w:rPr>
  </w:style>
  <w:style w:type="paragraph" w:customStyle="1" w:styleId="142">
    <w:name w:val="分条"/>
    <w:basedOn w:val="1"/>
    <w:link w:val="143"/>
    <w:qFormat/>
    <w:uiPriority w:val="0"/>
    <w:pPr>
      <w:spacing w:line="360" w:lineRule="auto"/>
      <w:ind w:firstLine="200" w:firstLineChars="200"/>
    </w:pPr>
    <w:rPr>
      <w:sz w:val="24"/>
      <w:szCs w:val="20"/>
    </w:rPr>
  </w:style>
  <w:style w:type="character" w:customStyle="1" w:styleId="143">
    <w:name w:val="分条 Char"/>
    <w:link w:val="142"/>
    <w:qFormat/>
    <w:locked/>
    <w:uiPriority w:val="0"/>
    <w:rPr>
      <w:rFonts w:ascii="Times New Roman" w:hAnsi="Times New Roman"/>
      <w:kern w:val="2"/>
      <w:sz w:val="24"/>
    </w:rPr>
  </w:style>
  <w:style w:type="paragraph" w:customStyle="1" w:styleId="144">
    <w:name w:val="样式 标题 1 + 段前: 0.5 行 段后: 0.5 行"/>
    <w:basedOn w:val="2"/>
    <w:qFormat/>
    <w:uiPriority w:val="99"/>
    <w:pPr>
      <w:keepLines w:val="0"/>
      <w:spacing w:before="50" w:after="50" w:line="240" w:lineRule="auto"/>
      <w:jc w:val="center"/>
    </w:pPr>
    <w:rPr>
      <w:rFonts w:ascii="黑体" w:eastAsia="黑体" w:cs="宋体"/>
      <w:b w:val="0"/>
      <w:bCs w:val="0"/>
      <w:kern w:val="2"/>
      <w:sz w:val="30"/>
      <w:szCs w:val="30"/>
    </w:rPr>
  </w:style>
  <w:style w:type="paragraph" w:customStyle="1" w:styleId="145">
    <w:name w:val="附录一级条标题"/>
    <w:basedOn w:val="1"/>
    <w:next w:val="1"/>
    <w:qFormat/>
    <w:uiPriority w:val="0"/>
    <w:pPr>
      <w:widowControl/>
      <w:tabs>
        <w:tab w:val="left" w:pos="360"/>
      </w:tabs>
      <w:wordWrap w:val="0"/>
      <w:overflowPunct w:val="0"/>
      <w:autoSpaceDE w:val="0"/>
      <w:autoSpaceDN w:val="0"/>
      <w:ind w:left="360" w:hanging="360" w:hangingChars="200"/>
      <w:textAlignment w:val="baseline"/>
      <w:outlineLvl w:val="2"/>
    </w:pPr>
    <w:rPr>
      <w:rFonts w:ascii="黑体" w:eastAsia="黑体"/>
      <w:kern w:val="21"/>
      <w:szCs w:val="20"/>
    </w:rPr>
  </w:style>
  <w:style w:type="character" w:customStyle="1" w:styleId="146">
    <w:name w:val="EmailStyle771"/>
    <w:qFormat/>
    <w:uiPriority w:val="99"/>
    <w:rPr>
      <w:rFonts w:ascii="Arial" w:hAnsi="Arial" w:eastAsia="宋体" w:cs="Arial"/>
      <w:color w:val="000000"/>
      <w:sz w:val="20"/>
    </w:rPr>
  </w:style>
  <w:style w:type="paragraph" w:customStyle="1" w:styleId="14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48">
    <w:name w:val="列项——（一级）"/>
    <w:qFormat/>
    <w:uiPriority w:val="0"/>
    <w:pPr>
      <w:widowControl w:val="0"/>
      <w:numPr>
        <w:ilvl w:val="0"/>
        <w:numId w:val="1"/>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49">
    <w:name w:val="一级无"/>
    <w:basedOn w:val="1"/>
    <w:qFormat/>
    <w:uiPriority w:val="0"/>
    <w:pPr>
      <w:widowControl/>
      <w:jc w:val="left"/>
      <w:outlineLvl w:val="2"/>
    </w:pPr>
    <w:rPr>
      <w:rFonts w:ascii="宋体"/>
      <w:kern w:val="0"/>
    </w:rPr>
  </w:style>
  <w:style w:type="paragraph" w:customStyle="1" w:styleId="150">
    <w:name w:val="附录表标题"/>
    <w:next w:val="104"/>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151">
    <w:name w:val="_Style 13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2">
    <w:name w:val="Char"/>
    <w:basedOn w:val="1"/>
    <w:qFormat/>
    <w:uiPriority w:val="0"/>
    <w:pPr>
      <w:tabs>
        <w:tab w:val="left" w:pos="4665"/>
        <w:tab w:val="left" w:pos="8970"/>
      </w:tabs>
      <w:ind w:firstLine="400"/>
    </w:pPr>
    <w:rPr>
      <w:rFonts w:ascii="Tahoma" w:hAnsi="Tahoma" w:cs="Tahoma"/>
      <w:sz w:val="24"/>
      <w:szCs w:val="24"/>
    </w:rPr>
  </w:style>
  <w:style w:type="character" w:customStyle="1" w:styleId="153">
    <w:name w:val="apple-style-span"/>
    <w:qFormat/>
    <w:uiPriority w:val="0"/>
  </w:style>
  <w:style w:type="paragraph" w:customStyle="1" w:styleId="154">
    <w:name w:val="一级条标题"/>
    <w:next w:val="104"/>
    <w:qFormat/>
    <w:uiPriority w:val="0"/>
    <w:pPr>
      <w:numPr>
        <w:ilvl w:val="0"/>
        <w:numId w:val="3"/>
      </w:numPr>
      <w:ind w:left="360"/>
      <w:outlineLvl w:val="2"/>
    </w:pPr>
    <w:rPr>
      <w:rFonts w:ascii="Times New Roman" w:hAnsi="Times New Roman" w:eastAsia="黑体" w:cs="Times New Roman"/>
      <w:sz w:val="21"/>
      <w:lang w:val="en-US" w:eastAsia="zh-CN" w:bidi="ar-SA"/>
    </w:rPr>
  </w:style>
  <w:style w:type="paragraph" w:customStyle="1" w:styleId="155">
    <w:name w:val="二级条标题"/>
    <w:basedOn w:val="154"/>
    <w:next w:val="104"/>
    <w:qFormat/>
    <w:uiPriority w:val="0"/>
    <w:pPr>
      <w:numPr>
        <w:ilvl w:val="1"/>
      </w:numPr>
      <w:tabs>
        <w:tab w:val="left" w:pos="810"/>
        <w:tab w:val="left" w:pos="2040"/>
      </w:tabs>
      <w:ind w:left="810" w:hanging="390"/>
      <w:outlineLvl w:val="3"/>
    </w:pPr>
  </w:style>
  <w:style w:type="paragraph" w:customStyle="1" w:styleId="156">
    <w:name w:val="三级条标题"/>
    <w:basedOn w:val="155"/>
    <w:next w:val="104"/>
    <w:qFormat/>
    <w:uiPriority w:val="0"/>
    <w:pPr>
      <w:numPr>
        <w:ilvl w:val="2"/>
      </w:numPr>
      <w:tabs>
        <w:tab w:val="left" w:pos="2460"/>
      </w:tabs>
      <w:ind w:left="810" w:hanging="390"/>
      <w:outlineLvl w:val="4"/>
    </w:pPr>
  </w:style>
  <w:style w:type="paragraph" w:customStyle="1" w:styleId="157">
    <w:name w:val="四级条标题"/>
    <w:basedOn w:val="156"/>
    <w:next w:val="104"/>
    <w:qFormat/>
    <w:uiPriority w:val="0"/>
    <w:pPr>
      <w:numPr>
        <w:ilvl w:val="3"/>
      </w:numPr>
      <w:tabs>
        <w:tab w:val="left" w:pos="2880"/>
      </w:tabs>
      <w:ind w:left="810" w:hanging="390"/>
      <w:outlineLvl w:val="5"/>
    </w:pPr>
  </w:style>
  <w:style w:type="paragraph" w:customStyle="1" w:styleId="158">
    <w:name w:val="五级条标题"/>
    <w:basedOn w:val="157"/>
    <w:next w:val="104"/>
    <w:qFormat/>
    <w:uiPriority w:val="0"/>
    <w:pPr>
      <w:numPr>
        <w:ilvl w:val="4"/>
      </w:numPr>
      <w:tabs>
        <w:tab w:val="left" w:pos="3300"/>
      </w:tabs>
      <w:ind w:left="810" w:hanging="390"/>
      <w:outlineLvl w:val="6"/>
    </w:pPr>
  </w:style>
  <w:style w:type="paragraph" w:customStyle="1" w:styleId="15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6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61">
    <w:name w:val="标准书眉一"/>
    <w:qFormat/>
    <w:uiPriority w:val="0"/>
    <w:pPr>
      <w:jc w:val="both"/>
    </w:pPr>
    <w:rPr>
      <w:rFonts w:ascii="Times New Roman" w:hAnsi="Times New Roman" w:eastAsia="宋体" w:cs="Times New Roman"/>
      <w:lang w:val="en-US" w:eastAsia="zh-CN" w:bidi="ar-SA"/>
    </w:rPr>
  </w:style>
  <w:style w:type="paragraph" w:customStyle="1" w:styleId="16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3">
    <w:name w:val="章标题"/>
    <w:next w:val="10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6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65">
    <w:name w:val="封面正文"/>
    <w:qFormat/>
    <w:uiPriority w:val="0"/>
    <w:pPr>
      <w:jc w:val="both"/>
    </w:pPr>
    <w:rPr>
      <w:rFonts w:ascii="Times New Roman" w:hAnsi="Times New Roman" w:eastAsia="宋体" w:cs="Times New Roman"/>
      <w:lang w:val="en-US" w:eastAsia="zh-CN" w:bidi="ar-SA"/>
    </w:rPr>
  </w:style>
  <w:style w:type="paragraph" w:customStyle="1" w:styleId="166">
    <w:name w:val="标准1级标题章"/>
    <w:next w:val="3"/>
    <w:qFormat/>
    <w:uiPriority w:val="0"/>
    <w:pPr>
      <w:adjustRightInd w:val="0"/>
      <w:snapToGrid w:val="0"/>
      <w:spacing w:beforeLines="50" w:afterLines="50"/>
      <w:jc w:val="center"/>
      <w:outlineLvl w:val="0"/>
    </w:pPr>
    <w:rPr>
      <w:rFonts w:ascii="Times New Roman" w:hAnsi="Times New Roman" w:eastAsia="宋体" w:cs="Times New Roman"/>
      <w:b/>
      <w:bCs/>
      <w:sz w:val="28"/>
      <w:szCs w:val="28"/>
      <w:lang w:val="en-US" w:eastAsia="zh-CN" w:bidi="ar-SA"/>
    </w:rPr>
  </w:style>
  <w:style w:type="character" w:customStyle="1" w:styleId="167">
    <w:name w:val="s_font_title"/>
    <w:qFormat/>
    <w:uiPriority w:val="0"/>
  </w:style>
  <w:style w:type="paragraph" w:customStyle="1" w:styleId="168">
    <w:name w:val="p17"/>
    <w:basedOn w:val="1"/>
    <w:qFormat/>
    <w:uiPriority w:val="0"/>
    <w:pPr>
      <w:widowControl/>
      <w:ind w:firstLine="420"/>
    </w:pPr>
    <w:rPr>
      <w:rFonts w:ascii="宋体" w:hAnsi="宋体" w:cs="宋体"/>
      <w:kern w:val="0"/>
    </w:rPr>
  </w:style>
  <w:style w:type="character" w:customStyle="1" w:styleId="169">
    <w:name w:val="mh-map_new-info"/>
    <w:qFormat/>
    <w:uiPriority w:val="0"/>
  </w:style>
  <w:style w:type="paragraph" w:customStyle="1" w:styleId="170">
    <w:name w:val="列出段落2"/>
    <w:basedOn w:val="1"/>
    <w:qFormat/>
    <w:uiPriority w:val="99"/>
    <w:pPr>
      <w:ind w:firstLine="420" w:firstLineChars="200"/>
    </w:pPr>
    <w:rPr>
      <w:rFonts w:ascii="Calibri" w:hAnsi="Calibri"/>
      <w:szCs w:val="22"/>
    </w:rPr>
  </w:style>
  <w:style w:type="character" w:customStyle="1" w:styleId="171">
    <w:name w:val="102 Char Char"/>
    <w:link w:val="172"/>
    <w:qFormat/>
    <w:locked/>
    <w:uiPriority w:val="0"/>
    <w:rPr>
      <w:rFonts w:ascii="宋体"/>
      <w:sz w:val="24"/>
    </w:rPr>
  </w:style>
  <w:style w:type="paragraph" w:customStyle="1" w:styleId="172">
    <w:name w:val="102"/>
    <w:basedOn w:val="1"/>
    <w:link w:val="171"/>
    <w:qFormat/>
    <w:uiPriority w:val="0"/>
    <w:pPr>
      <w:spacing w:line="360" w:lineRule="auto"/>
      <w:ind w:firstLine="360" w:firstLineChars="150"/>
    </w:pPr>
    <w:rPr>
      <w:rFonts w:ascii="宋体" w:hAnsi="Calibri"/>
      <w:kern w:val="0"/>
      <w:sz w:val="24"/>
      <w:szCs w:val="20"/>
    </w:rPr>
  </w:style>
  <w:style w:type="character" w:customStyle="1" w:styleId="173">
    <w:name w:val="表头 Char"/>
    <w:link w:val="174"/>
    <w:qFormat/>
    <w:uiPriority w:val="0"/>
    <w:rPr>
      <w:b/>
      <w:bCs/>
      <w:kern w:val="2"/>
      <w:sz w:val="21"/>
      <w:szCs w:val="21"/>
    </w:rPr>
  </w:style>
  <w:style w:type="paragraph" w:customStyle="1" w:styleId="174">
    <w:name w:val="表头"/>
    <w:basedOn w:val="1"/>
    <w:link w:val="173"/>
    <w:qFormat/>
    <w:uiPriority w:val="0"/>
    <w:pPr>
      <w:spacing w:before="156" w:beforeLines="50" w:after="156" w:afterLines="50" w:line="300" w:lineRule="auto"/>
      <w:jc w:val="center"/>
    </w:pPr>
    <w:rPr>
      <w:rFonts w:ascii="Calibri" w:hAnsi="Calibri"/>
      <w:b/>
      <w:bCs/>
    </w:rPr>
  </w:style>
  <w:style w:type="character" w:customStyle="1" w:styleId="175">
    <w:name w:val="批注主题 Char1"/>
    <w:semiHidden/>
    <w:qFormat/>
    <w:locked/>
    <w:uiPriority w:val="0"/>
    <w:rPr>
      <w:rFonts w:ascii="Calibri" w:hAnsi="Calibri" w:eastAsia="宋体"/>
      <w:b/>
      <w:bCs/>
      <w:sz w:val="21"/>
      <w:lang w:val="en-US" w:eastAsia="zh-CN" w:bidi="ar-SA"/>
    </w:rPr>
  </w:style>
  <w:style w:type="character" w:customStyle="1" w:styleId="176">
    <w:name w:val="1.1.1  条文 Char Char"/>
    <w:link w:val="177"/>
    <w:qFormat/>
    <w:locked/>
    <w:uiPriority w:val="0"/>
    <w:rPr>
      <w:sz w:val="24"/>
    </w:rPr>
  </w:style>
  <w:style w:type="paragraph" w:customStyle="1" w:styleId="177">
    <w:name w:val="1.1.1  条文"/>
    <w:basedOn w:val="1"/>
    <w:link w:val="176"/>
    <w:qFormat/>
    <w:uiPriority w:val="0"/>
    <w:pPr>
      <w:spacing w:line="360" w:lineRule="auto"/>
    </w:pPr>
    <w:rPr>
      <w:rFonts w:ascii="Calibri" w:hAnsi="Calibri"/>
      <w:kern w:val="0"/>
      <w:sz w:val="24"/>
      <w:szCs w:val="20"/>
    </w:rPr>
  </w:style>
  <w:style w:type="character" w:customStyle="1" w:styleId="178">
    <w:name w:val="公式 Char Char"/>
    <w:link w:val="179"/>
    <w:qFormat/>
    <w:locked/>
    <w:uiPriority w:val="0"/>
    <w:rPr>
      <w:kern w:val="2"/>
      <w:sz w:val="24"/>
    </w:rPr>
  </w:style>
  <w:style w:type="paragraph" w:customStyle="1" w:styleId="179">
    <w:name w:val="公式"/>
    <w:link w:val="178"/>
    <w:qFormat/>
    <w:uiPriority w:val="0"/>
    <w:pPr>
      <w:wordWrap w:val="0"/>
      <w:ind w:right="120" w:firstLine="480"/>
      <w:jc w:val="right"/>
    </w:pPr>
    <w:rPr>
      <w:rFonts w:ascii="Calibri" w:hAnsi="Calibri" w:eastAsia="宋体" w:cs="Times New Roman"/>
      <w:kern w:val="2"/>
      <w:sz w:val="24"/>
      <w:lang w:val="en-US" w:eastAsia="zh-CN" w:bidi="ar-SA"/>
    </w:rPr>
  </w:style>
  <w:style w:type="character" w:customStyle="1" w:styleId="180">
    <w:name w:val="正文样式 Char Char"/>
    <w:link w:val="181"/>
    <w:qFormat/>
    <w:locked/>
    <w:uiPriority w:val="0"/>
    <w:rPr>
      <w:sz w:val="21"/>
    </w:rPr>
  </w:style>
  <w:style w:type="paragraph" w:customStyle="1" w:styleId="181">
    <w:name w:val="正文样式"/>
    <w:basedOn w:val="1"/>
    <w:link w:val="180"/>
    <w:qFormat/>
    <w:uiPriority w:val="0"/>
    <w:pPr>
      <w:spacing w:line="360" w:lineRule="auto"/>
      <w:textAlignment w:val="center"/>
    </w:pPr>
    <w:rPr>
      <w:rFonts w:ascii="Calibri" w:hAnsi="Calibri"/>
      <w:kern w:val="0"/>
      <w:szCs w:val="20"/>
    </w:rPr>
  </w:style>
  <w:style w:type="character" w:customStyle="1" w:styleId="182">
    <w:name w:val="文档结构图 Char Char"/>
    <w:link w:val="183"/>
    <w:qFormat/>
    <w:locked/>
    <w:uiPriority w:val="0"/>
    <w:rPr>
      <w:rFonts w:ascii="宋体"/>
      <w:sz w:val="18"/>
    </w:rPr>
  </w:style>
  <w:style w:type="paragraph" w:customStyle="1" w:styleId="183">
    <w:name w:val="Document Map1"/>
    <w:basedOn w:val="1"/>
    <w:link w:val="182"/>
    <w:qFormat/>
    <w:uiPriority w:val="0"/>
    <w:rPr>
      <w:rFonts w:ascii="宋体" w:hAnsi="Calibri"/>
      <w:kern w:val="0"/>
      <w:sz w:val="18"/>
      <w:szCs w:val="20"/>
    </w:rPr>
  </w:style>
  <w:style w:type="paragraph" w:customStyle="1" w:styleId="184">
    <w:name w:val="正文文本 21"/>
    <w:basedOn w:val="1"/>
    <w:qFormat/>
    <w:uiPriority w:val="0"/>
    <w:pPr>
      <w:spacing w:line="240" w:lineRule="exact"/>
      <w:jc w:val="center"/>
    </w:pPr>
    <w:rPr>
      <w:rFonts w:eastAsia="Times New Roman"/>
      <w:kern w:val="0"/>
      <w:szCs w:val="20"/>
      <w:u w:val="single"/>
    </w:rPr>
  </w:style>
  <w:style w:type="paragraph" w:customStyle="1" w:styleId="185">
    <w:name w:val="Comment Subject1"/>
    <w:basedOn w:val="17"/>
    <w:next w:val="17"/>
    <w:qFormat/>
    <w:uiPriority w:val="0"/>
    <w:pPr>
      <w:spacing w:line="240" w:lineRule="auto"/>
    </w:pPr>
    <w:rPr>
      <w:rFonts w:ascii="Times New Roman" w:hAnsi="Times New Roman" w:eastAsia="Times New Roman"/>
      <w:b/>
      <w:szCs w:val="20"/>
    </w:rPr>
  </w:style>
  <w:style w:type="paragraph" w:customStyle="1" w:styleId="186">
    <w:name w:val="Date1"/>
    <w:basedOn w:val="1"/>
    <w:next w:val="1"/>
    <w:qFormat/>
    <w:uiPriority w:val="0"/>
    <w:pPr>
      <w:ind w:left="100" w:leftChars="2500"/>
    </w:pPr>
    <w:rPr>
      <w:rFonts w:ascii="Calibri" w:hAnsi="Calibri" w:eastAsia="Times New Roman"/>
      <w:kern w:val="0"/>
      <w:szCs w:val="20"/>
    </w:rPr>
  </w:style>
  <w:style w:type="paragraph" w:customStyle="1" w:styleId="187">
    <w:name w:val="Plain Text1"/>
    <w:basedOn w:val="1"/>
    <w:qFormat/>
    <w:uiPriority w:val="0"/>
    <w:rPr>
      <w:rFonts w:ascii="宋体" w:hAnsi="Courier New" w:eastAsia="Times New Roman"/>
      <w:kern w:val="0"/>
      <w:szCs w:val="20"/>
    </w:rPr>
  </w:style>
  <w:style w:type="paragraph" w:customStyle="1" w:styleId="188">
    <w:name w:val="列出段落12"/>
    <w:basedOn w:val="1"/>
    <w:qFormat/>
    <w:uiPriority w:val="34"/>
    <w:pPr>
      <w:ind w:firstLine="420" w:firstLineChars="200"/>
    </w:pPr>
    <w:rPr>
      <w:rFonts w:ascii="Calibri" w:hAnsi="Calibri" w:cs="黑体"/>
      <w:szCs w:val="22"/>
    </w:rPr>
  </w:style>
  <w:style w:type="paragraph" w:customStyle="1" w:styleId="189">
    <w:name w:val="TOC 标题12"/>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lang w:val="zh-CN"/>
    </w:rPr>
  </w:style>
  <w:style w:type="paragraph" w:customStyle="1" w:styleId="190">
    <w:name w:val="图片"/>
    <w:basedOn w:val="1"/>
    <w:link w:val="191"/>
    <w:qFormat/>
    <w:uiPriority w:val="0"/>
    <w:pPr>
      <w:jc w:val="center"/>
    </w:pPr>
    <w:rPr>
      <w:rFonts w:ascii="宋体" w:hAnsi="Calibri"/>
      <w:szCs w:val="22"/>
      <w:lang w:val="zh-CN"/>
    </w:rPr>
  </w:style>
  <w:style w:type="character" w:customStyle="1" w:styleId="191">
    <w:name w:val="图片 Char"/>
    <w:link w:val="190"/>
    <w:qFormat/>
    <w:uiPriority w:val="0"/>
    <w:rPr>
      <w:rFonts w:ascii="宋体"/>
      <w:kern w:val="2"/>
      <w:sz w:val="21"/>
      <w:szCs w:val="22"/>
      <w:lang w:val="zh-CN" w:eastAsia="zh-CN"/>
    </w:rPr>
  </w:style>
  <w:style w:type="paragraph" w:customStyle="1" w:styleId="192">
    <w:name w:val="表格正文"/>
    <w:basedOn w:val="1"/>
    <w:link w:val="193"/>
    <w:qFormat/>
    <w:uiPriority w:val="0"/>
    <w:pPr>
      <w:widowControl/>
      <w:ind w:left="31" w:leftChars="15"/>
      <w:jc w:val="left"/>
    </w:pPr>
    <w:rPr>
      <w:rFonts w:ascii="宋体" w:hAnsi="宋体"/>
      <w:color w:val="000000"/>
      <w:kern w:val="0"/>
      <w:lang w:val="zh-CN"/>
    </w:rPr>
  </w:style>
  <w:style w:type="character" w:customStyle="1" w:styleId="193">
    <w:name w:val="表格正文 Char"/>
    <w:link w:val="192"/>
    <w:qFormat/>
    <w:uiPriority w:val="0"/>
    <w:rPr>
      <w:rFonts w:ascii="宋体" w:hAnsi="宋体"/>
      <w:color w:val="000000"/>
      <w:sz w:val="21"/>
      <w:szCs w:val="21"/>
      <w:lang w:val="zh-CN" w:eastAsia="zh-CN"/>
    </w:rPr>
  </w:style>
  <w:style w:type="paragraph" w:customStyle="1" w:styleId="194">
    <w:name w:val="章名称"/>
    <w:basedOn w:val="1"/>
    <w:qFormat/>
    <w:uiPriority w:val="0"/>
    <w:pPr>
      <w:spacing w:line="360" w:lineRule="auto"/>
      <w:jc w:val="center"/>
      <w:outlineLvl w:val="0"/>
    </w:pPr>
    <w:rPr>
      <w:rFonts w:ascii="Calibri" w:hAnsi="Calibri"/>
      <w:sz w:val="32"/>
      <w:szCs w:val="32"/>
    </w:rPr>
  </w:style>
  <w:style w:type="paragraph" w:customStyle="1" w:styleId="195">
    <w:name w:val="条"/>
    <w:basedOn w:val="1"/>
    <w:qFormat/>
    <w:uiPriority w:val="0"/>
    <w:pPr>
      <w:spacing w:line="360" w:lineRule="auto"/>
    </w:pPr>
    <w:rPr>
      <w:rFonts w:ascii="Calibri" w:hAnsi="Calibri"/>
    </w:rPr>
  </w:style>
  <w:style w:type="paragraph" w:customStyle="1" w:styleId="196">
    <w:name w:val="款"/>
    <w:basedOn w:val="1"/>
    <w:qFormat/>
    <w:uiPriority w:val="0"/>
    <w:pPr>
      <w:spacing w:line="360" w:lineRule="auto"/>
      <w:ind w:firstLine="200" w:firstLineChars="200"/>
    </w:pPr>
    <w:rPr>
      <w:rFonts w:ascii="Calibri" w:hAnsi="Calibri"/>
    </w:rPr>
  </w:style>
  <w:style w:type="paragraph" w:customStyle="1" w:styleId="19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修订11"/>
    <w:qFormat/>
    <w:uiPriority w:val="99"/>
    <w:rPr>
      <w:rFonts w:ascii="Times New Roman" w:hAnsi="Times New Roman" w:eastAsia="宋体" w:cs="Times New Roman"/>
      <w:kern w:val="2"/>
      <w:sz w:val="21"/>
      <w:szCs w:val="24"/>
      <w:lang w:val="en-US" w:eastAsia="zh-CN" w:bidi="ar-SA"/>
    </w:rPr>
  </w:style>
  <w:style w:type="paragraph" w:customStyle="1" w:styleId="19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2"/>
    <w:basedOn w:val="1"/>
    <w:link w:val="201"/>
    <w:qFormat/>
    <w:uiPriority w:val="0"/>
    <w:pPr>
      <w:spacing w:line="360" w:lineRule="auto"/>
      <w:jc w:val="left"/>
      <w:outlineLvl w:val="1"/>
    </w:pPr>
    <w:rPr>
      <w:rFonts w:ascii="黑体" w:hAnsi="黑体" w:eastAsia="黑体"/>
      <w:sz w:val="24"/>
      <w:szCs w:val="24"/>
    </w:rPr>
  </w:style>
  <w:style w:type="character" w:customStyle="1" w:styleId="201">
    <w:name w:val="2 Char"/>
    <w:link w:val="200"/>
    <w:qFormat/>
    <w:uiPriority w:val="0"/>
    <w:rPr>
      <w:rFonts w:ascii="黑体" w:hAnsi="黑体" w:eastAsia="黑体"/>
      <w:kern w:val="2"/>
      <w:sz w:val="24"/>
      <w:szCs w:val="24"/>
    </w:rPr>
  </w:style>
  <w:style w:type="paragraph" w:customStyle="1" w:styleId="202">
    <w:name w:val="标题 21"/>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customStyle="1" w:styleId="203">
    <w:name w:val="baiti1"/>
    <w:basedOn w:val="1"/>
    <w:qFormat/>
    <w:uiPriority w:val="0"/>
    <w:pPr>
      <w:spacing w:line="440" w:lineRule="exact"/>
    </w:pPr>
    <w:rPr>
      <w:sz w:val="24"/>
      <w:szCs w:val="24"/>
    </w:rPr>
  </w:style>
  <w:style w:type="paragraph" w:customStyle="1" w:styleId="204">
    <w:name w:val="样式111"/>
    <w:basedOn w:val="205"/>
    <w:qFormat/>
    <w:uiPriority w:val="0"/>
    <w:pPr>
      <w:jc w:val="center"/>
    </w:pPr>
    <w:rPr>
      <w:rFonts w:ascii="宋体" w:hAnsi="宋体"/>
      <w:spacing w:val="20"/>
      <w:sz w:val="28"/>
    </w:rPr>
  </w:style>
  <w:style w:type="paragraph" w:customStyle="1" w:styleId="20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TOC 标题11"/>
    <w:basedOn w:val="2"/>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paragraph" w:customStyle="1" w:styleId="207">
    <w:name w:val="7 修改正文（无编号）"/>
    <w:basedOn w:val="208"/>
    <w:link w:val="209"/>
    <w:qFormat/>
    <w:uiPriority w:val="0"/>
    <w:pPr>
      <w:ind w:firstLine="560" w:firstLineChars="200"/>
    </w:pPr>
    <w:rPr>
      <w:lang w:val="zh-CN"/>
    </w:rPr>
  </w:style>
  <w:style w:type="paragraph" w:customStyle="1" w:styleId="208">
    <w:name w:val="3 修改（有编号）"/>
    <w:basedOn w:val="1"/>
    <w:qFormat/>
    <w:uiPriority w:val="0"/>
    <w:rPr>
      <w:rFonts w:ascii="仿宋_GB2312" w:hAnsi="Calibri" w:eastAsia="仿宋_GB2312" w:cs="宋体"/>
      <w:bCs/>
      <w:kern w:val="0"/>
      <w:sz w:val="28"/>
      <w:szCs w:val="28"/>
    </w:rPr>
  </w:style>
  <w:style w:type="character" w:customStyle="1" w:styleId="209">
    <w:name w:val="7 修改正文（无编号） Char"/>
    <w:link w:val="207"/>
    <w:qFormat/>
    <w:uiPriority w:val="0"/>
    <w:rPr>
      <w:rFonts w:ascii="仿宋_GB2312" w:hAnsi="Times New Roman" w:eastAsia="仿宋_GB2312"/>
      <w:sz w:val="28"/>
      <w:szCs w:val="28"/>
      <w:lang w:val="zh-CN" w:eastAsia="zh-CN"/>
    </w:rPr>
  </w:style>
  <w:style w:type="character" w:customStyle="1" w:styleId="210">
    <w:name w:val="批注文字 字符"/>
    <w:semiHidden/>
    <w:qFormat/>
    <w:locked/>
    <w:uiPriority w:val="99"/>
    <w:rPr>
      <w:rFonts w:cs="Times New Roman"/>
      <w:kern w:val="2"/>
      <w:sz w:val="22"/>
    </w:rPr>
  </w:style>
  <w:style w:type="character" w:customStyle="1" w:styleId="211">
    <w:name w:val="批注框文本 字符"/>
    <w:semiHidden/>
    <w:qFormat/>
    <w:locked/>
    <w:uiPriority w:val="99"/>
    <w:rPr>
      <w:rFonts w:ascii="Times New Roman" w:hAnsi="Times New Roman" w:eastAsia="宋体" w:cs="Times New Roman"/>
      <w:sz w:val="18"/>
    </w:rPr>
  </w:style>
  <w:style w:type="character" w:customStyle="1" w:styleId="212">
    <w:name w:val="标题 1 字符"/>
    <w:qFormat/>
    <w:locked/>
    <w:uiPriority w:val="9"/>
    <w:rPr>
      <w:rFonts w:cs="Times New Roman"/>
      <w:b/>
      <w:kern w:val="44"/>
      <w:sz w:val="44"/>
    </w:rPr>
  </w:style>
  <w:style w:type="character" w:customStyle="1" w:styleId="213">
    <w:name w:val="副标题 字符"/>
    <w:qFormat/>
    <w:locked/>
    <w:uiPriority w:val="11"/>
    <w:rPr>
      <w:rFonts w:ascii="Times New Roman" w:hAnsi="Times New Roman" w:eastAsia="宋体" w:cs="Times New Roman"/>
      <w:kern w:val="28"/>
      <w:sz w:val="32"/>
    </w:rPr>
  </w:style>
  <w:style w:type="character" w:customStyle="1" w:styleId="214">
    <w:name w:val="标题 3 字符"/>
    <w:qFormat/>
    <w:locked/>
    <w:uiPriority w:val="9"/>
    <w:rPr>
      <w:rFonts w:cs="Times New Roman"/>
      <w:b/>
      <w:kern w:val="2"/>
      <w:sz w:val="32"/>
    </w:rPr>
  </w:style>
  <w:style w:type="character" w:customStyle="1" w:styleId="215">
    <w:name w:val="日期 字符"/>
    <w:semiHidden/>
    <w:qFormat/>
    <w:locked/>
    <w:uiPriority w:val="99"/>
    <w:rPr>
      <w:rFonts w:ascii="Times New Roman" w:hAnsi="Times New Roman" w:eastAsia="宋体" w:cs="Times New Roman"/>
      <w:sz w:val="28"/>
    </w:rPr>
  </w:style>
  <w:style w:type="character" w:customStyle="1" w:styleId="216">
    <w:name w:val="文档结构图 字符"/>
    <w:semiHidden/>
    <w:qFormat/>
    <w:locked/>
    <w:uiPriority w:val="99"/>
    <w:rPr>
      <w:rFonts w:ascii="宋体" w:cs="Times New Roman"/>
      <w:kern w:val="2"/>
      <w:sz w:val="18"/>
      <w:szCs w:val="18"/>
    </w:rPr>
  </w:style>
  <w:style w:type="character" w:customStyle="1" w:styleId="217">
    <w:name w:val="批注主题 字符"/>
    <w:semiHidden/>
    <w:qFormat/>
    <w:locked/>
    <w:uiPriority w:val="99"/>
    <w:rPr>
      <w:rFonts w:cs="Times New Roman"/>
      <w:b/>
      <w:kern w:val="2"/>
      <w:sz w:val="22"/>
    </w:rPr>
  </w:style>
  <w:style w:type="character" w:customStyle="1" w:styleId="218">
    <w:name w:val="标题 2 字符"/>
    <w:qFormat/>
    <w:locked/>
    <w:uiPriority w:val="0"/>
    <w:rPr>
      <w:rFonts w:ascii="Times New Roman" w:hAnsi="Times New Roman" w:eastAsia="宋体" w:cs="Times New Roman"/>
      <w:b/>
      <w:sz w:val="32"/>
    </w:rPr>
  </w:style>
  <w:style w:type="character" w:customStyle="1" w:styleId="219">
    <w:name w:val="页脚 字符"/>
    <w:qFormat/>
    <w:locked/>
    <w:uiPriority w:val="99"/>
    <w:rPr>
      <w:rFonts w:cs="Times New Roman"/>
      <w:sz w:val="18"/>
    </w:rPr>
  </w:style>
  <w:style w:type="character" w:customStyle="1" w:styleId="220">
    <w:name w:val="页眉 字符"/>
    <w:qFormat/>
    <w:locked/>
    <w:uiPriority w:val="99"/>
    <w:rPr>
      <w:rFonts w:cs="Times New Roman"/>
      <w:sz w:val="18"/>
    </w:rPr>
  </w:style>
  <w:style w:type="paragraph" w:customStyle="1" w:styleId="221">
    <w:name w:val="列出段落11"/>
    <w:basedOn w:val="1"/>
    <w:qFormat/>
    <w:uiPriority w:val="99"/>
    <w:pPr>
      <w:spacing w:line="360" w:lineRule="auto"/>
      <w:ind w:firstLine="420" w:firstLineChars="200"/>
    </w:pPr>
    <w:rPr>
      <w:rFonts w:ascii="Calibri" w:hAnsi="Calibri"/>
      <w:sz w:val="24"/>
      <w:szCs w:val="22"/>
    </w:rPr>
  </w:style>
  <w:style w:type="paragraph" w:customStyle="1" w:styleId="222">
    <w:name w:val="样式 目录 2 + 左侧:  2 字符"/>
    <w:basedOn w:val="37"/>
    <w:qFormat/>
    <w:uiPriority w:val="99"/>
    <w:pPr>
      <w:widowControl/>
      <w:spacing w:line="300" w:lineRule="auto"/>
      <w:ind w:left="200" w:leftChars="200"/>
    </w:pPr>
    <w:rPr>
      <w:rFonts w:ascii="Calibri" w:hAnsi="Calibri" w:cs="宋体"/>
      <w:sz w:val="24"/>
    </w:rPr>
  </w:style>
  <w:style w:type="character" w:customStyle="1" w:styleId="223">
    <w:name w:val="style7"/>
    <w:qFormat/>
    <w:uiPriority w:val="0"/>
  </w:style>
  <w:style w:type="character" w:customStyle="1" w:styleId="224">
    <w:name w:val="style8"/>
    <w:qFormat/>
    <w:uiPriority w:val="0"/>
  </w:style>
  <w:style w:type="character" w:customStyle="1" w:styleId="225">
    <w:name w:val="ordinary-span-edit2"/>
    <w:qFormat/>
    <w:uiPriority w:val="0"/>
  </w:style>
  <w:style w:type="paragraph" w:customStyle="1" w:styleId="226">
    <w:name w:val="列表段落1"/>
    <w:basedOn w:val="1"/>
    <w:qFormat/>
    <w:uiPriority w:val="0"/>
    <w:pPr>
      <w:ind w:firstLine="420" w:firstLineChars="200"/>
    </w:pPr>
    <w:rPr>
      <w:rFonts w:ascii="Calibri" w:hAnsi="Calibri" w:cs="黑体"/>
      <w:szCs w:val="22"/>
    </w:rPr>
  </w:style>
  <w:style w:type="paragraph" w:customStyle="1" w:styleId="227">
    <w:name w:val="TOC 标题2"/>
    <w:basedOn w:val="2"/>
    <w:next w:val="1"/>
    <w:unhideWhenUsed/>
    <w:qFormat/>
    <w:uiPriority w:val="39"/>
    <w:pPr>
      <w:widowControl/>
      <w:spacing w:before="100" w:beforeAutospacing="1" w:after="100" w:afterAutospacing="1" w:line="259" w:lineRule="auto"/>
      <w:jc w:val="left"/>
      <w:outlineLvl w:val="9"/>
    </w:pPr>
    <w:rPr>
      <w:rFonts w:ascii="Cambria" w:hAnsi="Cambria"/>
      <w:b w:val="0"/>
      <w:bCs w:val="0"/>
      <w:color w:val="366091"/>
      <w:kern w:val="0"/>
      <w:sz w:val="32"/>
      <w:szCs w:val="32"/>
    </w:rPr>
  </w:style>
  <w:style w:type="character" w:customStyle="1" w:styleId="228">
    <w:name w:val="javascript"/>
    <w:qFormat/>
    <w:uiPriority w:val="0"/>
  </w:style>
  <w:style w:type="character" w:customStyle="1" w:styleId="229">
    <w:name w:val="段 Char Char"/>
    <w:qFormat/>
    <w:uiPriority w:val="0"/>
    <w:rPr>
      <w:rFonts w:ascii="宋体"/>
      <w:sz w:val="21"/>
      <w:lang w:val="en-US" w:eastAsia="zh-CN" w:bidi="ar-SA"/>
    </w:rPr>
  </w:style>
  <w:style w:type="paragraph" w:customStyle="1" w:styleId="230">
    <w:name w:val="条名"/>
    <w:basedOn w:val="4"/>
    <w:next w:val="24"/>
    <w:qFormat/>
    <w:uiPriority w:val="0"/>
    <w:pPr>
      <w:keepNext w:val="0"/>
      <w:keepLines w:val="0"/>
      <w:adjustRightInd w:val="0"/>
      <w:snapToGrid w:val="0"/>
      <w:spacing w:before="0" w:after="0" w:line="240" w:lineRule="auto"/>
      <w:jc w:val="left"/>
    </w:pPr>
    <w:rPr>
      <w:b w:val="0"/>
      <w:sz w:val="21"/>
    </w:rPr>
  </w:style>
  <w:style w:type="paragraph" w:customStyle="1" w:styleId="231">
    <w:name w:val="样式2"/>
    <w:basedOn w:val="1"/>
    <w:qFormat/>
    <w:uiPriority w:val="0"/>
    <w:pPr>
      <w:spacing w:line="480" w:lineRule="auto"/>
    </w:pPr>
    <w:rPr>
      <w:sz w:val="24"/>
      <w:szCs w:val="24"/>
    </w:rPr>
  </w:style>
  <w:style w:type="paragraph" w:customStyle="1" w:styleId="232">
    <w:name w:val="正文表标题"/>
    <w:next w:val="1"/>
    <w:qFormat/>
    <w:uiPriority w:val="0"/>
    <w:pPr>
      <w:tabs>
        <w:tab w:val="left" w:pos="360"/>
      </w:tabs>
      <w:jc w:val="center"/>
    </w:pPr>
    <w:rPr>
      <w:rFonts w:ascii="黑体" w:hAnsi="Times New Roman" w:eastAsia="黑体" w:cs="Times New Roman"/>
      <w:sz w:val="21"/>
      <w:lang w:val="en-US" w:eastAsia="zh-CN" w:bidi="ar-SA"/>
    </w:rPr>
  </w:style>
  <w:style w:type="paragraph" w:customStyle="1" w:styleId="233">
    <w:name w:val="Body"/>
    <w:basedOn w:val="1"/>
    <w:link w:val="234"/>
    <w:qFormat/>
    <w:uiPriority w:val="99"/>
    <w:pPr>
      <w:numPr>
        <w:ilvl w:val="2"/>
        <w:numId w:val="4"/>
      </w:numPr>
      <w:adjustRightInd w:val="0"/>
      <w:spacing w:line="360" w:lineRule="auto"/>
      <w:outlineLvl w:val="2"/>
    </w:pPr>
    <w:rPr>
      <w:color w:val="000000"/>
      <w:sz w:val="24"/>
      <w:szCs w:val="20"/>
      <w:lang w:val="zh-CN"/>
    </w:rPr>
  </w:style>
  <w:style w:type="character" w:customStyle="1" w:styleId="234">
    <w:name w:val="Body Char"/>
    <w:link w:val="233"/>
    <w:qFormat/>
    <w:locked/>
    <w:uiPriority w:val="99"/>
    <w:rPr>
      <w:rFonts w:ascii="Times New Roman" w:hAnsi="Times New Roman"/>
      <w:color w:val="000000"/>
      <w:kern w:val="2"/>
      <w:sz w:val="24"/>
      <w:lang w:val="zh-CN" w:eastAsia="zh-CN"/>
    </w:rPr>
  </w:style>
  <w:style w:type="paragraph" w:customStyle="1" w:styleId="235">
    <w:name w:val="article title"/>
    <w:basedOn w:val="1"/>
    <w:qFormat/>
    <w:uiPriority w:val="99"/>
    <w:pPr>
      <w:widowControl/>
      <w:numPr>
        <w:ilvl w:val="0"/>
        <w:numId w:val="4"/>
      </w:numPr>
      <w:spacing w:line="360" w:lineRule="auto"/>
      <w:jc w:val="center"/>
      <w:outlineLvl w:val="0"/>
    </w:pPr>
    <w:rPr>
      <w:rFonts w:ascii="黑体" w:hAnsi="黑体" w:eastAsia="黑体"/>
      <w:b/>
      <w:color w:val="000000"/>
      <w:kern w:val="0"/>
      <w:sz w:val="28"/>
      <w:szCs w:val="20"/>
      <w:lang w:val="zh-CN" w:eastAsia="en-US"/>
    </w:rPr>
  </w:style>
  <w:style w:type="paragraph" w:customStyle="1" w:styleId="236">
    <w:name w:val="charter title"/>
    <w:basedOn w:val="1"/>
    <w:qFormat/>
    <w:uiPriority w:val="99"/>
    <w:pPr>
      <w:tabs>
        <w:tab w:val="left" w:pos="3828"/>
      </w:tabs>
      <w:spacing w:before="312" w:after="312" w:line="360" w:lineRule="auto"/>
      <w:ind w:left="3828"/>
      <w:jc w:val="center"/>
      <w:outlineLvl w:val="1"/>
    </w:pPr>
    <w:rPr>
      <w:rFonts w:ascii="黑体" w:hAnsi="黑体" w:eastAsia="黑体"/>
      <w:b/>
      <w:color w:val="000000"/>
      <w:sz w:val="24"/>
      <w:szCs w:val="20"/>
      <w:lang w:val="zh-CN"/>
    </w:rPr>
  </w:style>
  <w:style w:type="paragraph" w:customStyle="1" w:styleId="237">
    <w:name w:val="Description"/>
    <w:basedOn w:val="1"/>
    <w:link w:val="238"/>
    <w:qFormat/>
    <w:uiPriority w:val="0"/>
    <w:pPr>
      <w:adjustRightInd w:val="0"/>
      <w:spacing w:line="360" w:lineRule="auto"/>
      <w:outlineLvl w:val="2"/>
    </w:pPr>
    <w:rPr>
      <w:rFonts w:ascii="华文新魏" w:eastAsia="华文新魏"/>
      <w:szCs w:val="20"/>
      <w:lang w:val="zh-CN"/>
    </w:rPr>
  </w:style>
  <w:style w:type="character" w:customStyle="1" w:styleId="238">
    <w:name w:val="Description Char"/>
    <w:link w:val="237"/>
    <w:qFormat/>
    <w:locked/>
    <w:uiPriority w:val="0"/>
    <w:rPr>
      <w:rFonts w:ascii="华文新魏" w:hAnsi="Times New Roman" w:eastAsia="华文新魏"/>
      <w:kern w:val="2"/>
      <w:sz w:val="21"/>
      <w:lang w:val="zh-CN" w:eastAsia="zh-CN"/>
    </w:rPr>
  </w:style>
  <w:style w:type="paragraph" w:customStyle="1" w:styleId="239">
    <w:name w:val="普通 (Web)"/>
    <w:basedOn w:val="1"/>
    <w:next w:val="1"/>
    <w:qFormat/>
    <w:uiPriority w:val="0"/>
    <w:pPr>
      <w:autoSpaceDE w:val="0"/>
      <w:autoSpaceDN w:val="0"/>
      <w:adjustRightInd w:val="0"/>
      <w:spacing w:before="100" w:after="100"/>
      <w:jc w:val="left"/>
    </w:pPr>
    <w:rPr>
      <w:rFonts w:ascii="..ì." w:eastAsia="..ì."/>
      <w:kern w:val="0"/>
      <w:sz w:val="24"/>
      <w:szCs w:val="24"/>
    </w:rPr>
  </w:style>
  <w:style w:type="character" w:customStyle="1" w:styleId="240">
    <w:name w:val="sh14"/>
    <w:qFormat/>
    <w:uiPriority w:val="0"/>
  </w:style>
  <w:style w:type="character" w:customStyle="1" w:styleId="241">
    <w:name w:val="标题 4 字符"/>
    <w:qFormat/>
    <w:uiPriority w:val="9"/>
    <w:rPr>
      <w:rFonts w:ascii="宋体" w:hAnsi="宋体" w:eastAsia="宋体" w:cs="宋体"/>
      <w:b/>
      <w:bCs/>
      <w:kern w:val="0"/>
      <w:szCs w:val="24"/>
    </w:rPr>
  </w:style>
  <w:style w:type="character" w:customStyle="1" w:styleId="242">
    <w:name w:val="标题 5 字符"/>
    <w:semiHidden/>
    <w:qFormat/>
    <w:uiPriority w:val="9"/>
    <w:rPr>
      <w:b/>
      <w:bCs/>
      <w:sz w:val="28"/>
      <w:szCs w:val="28"/>
    </w:rPr>
  </w:style>
  <w:style w:type="paragraph" w:customStyle="1" w:styleId="243">
    <w:name w:val="_Style 237"/>
    <w:basedOn w:val="1"/>
    <w:next w:val="1"/>
    <w:unhideWhenUsed/>
    <w:qFormat/>
    <w:uiPriority w:val="39"/>
    <w:pPr>
      <w:ind w:left="3360" w:leftChars="1600"/>
    </w:pPr>
    <w:rPr>
      <w:rFonts w:ascii="Calibri" w:hAnsi="Calibri"/>
      <w:szCs w:val="22"/>
    </w:rPr>
  </w:style>
  <w:style w:type="character" w:customStyle="1" w:styleId="244">
    <w:name w:val="正文文本缩进 字符"/>
    <w:qFormat/>
    <w:uiPriority w:val="0"/>
    <w:rPr>
      <w:rFonts w:eastAsia="宋体"/>
      <w:szCs w:val="21"/>
    </w:rPr>
  </w:style>
  <w:style w:type="character" w:customStyle="1" w:styleId="245">
    <w:name w:val="标题 字符"/>
    <w:qFormat/>
    <w:uiPriority w:val="10"/>
    <w:rPr>
      <w:rFonts w:ascii="Cambria" w:hAnsi="Cambria" w:eastAsia="宋体" w:cs="Times New Roman"/>
      <w:b/>
      <w:bCs/>
      <w:sz w:val="32"/>
      <w:szCs w:val="32"/>
    </w:rPr>
  </w:style>
  <w:style w:type="character" w:customStyle="1" w:styleId="246">
    <w:name w:val="high-light"/>
    <w:qFormat/>
    <w:uiPriority w:val="0"/>
  </w:style>
  <w:style w:type="character" w:customStyle="1" w:styleId="247">
    <w:name w:val="doc_title"/>
    <w:qFormat/>
    <w:uiPriority w:val="0"/>
  </w:style>
  <w:style w:type="character" w:customStyle="1" w:styleId="248">
    <w:name w:val="未处理的提及1"/>
    <w:unhideWhenUsed/>
    <w:qFormat/>
    <w:uiPriority w:val="99"/>
    <w:rPr>
      <w:color w:val="605E5C"/>
      <w:shd w:val="clear" w:color="auto" w:fill="E1DFDD"/>
    </w:rPr>
  </w:style>
  <w:style w:type="character" w:customStyle="1" w:styleId="249">
    <w:name w:val="Other|1_"/>
    <w:link w:val="250"/>
    <w:qFormat/>
    <w:uiPriority w:val="0"/>
    <w:rPr>
      <w:rFonts w:ascii="宋体" w:hAnsi="宋体" w:cs="宋体"/>
      <w:color w:val="25221E"/>
      <w:sz w:val="30"/>
      <w:szCs w:val="30"/>
    </w:rPr>
  </w:style>
  <w:style w:type="paragraph" w:customStyle="1" w:styleId="250">
    <w:name w:val="Other|1"/>
    <w:basedOn w:val="1"/>
    <w:link w:val="249"/>
    <w:qFormat/>
    <w:uiPriority w:val="0"/>
    <w:pPr>
      <w:spacing w:line="374" w:lineRule="auto"/>
      <w:ind w:firstLine="400"/>
      <w:jc w:val="left"/>
    </w:pPr>
    <w:rPr>
      <w:rFonts w:ascii="宋体" w:hAnsi="宋体" w:cs="宋体"/>
      <w:color w:val="25221E"/>
      <w:kern w:val="0"/>
      <w:sz w:val="30"/>
      <w:szCs w:val="30"/>
    </w:rPr>
  </w:style>
  <w:style w:type="character" w:customStyle="1" w:styleId="251">
    <w:name w:val="正文2 Char"/>
    <w:link w:val="252"/>
    <w:qFormat/>
    <w:uiPriority w:val="0"/>
    <w:rPr>
      <w:rFonts w:ascii="Times New Roman" w:hAnsi="Times New Roman"/>
    </w:rPr>
  </w:style>
  <w:style w:type="paragraph" w:customStyle="1" w:styleId="252">
    <w:name w:val="正文2"/>
    <w:basedOn w:val="1"/>
    <w:link w:val="251"/>
    <w:qFormat/>
    <w:uiPriority w:val="0"/>
    <w:pPr>
      <w:spacing w:line="360" w:lineRule="auto"/>
      <w:ind w:firstLine="960" w:firstLineChars="200"/>
    </w:pPr>
    <w:rPr>
      <w:kern w:val="0"/>
      <w:sz w:val="20"/>
      <w:szCs w:val="20"/>
    </w:rPr>
  </w:style>
  <w:style w:type="paragraph" w:customStyle="1" w:styleId="253">
    <w:name w:val="表格"/>
    <w:basedOn w:val="1"/>
    <w:qFormat/>
    <w:uiPriority w:val="0"/>
    <w:pPr>
      <w:spacing w:line="360" w:lineRule="auto"/>
      <w:jc w:val="center"/>
    </w:pPr>
    <w:rPr>
      <w:szCs w:val="24"/>
    </w:rPr>
  </w:style>
  <w:style w:type="paragraph" w:customStyle="1" w:styleId="254">
    <w:name w:val="_Style 3"/>
    <w:basedOn w:val="1"/>
    <w:qFormat/>
    <w:uiPriority w:val="99"/>
    <w:pPr>
      <w:ind w:firstLine="420" w:firstLineChars="200"/>
    </w:pPr>
    <w:rPr>
      <w:szCs w:val="24"/>
    </w:rPr>
  </w:style>
  <w:style w:type="paragraph" w:customStyle="1" w:styleId="255">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256">
    <w:name w:val="TTP Paragraph (others)"/>
    <w:basedOn w:val="1"/>
    <w:qFormat/>
    <w:uiPriority w:val="0"/>
    <w:pPr>
      <w:widowControl/>
      <w:autoSpaceDE w:val="0"/>
      <w:autoSpaceDN w:val="0"/>
      <w:adjustRightInd w:val="0"/>
      <w:snapToGrid w:val="0"/>
      <w:ind w:firstLine="283"/>
    </w:pPr>
    <w:rPr>
      <w:kern w:val="0"/>
      <w:sz w:val="24"/>
      <w:szCs w:val="24"/>
      <w:lang w:eastAsia="en-US"/>
    </w:rPr>
  </w:style>
  <w:style w:type="paragraph" w:customStyle="1" w:styleId="257">
    <w:name w:val="Char Char"/>
    <w:basedOn w:val="1"/>
    <w:qFormat/>
    <w:uiPriority w:val="0"/>
    <w:rPr>
      <w:szCs w:val="24"/>
    </w:rPr>
  </w:style>
  <w:style w:type="paragraph" w:customStyle="1" w:styleId="258">
    <w:name w:val="普通(网站)1"/>
    <w:basedOn w:val="1"/>
    <w:qFormat/>
    <w:uiPriority w:val="0"/>
    <w:pPr>
      <w:widowControl/>
      <w:spacing w:before="100" w:beforeAutospacing="1" w:after="100" w:afterAutospacing="1"/>
      <w:jc w:val="left"/>
    </w:pPr>
    <w:rPr>
      <w:rFonts w:ascii="宋体" w:hAnsi="宋体"/>
      <w:sz w:val="24"/>
      <w:szCs w:val="24"/>
    </w:rPr>
  </w:style>
  <w:style w:type="character" w:customStyle="1" w:styleId="259">
    <w:name w:val="纯文本 字符"/>
    <w:qFormat/>
    <w:uiPriority w:val="0"/>
    <w:rPr>
      <w:rFonts w:ascii="宋体" w:hAnsi="Courier New" w:eastAsia="宋体" w:cs="Courier New"/>
      <w:szCs w:val="21"/>
    </w:rPr>
  </w:style>
  <w:style w:type="character" w:customStyle="1" w:styleId="260">
    <w:name w:val="con"/>
    <w:qFormat/>
    <w:uiPriority w:val="0"/>
  </w:style>
  <w:style w:type="paragraph" w:customStyle="1" w:styleId="261">
    <w:name w:val="_Style 256"/>
    <w:basedOn w:val="1"/>
    <w:next w:val="100"/>
    <w:qFormat/>
    <w:uiPriority w:val="34"/>
    <w:pPr>
      <w:spacing w:line="400" w:lineRule="exact"/>
      <w:ind w:firstLine="420" w:firstLineChars="200"/>
    </w:pPr>
    <w:rPr>
      <w:sz w:val="24"/>
      <w:szCs w:val="20"/>
    </w:rPr>
  </w:style>
  <w:style w:type="paragraph" w:customStyle="1" w:styleId="262">
    <w:name w:val="_Style 42"/>
    <w:basedOn w:val="1"/>
    <w:next w:val="1"/>
    <w:unhideWhenUsed/>
    <w:qFormat/>
    <w:uiPriority w:val="39"/>
    <w:pPr>
      <w:spacing w:line="400" w:lineRule="exact"/>
    </w:pPr>
    <w:rPr>
      <w:rFonts w:ascii="Calibri" w:hAnsi="Calibri"/>
      <w:sz w:val="24"/>
      <w:szCs w:val="22"/>
    </w:rPr>
  </w:style>
  <w:style w:type="paragraph" w:customStyle="1" w:styleId="263">
    <w:name w:val="列出段落3"/>
    <w:basedOn w:val="1"/>
    <w:qFormat/>
    <w:uiPriority w:val="0"/>
    <w:pPr>
      <w:spacing w:line="400" w:lineRule="exact"/>
      <w:ind w:firstLine="420" w:firstLineChars="200"/>
    </w:pPr>
    <w:rPr>
      <w:rFonts w:ascii="Calibri" w:hAnsi="Calibri"/>
      <w:sz w:val="24"/>
      <w:szCs w:val="22"/>
    </w:rPr>
  </w:style>
  <w:style w:type="character" w:customStyle="1" w:styleId="264">
    <w:name w:val="Char Char12"/>
    <w:qFormat/>
    <w:uiPriority w:val="0"/>
    <w:rPr>
      <w:rFonts w:eastAsia="宋体"/>
      <w:kern w:val="2"/>
      <w:sz w:val="18"/>
      <w:szCs w:val="18"/>
      <w:lang w:val="en-US" w:eastAsia="zh-CN" w:bidi="ar-SA"/>
    </w:rPr>
  </w:style>
  <w:style w:type="character" w:customStyle="1" w:styleId="265">
    <w:name w:val="Char Char21"/>
    <w:qFormat/>
    <w:uiPriority w:val="0"/>
    <w:rPr>
      <w:rFonts w:ascii="宋体" w:eastAsia="宋体"/>
      <w:kern w:val="2"/>
      <w:sz w:val="18"/>
      <w:szCs w:val="18"/>
      <w:lang w:val="en-US" w:eastAsia="zh-CN" w:bidi="ar-SA"/>
    </w:rPr>
  </w:style>
  <w:style w:type="character" w:customStyle="1" w:styleId="266">
    <w:name w:val="Char Char2"/>
    <w:qFormat/>
    <w:uiPriority w:val="0"/>
    <w:rPr>
      <w:bCs/>
      <w:color w:val="FF0000"/>
      <w:kern w:val="2"/>
      <w:sz w:val="28"/>
      <w:szCs w:val="28"/>
    </w:rPr>
  </w:style>
  <w:style w:type="paragraph" w:customStyle="1" w:styleId="267">
    <w:name w:val="附录三级条标题"/>
    <w:basedOn w:val="268"/>
    <w:next w:val="1"/>
    <w:qFormat/>
    <w:uiPriority w:val="0"/>
    <w:pPr>
      <w:numPr>
        <w:ilvl w:val="4"/>
      </w:numPr>
      <w:tabs>
        <w:tab w:val="left" w:pos="360"/>
        <w:tab w:val="left" w:pos="1680"/>
      </w:tabs>
      <w:outlineLvl w:val="4"/>
    </w:pPr>
  </w:style>
  <w:style w:type="paragraph" w:customStyle="1" w:styleId="268">
    <w:name w:val="附录二级条标题"/>
    <w:basedOn w:val="1"/>
    <w:next w:val="1"/>
    <w:qFormat/>
    <w:uiPriority w:val="0"/>
    <w:pPr>
      <w:widowControl/>
      <w:numPr>
        <w:ilvl w:val="3"/>
        <w:numId w:val="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69">
    <w:name w:val="lgendetabetfig"/>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0">
    <w:name w:val="Char Char Char Char1"/>
    <w:basedOn w:val="1"/>
    <w:qFormat/>
    <w:uiPriority w:val="0"/>
    <w:rPr>
      <w:rFonts w:ascii="Tahoma" w:hAnsi="Tahoma"/>
      <w:sz w:val="24"/>
      <w:szCs w:val="20"/>
    </w:rPr>
  </w:style>
  <w:style w:type="paragraph" w:customStyle="1" w:styleId="271">
    <w:name w:val="附录四级条标题"/>
    <w:basedOn w:val="267"/>
    <w:next w:val="1"/>
    <w:qFormat/>
    <w:uiPriority w:val="0"/>
    <w:pPr>
      <w:numPr>
        <w:ilvl w:val="5"/>
      </w:numPr>
      <w:outlineLvl w:val="5"/>
    </w:pPr>
  </w:style>
  <w:style w:type="paragraph" w:customStyle="1" w:styleId="272">
    <w:name w:val="Char1"/>
    <w:basedOn w:val="1"/>
    <w:qFormat/>
    <w:uiPriority w:val="0"/>
    <w:rPr>
      <w:rFonts w:ascii="Tahoma" w:hAnsi="Tahoma"/>
      <w:sz w:val="24"/>
      <w:szCs w:val="20"/>
    </w:rPr>
  </w:style>
  <w:style w:type="paragraph" w:customStyle="1" w:styleId="273">
    <w:name w:val="Char Char Char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74">
    <w:name w:val="正文顶头"/>
    <w:basedOn w:val="1"/>
    <w:qFormat/>
    <w:uiPriority w:val="0"/>
    <w:rPr>
      <w:szCs w:val="20"/>
    </w:rPr>
  </w:style>
  <w:style w:type="paragraph" w:customStyle="1" w:styleId="275">
    <w:name w:val="textetableau"/>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6">
    <w:name w:val="附录章标题"/>
    <w:next w:val="1"/>
    <w:qFormat/>
    <w:uiPriority w:val="0"/>
    <w:pPr>
      <w:numPr>
        <w:ilvl w:val="1"/>
        <w:numId w:val="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五级条标题"/>
    <w:basedOn w:val="271"/>
    <w:next w:val="1"/>
    <w:qFormat/>
    <w:uiPriority w:val="0"/>
    <w:pPr>
      <w:numPr>
        <w:ilvl w:val="6"/>
      </w:numPr>
      <w:outlineLvl w:val="6"/>
    </w:pPr>
  </w:style>
  <w:style w:type="paragraph" w:customStyle="1" w:styleId="278">
    <w:name w:val="Char Char Char Char2"/>
    <w:basedOn w:val="1"/>
    <w:qFormat/>
    <w:uiPriority w:val="0"/>
    <w:rPr>
      <w:rFonts w:ascii="Tahoma" w:hAnsi="Tahoma"/>
      <w:sz w:val="24"/>
      <w:szCs w:val="20"/>
    </w:rPr>
  </w:style>
  <w:style w:type="paragraph" w:customStyle="1" w:styleId="279">
    <w:name w:val="标准正文"/>
    <w:basedOn w:val="1"/>
    <w:qFormat/>
    <w:uiPriority w:val="0"/>
    <w:pPr>
      <w:tabs>
        <w:tab w:val="left" w:pos="540"/>
        <w:tab w:val="left" w:pos="720"/>
        <w:tab w:val="left" w:pos="900"/>
        <w:tab w:val="left" w:pos="1080"/>
      </w:tabs>
      <w:snapToGrid w:val="0"/>
      <w:spacing w:line="288" w:lineRule="auto"/>
      <w:ind w:left="2" w:leftChars="1" w:right="25" w:rightChars="12"/>
    </w:pPr>
    <w:rPr>
      <w:rFonts w:ascii="华文中宋" w:hAnsi="华文中宋" w:cs="方正小标宋简体"/>
      <w:color w:val="000000"/>
      <w:kern w:val="0"/>
      <w:sz w:val="24"/>
    </w:rPr>
  </w:style>
  <w:style w:type="character" w:customStyle="1" w:styleId="280">
    <w:name w:val="1级标题 Char"/>
    <w:link w:val="281"/>
    <w:qFormat/>
    <w:uiPriority w:val="0"/>
    <w:rPr>
      <w:kern w:val="44"/>
      <w:sz w:val="22"/>
    </w:rPr>
  </w:style>
  <w:style w:type="paragraph" w:customStyle="1" w:styleId="281">
    <w:name w:val="1级标题"/>
    <w:basedOn w:val="1"/>
    <w:link w:val="280"/>
    <w:qFormat/>
    <w:uiPriority w:val="0"/>
    <w:pPr>
      <w:keepNext/>
      <w:keepLines/>
      <w:spacing w:beforeLines="50" w:afterLines="50" w:line="480" w:lineRule="auto"/>
      <w:ind w:left="2" w:leftChars="1" w:right="25" w:rightChars="12"/>
      <w:jc w:val="center"/>
      <w:outlineLvl w:val="0"/>
    </w:pPr>
    <w:rPr>
      <w:rFonts w:ascii="Calibri" w:hAnsi="Calibri"/>
      <w:kern w:val="44"/>
      <w:sz w:val="22"/>
      <w:szCs w:val="20"/>
    </w:rPr>
  </w:style>
  <w:style w:type="character" w:customStyle="1" w:styleId="282">
    <w:name w:val="fontstyle11"/>
    <w:qFormat/>
    <w:uiPriority w:val="0"/>
    <w:rPr>
      <w:rFonts w:ascii="Yu Mincho Light" w:hAnsi="Yu Mincho Light" w:eastAsia="Yu Mincho Light" w:cs="Yu Mincho Light"/>
      <w:color w:val="000000"/>
      <w:sz w:val="24"/>
      <w:szCs w:val="24"/>
    </w:rPr>
  </w:style>
  <w:style w:type="character" w:customStyle="1" w:styleId="283">
    <w:name w:val="fontstyle31"/>
    <w:qFormat/>
    <w:uiPriority w:val="0"/>
    <w:rPr>
      <w:rFonts w:ascii="Cambria Math" w:hAnsi="华文中宋" w:eastAsia="Cambria Math" w:cs="Cambria Math"/>
      <w:color w:val="000000"/>
      <w:sz w:val="22"/>
      <w:szCs w:val="22"/>
    </w:rPr>
  </w:style>
  <w:style w:type="character" w:customStyle="1" w:styleId="284">
    <w:name w:val="fontstyle21"/>
    <w:qFormat/>
    <w:uiPriority w:val="0"/>
    <w:rPr>
      <w:rFonts w:ascii="宋体" w:hAnsi="宋体" w:eastAsia="等线" w:cs="宋体"/>
      <w:color w:val="000000"/>
      <w:sz w:val="24"/>
      <w:szCs w:val="24"/>
    </w:rPr>
  </w:style>
  <w:style w:type="character" w:customStyle="1" w:styleId="285">
    <w:name w:val="fontstyle01"/>
    <w:qFormat/>
    <w:uiPriority w:val="0"/>
    <w:rPr>
      <w:rFonts w:ascii="华文中宋" w:hAnsi="华文中宋" w:eastAsia="华文中宋" w:cs="华文中宋"/>
      <w:color w:val="000000"/>
      <w:sz w:val="24"/>
      <w:szCs w:val="24"/>
    </w:rPr>
  </w:style>
  <w:style w:type="character" w:customStyle="1" w:styleId="286">
    <w:name w:val="批注文字 字符1"/>
    <w:qFormat/>
    <w:uiPriority w:val="0"/>
    <w:rPr>
      <w:rFonts w:hint="default" w:ascii="方正小标宋简体" w:hAnsi="方正小标宋简体" w:cs="方正小标宋简体"/>
      <w:sz w:val="24"/>
      <w:szCs w:val="21"/>
    </w:rPr>
  </w:style>
  <w:style w:type="paragraph" w:customStyle="1" w:styleId="287">
    <w:name w:val="图小注"/>
    <w:basedOn w:val="1"/>
    <w:qFormat/>
    <w:uiPriority w:val="0"/>
    <w:pPr>
      <w:widowControl/>
      <w:ind w:left="2" w:leftChars="1" w:right="25" w:rightChars="12"/>
      <w:jc w:val="center"/>
    </w:pPr>
    <w:rPr>
      <w:rFonts w:cs="方正小标宋简体"/>
      <w:kern w:val="0"/>
      <w:sz w:val="18"/>
      <w:szCs w:val="24"/>
    </w:rPr>
  </w:style>
  <w:style w:type="paragraph" w:customStyle="1" w:styleId="288">
    <w:name w:val="正文文本 (2)"/>
    <w:basedOn w:val="1"/>
    <w:qFormat/>
    <w:uiPriority w:val="99"/>
    <w:pPr>
      <w:shd w:val="clear" w:color="auto" w:fill="FFFFFF"/>
      <w:spacing w:line="226" w:lineRule="exact"/>
      <w:ind w:left="2" w:leftChars="1" w:right="25" w:rightChars="12"/>
      <w:jc w:val="distribute"/>
    </w:pPr>
    <w:rPr>
      <w:rFonts w:hint="eastAsia" w:ascii="Cambria Math" w:hAnsi="Cambria Math" w:eastAsia="Cambria Math" w:cs="方正小标宋简体"/>
      <w:spacing w:val="10"/>
      <w:kern w:val="0"/>
      <w:sz w:val="12"/>
    </w:rPr>
  </w:style>
  <w:style w:type="paragraph" w:customStyle="1" w:styleId="28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0">
    <w:name w:val="WPSOffice手动目录 1"/>
    <w:qFormat/>
    <w:uiPriority w:val="0"/>
    <w:rPr>
      <w:rFonts w:ascii="Times New Roman" w:hAnsi="Times New Roman" w:eastAsia="宋体" w:cs="Times New Roman"/>
      <w:lang w:val="en-US" w:eastAsia="zh-CN" w:bidi="ar-SA"/>
    </w:rPr>
  </w:style>
  <w:style w:type="paragraph" w:customStyle="1" w:styleId="291">
    <w:name w:val="标题 #1"/>
    <w:basedOn w:val="1"/>
    <w:qFormat/>
    <w:uiPriority w:val="99"/>
    <w:pPr>
      <w:shd w:val="clear" w:color="auto" w:fill="FFFFFF"/>
      <w:spacing w:after="180" w:line="240" w:lineRule="atLeast"/>
      <w:ind w:left="2" w:leftChars="1" w:right="25" w:rightChars="12"/>
      <w:jc w:val="distribute"/>
      <w:outlineLvl w:val="0"/>
    </w:pPr>
    <w:rPr>
      <w:rFonts w:hint="eastAsia" w:ascii="Cambria Math" w:hAnsi="Cambria Math" w:eastAsia="Cambria Math" w:cs="方正小标宋简体"/>
      <w:spacing w:val="10"/>
      <w:kern w:val="0"/>
      <w:sz w:val="16"/>
    </w:rPr>
  </w:style>
  <w:style w:type="paragraph" w:customStyle="1" w:styleId="292">
    <w:name w:val="纯文本1"/>
    <w:basedOn w:val="1"/>
    <w:qFormat/>
    <w:uiPriority w:val="0"/>
    <w:pPr>
      <w:spacing w:line="360" w:lineRule="auto"/>
      <w:ind w:left="2" w:leftChars="1" w:right="25" w:rightChars="12"/>
    </w:pPr>
    <w:rPr>
      <w:rFonts w:ascii="华文中宋" w:hAnsi="Arial" w:cs="华文中宋"/>
    </w:rPr>
  </w:style>
  <w:style w:type="paragraph" w:customStyle="1" w:styleId="293">
    <w:name w:val="表标题"/>
    <w:basedOn w:val="1"/>
    <w:qFormat/>
    <w:uiPriority w:val="0"/>
    <w:pPr>
      <w:spacing w:beforeLines="50" w:line="480" w:lineRule="auto"/>
      <w:ind w:left="2" w:leftChars="1" w:right="25" w:rightChars="12"/>
      <w:jc w:val="center"/>
    </w:pPr>
    <w:rPr>
      <w:rFonts w:eastAsia="Cambria Math" w:cs="方正小标宋简体"/>
      <w:kern w:val="0"/>
    </w:rPr>
  </w:style>
  <w:style w:type="paragraph" w:customStyle="1" w:styleId="294">
    <w:name w:val="_Style 50"/>
    <w:basedOn w:val="1"/>
    <w:qFormat/>
    <w:uiPriority w:val="0"/>
    <w:pPr>
      <w:spacing w:line="330" w:lineRule="atLeast"/>
      <w:ind w:left="360" w:leftChars="1" w:right="25" w:rightChars="12" w:firstLine="360" w:firstLineChars="150"/>
      <w:jc w:val="left"/>
    </w:pPr>
    <w:rPr>
      <w:rFonts w:cs="方正小标宋简体"/>
      <w:kern w:val="0"/>
      <w:sz w:val="24"/>
      <w:szCs w:val="22"/>
    </w:rPr>
  </w:style>
  <w:style w:type="paragraph" w:customStyle="1" w:styleId="295">
    <w:name w:val="Table Paragraph"/>
    <w:basedOn w:val="1"/>
    <w:qFormat/>
    <w:uiPriority w:val="1"/>
    <w:pPr>
      <w:spacing w:line="360" w:lineRule="auto"/>
      <w:ind w:left="103" w:leftChars="1" w:right="25" w:rightChars="12"/>
    </w:pPr>
    <w:rPr>
      <w:rFonts w:ascii="华文中宋" w:hAnsi="华文中宋" w:cs="华文中宋"/>
      <w:kern w:val="0"/>
      <w:sz w:val="24"/>
    </w:rPr>
  </w:style>
  <w:style w:type="paragraph" w:customStyle="1" w:styleId="296">
    <w:name w:val="content"/>
    <w:basedOn w:val="1"/>
    <w:qFormat/>
    <w:uiPriority w:val="0"/>
    <w:pPr>
      <w:spacing w:after="600" w:line="405" w:lineRule="atLeast"/>
      <w:ind w:left="2" w:leftChars="1" w:right="25" w:rightChars="12"/>
      <w:jc w:val="left"/>
    </w:pPr>
    <w:rPr>
      <w:rFonts w:ascii="Cambria Math" w:hAnsi="Cambria Math" w:eastAsia="Cambria Math" w:cs="等线"/>
      <w:kern w:val="0"/>
      <w:sz w:val="36"/>
      <w:szCs w:val="36"/>
    </w:rPr>
  </w:style>
  <w:style w:type="paragraph" w:customStyle="1" w:styleId="297">
    <w:name w:val="图名称"/>
    <w:basedOn w:val="293"/>
    <w:qFormat/>
    <w:uiPriority w:val="0"/>
    <w:pPr>
      <w:spacing w:line="360" w:lineRule="auto"/>
    </w:pPr>
  </w:style>
  <w:style w:type="paragraph" w:customStyle="1" w:styleId="298">
    <w:name w:val="图片表格"/>
    <w:next w:val="1"/>
    <w:qFormat/>
    <w:uiPriority w:val="0"/>
    <w:pPr>
      <w:jc w:val="center"/>
      <w:textAlignment w:val="center"/>
    </w:pPr>
    <w:rPr>
      <w:rFonts w:ascii="Times New Roman" w:hAnsi="Times New Roman" w:eastAsia="宋体" w:cs="Times New Roman"/>
      <w:kern w:val="2"/>
      <w:sz w:val="21"/>
      <w:lang w:val="en-US" w:eastAsia="zh-CN" w:bidi="ar-SA"/>
    </w:rPr>
  </w:style>
  <w:style w:type="paragraph" w:customStyle="1" w:styleId="299">
    <w:name w:val="1 章"/>
    <w:basedOn w:val="1"/>
    <w:qFormat/>
    <w:uiPriority w:val="0"/>
    <w:pPr>
      <w:ind w:firstLine="140" w:firstLineChars="50"/>
      <w:jc w:val="center"/>
      <w:outlineLvl w:val="0"/>
    </w:pPr>
    <w:rPr>
      <w:rFonts w:ascii="黑体" w:hAnsi="Calibri" w:eastAsia="黑体" w:cs="宋体"/>
      <w:bCs/>
      <w:kern w:val="0"/>
      <w:sz w:val="28"/>
      <w:szCs w:val="28"/>
    </w:rPr>
  </w:style>
  <w:style w:type="paragraph" w:customStyle="1" w:styleId="300">
    <w:name w:val="TOC 标题3"/>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1">
    <w:name w:val="标准文件_二级条标题"/>
    <w:next w:val="1"/>
    <w:qFormat/>
    <w:uiPriority w:val="0"/>
    <w:pPr>
      <w:widowControl w:val="0"/>
      <w:spacing w:beforeLines="50" w:afterLines="50"/>
      <w:jc w:val="both"/>
      <w:outlineLvl w:val="2"/>
    </w:pPr>
    <w:rPr>
      <w:rFonts w:ascii="黑体" w:hAnsi="Times New Roman" w:eastAsia="黑体" w:cs="Times New Roman"/>
      <w:sz w:val="21"/>
      <w:lang w:val="en-US" w:eastAsia="zh-CN" w:bidi="ar-SA"/>
    </w:rPr>
  </w:style>
  <w:style w:type="paragraph" w:customStyle="1" w:styleId="302">
    <w:name w:val="标准文件_方框数字列项"/>
    <w:basedOn w:val="1"/>
    <w:qFormat/>
    <w:uiPriority w:val="0"/>
    <w:pPr>
      <w:widowControl/>
      <w:numPr>
        <w:ilvl w:val="0"/>
        <w:numId w:val="5"/>
      </w:numPr>
      <w:autoSpaceDE w:val="0"/>
      <w:autoSpaceDN w:val="0"/>
      <w:ind w:firstLine="0"/>
    </w:pPr>
    <w:rPr>
      <w:rFonts w:ascii="宋体"/>
      <w:kern w:val="0"/>
      <w:szCs w:val="20"/>
    </w:rPr>
  </w:style>
  <w:style w:type="paragraph" w:customStyle="1" w:styleId="303">
    <w:name w:val="标准文件_三级条标题"/>
    <w:basedOn w:val="301"/>
    <w:next w:val="1"/>
    <w:qFormat/>
    <w:uiPriority w:val="0"/>
    <w:pPr>
      <w:widowControl/>
      <w:outlineLvl w:val="3"/>
    </w:pPr>
  </w:style>
  <w:style w:type="paragraph" w:customStyle="1" w:styleId="304">
    <w:name w:val="标准文件_四级条标题"/>
    <w:next w:val="1"/>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paragraph" w:customStyle="1" w:styleId="305">
    <w:name w:val="标准文件_五级条标题"/>
    <w:next w:val="1"/>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306">
    <w:name w:val="标准文件_章标题"/>
    <w:next w:val="1"/>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307">
    <w:name w:val="标准文件_一级条标题"/>
    <w:basedOn w:val="306"/>
    <w:next w:val="1"/>
    <w:qFormat/>
    <w:uiPriority w:val="0"/>
    <w:pPr>
      <w:spacing w:beforeLines="50" w:afterLines="50"/>
      <w:outlineLvl w:val="1"/>
    </w:pPr>
  </w:style>
  <w:style w:type="paragraph" w:customStyle="1" w:styleId="308">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09">
    <w:name w:val="标准文件_二级无标题"/>
    <w:basedOn w:val="301"/>
    <w:qFormat/>
    <w:uiPriority w:val="0"/>
    <w:pPr>
      <w:spacing w:beforeLines="0" w:afterLines="0"/>
      <w:outlineLvl w:val="9"/>
    </w:pPr>
    <w:rPr>
      <w:rFonts w:ascii="宋体" w:eastAsia="宋体"/>
    </w:rPr>
  </w:style>
  <w:style w:type="character" w:customStyle="1" w:styleId="310">
    <w:name w:val="未处理的提及2"/>
    <w:basedOn w:val="49"/>
    <w:semiHidden/>
    <w:unhideWhenUsed/>
    <w:qFormat/>
    <w:uiPriority w:val="99"/>
    <w:rPr>
      <w:color w:val="605E5C"/>
      <w:shd w:val="clear" w:color="auto" w:fill="E1DFDD"/>
    </w:rPr>
  </w:style>
  <w:style w:type="paragraph" w:customStyle="1" w:styleId="311">
    <w:name w:val="修订2"/>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E8237-6A76-4AE3-85AA-14C195D991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1328</Words>
  <Characters>2984</Characters>
  <Lines>367</Lines>
  <Paragraphs>103</Paragraphs>
  <TotalTime>0</TotalTime>
  <ScaleCrop>false</ScaleCrop>
  <LinksUpToDate>false</LinksUpToDate>
  <CharactersWithSpaces>3562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2025-01-26T06:42:00Z</dcterms:created>
  <dc:creator>金绍江</dc:creator>
  <cp:lastModifiedBy>飞天</cp:lastModifiedBy>
  <cp:lastPrinted>2025-01-26T08:10:00Z</cp:lastPrinted>
  <dcterms:modified xsi:type="dcterms:W3CDTF">2025-01-27T00:43:53Z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13D54D8B70B15430B1893D66F0DD6065</vt:lpwstr>
  </property>
  <property fmtid="{D5CDD505-2E9C-101B-9397-08002B2CF9AE}" pid="4" name="KSOTemplateDocerSaveRecord">
    <vt:lpwstr>eyJoZGlkIjoiZWUyNDI2YWY0OWNlNjUxMDg0ZTExOTRiY2ZlODkzMjMiLCJ1c2VySWQiOiIxNDUwODg4NTUwIn0=</vt:lpwstr>
  </property>
</Properties>
</file>