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ascii="黑体" w:hAnsi="黑体" w:eastAsia="黑体" w:cs="黑体"/>
          <w:sz w:val="24"/>
        </w:rPr>
      </w:pPr>
    </w:p>
    <w:p>
      <w:p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rPr>
        <w:t>住房和城乡建设部备案号：</w:t>
      </w:r>
      <w:r>
        <w:rPr>
          <w:rFonts w:ascii="Times New Roman" w:hAnsi="Times New Roman" w:eastAsia="黑体" w:cs="Times New Roman"/>
          <w:b/>
          <w:bCs/>
          <w:sz w:val="28"/>
          <w:szCs w:val="28"/>
        </w:rPr>
        <w:t>Jxxxxx-202</w:t>
      </w:r>
      <w:r>
        <w:rPr>
          <w:rFonts w:hint="eastAsia" w:ascii="Times New Roman" w:hAnsi="Times New Roman" w:eastAsia="黑体" w:cs="Times New Roman"/>
          <w:b/>
          <w:bCs/>
          <w:sz w:val="28"/>
          <w:szCs w:val="28"/>
          <w:lang w:val="en-US" w:eastAsia="zh-CN"/>
        </w:rPr>
        <w:t>4</w:t>
      </w:r>
    </w:p>
    <w:p/>
    <w:p/>
    <w:p>
      <w:pPr>
        <w:ind w:firstLine="880" w:firstLineChars="200"/>
        <w:rPr>
          <w:rFonts w:ascii="Times New Roman" w:hAnsi="Times New Roman" w:eastAsia="黑体" w:cs="Times New Roman"/>
          <w:sz w:val="84"/>
          <w:szCs w:val="84"/>
        </w:rPr>
      </w:pPr>
      <w:r>
        <w:rPr>
          <w:rFonts w:hint="eastAsia" w:ascii="黑体" w:hAnsi="黑体" w:eastAsia="黑体" w:cs="黑体"/>
          <w:spacing w:val="20"/>
          <w:sz w:val="40"/>
          <w:szCs w:val="40"/>
        </w:rPr>
        <w:t>海南省工程建设地方标准</w:t>
      </w:r>
      <w:r>
        <w:rPr>
          <w:rFonts w:hint="eastAsia" w:ascii="黑体" w:hAnsi="黑体" w:eastAsia="黑体" w:cs="黑体"/>
          <w:sz w:val="31"/>
          <w:szCs w:val="31"/>
        </w:rPr>
        <w:tab/>
      </w:r>
      <w:r>
        <w:rPr>
          <w:rFonts w:hint="eastAsia" w:ascii="黑体" w:hAnsi="黑体" w:eastAsia="黑体" w:cs="黑体"/>
          <w:sz w:val="31"/>
          <w:szCs w:val="31"/>
        </w:rPr>
        <w:tab/>
      </w:r>
      <w:r>
        <w:rPr>
          <w:rFonts w:hint="eastAsia" w:ascii="黑体" w:hAnsi="黑体" w:eastAsia="黑体" w:cs="黑体"/>
          <w:sz w:val="31"/>
          <w:szCs w:val="31"/>
        </w:rPr>
        <w:t xml:space="preserve">   </w:t>
      </w:r>
      <w:r>
        <w:rPr>
          <w:rFonts w:hint="eastAsia" w:ascii="黑体" w:hAnsi="黑体" w:eastAsia="黑体" w:cs="黑体"/>
          <w:sz w:val="31"/>
          <w:szCs w:val="31"/>
        </w:rPr>
        <w:tab/>
      </w:r>
      <w:r>
        <w:rPr>
          <w:rFonts w:hint="eastAsia" w:ascii="Times New Roman" w:hAnsi="Times New Roman" w:eastAsia="黑体" w:cs="Times New Roman"/>
          <w:b/>
          <w:bCs/>
          <w:color w:val="000000" w:themeColor="text1"/>
          <w:sz w:val="96"/>
          <w:szCs w:val="96"/>
          <w14:textFill>
            <w14:solidFill>
              <w14:schemeClr w14:val="tx1"/>
            </w14:solidFill>
          </w14:textFill>
        </w:rPr>
        <w:t>HN</w:t>
      </w:r>
    </w:p>
    <w:p>
      <w:pPr>
        <w:wordWrap w:val="0"/>
        <w:spacing w:after="120" w:afterLines="50"/>
        <w:ind w:firstLine="220" w:firstLineChars="61"/>
        <w:jc w:val="right"/>
        <w:rPr>
          <w:rFonts w:hint="eastAsia" w:ascii="Times New Roman" w:hAnsi="Times New Roman" w:eastAsia="黑体" w:cs="Times New Roman"/>
          <w:b/>
          <w:bCs/>
          <w:sz w:val="36"/>
          <w:szCs w:val="36"/>
          <w:lang w:eastAsia="zh-CN"/>
        </w:rPr>
      </w:pPr>
      <w:r>
        <w:rPr>
          <w:rFonts w:hint="eastAsia" w:ascii="Times New Roman" w:hAnsi="Times New Roman" w:eastAsia="黑体" w:cs="Times New Roman"/>
          <w:b/>
          <w:bCs/>
          <w:sz w:val="36"/>
          <w:szCs w:val="36"/>
        </w:rPr>
        <w:t>P                                DBJ 46-</w:t>
      </w:r>
      <w:r>
        <w:rPr>
          <w:rFonts w:hint="eastAsia" w:ascii="Times New Roman" w:hAnsi="Times New Roman" w:eastAsia="黑体" w:cs="Times New Roman"/>
          <w:b/>
          <w:bCs/>
          <w:sz w:val="36"/>
          <w:szCs w:val="36"/>
          <w:lang w:val="en-US" w:eastAsia="zh-CN"/>
        </w:rPr>
        <w:t>067</w:t>
      </w:r>
      <w:r>
        <w:rPr>
          <w:rFonts w:hint="eastAsia" w:ascii="Times New Roman" w:hAnsi="Times New Roman" w:eastAsia="黑体" w:cs="Times New Roman"/>
          <w:b/>
          <w:bCs/>
          <w:sz w:val="36"/>
          <w:szCs w:val="36"/>
        </w:rPr>
        <w:t>-202</w:t>
      </w:r>
      <w:r>
        <w:rPr>
          <w:rFonts w:hint="eastAsia" w:ascii="Times New Roman" w:hAnsi="Times New Roman" w:eastAsia="黑体" w:cs="Times New Roman"/>
          <w:b/>
          <w:bCs/>
          <w:sz w:val="36"/>
          <w:szCs w:val="36"/>
          <w:lang w:val="en-US" w:eastAsia="zh-CN"/>
        </w:rPr>
        <w:t>4</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292" w:type="dxa"/>
            <w:tcBorders>
              <w:top w:val="single" w:color="auto" w:sz="24" w:space="0"/>
              <w:left w:val="nil"/>
            </w:tcBorders>
          </w:tcPr>
          <w:p>
            <w:pPr>
              <w:wordWrap w:val="0"/>
              <w:jc w:val="right"/>
              <w:rPr>
                <w:rFonts w:ascii="Times New Roman" w:hAnsi="Times New Roman" w:eastAsia="黑体" w:cs="Times New Roman"/>
                <w:sz w:val="32"/>
                <w:szCs w:val="32"/>
              </w:rPr>
            </w:pPr>
          </w:p>
        </w:tc>
      </w:tr>
    </w:tbl>
    <w:p>
      <w:pPr>
        <w:wordWrap w:val="0"/>
        <w:ind w:firstLine="1280" w:firstLineChars="400"/>
        <w:jc w:val="right"/>
        <w:rPr>
          <w:rFonts w:ascii="Times New Roman" w:hAnsi="Times New Roman" w:eastAsia="黑体" w:cs="Times New Roman"/>
          <w:sz w:val="27"/>
          <w:szCs w:val="27"/>
        </w:rPr>
      </w:pPr>
      <w:r>
        <w:rPr>
          <w:rFonts w:hint="eastAsia" w:ascii="Times New Roman" w:hAnsi="Times New Roman" w:eastAsia="黑体" w:cs="Times New Roman"/>
          <w:sz w:val="32"/>
          <w:szCs w:val="32"/>
        </w:rPr>
        <w:t xml:space="preserve"> </w:t>
      </w:r>
      <w:r>
        <w:rPr>
          <w:rFonts w:hint="eastAsia" w:ascii="Times New Roman" w:hAnsi="Times New Roman" w:eastAsia="黑体" w:cs="Times New Roman"/>
          <w:sz w:val="27"/>
          <w:szCs w:val="27"/>
        </w:rPr>
        <w:t xml:space="preserve"> </w:t>
      </w:r>
    </w:p>
    <w:p/>
    <w:p/>
    <w:p/>
    <w:p/>
    <w:p/>
    <w:p/>
    <w:p>
      <w:pPr>
        <w:jc w:val="center"/>
        <w:rPr>
          <w:b/>
          <w:bCs/>
          <w:sz w:val="48"/>
          <w:szCs w:val="48"/>
        </w:rPr>
      </w:pPr>
      <w:r>
        <w:rPr>
          <w:rFonts w:hint="eastAsia"/>
          <w:b/>
          <w:bCs/>
          <w:sz w:val="48"/>
          <w:szCs w:val="48"/>
        </w:rPr>
        <w:t>海南省装配式建筑预制混凝土构件</w:t>
      </w:r>
    </w:p>
    <w:p>
      <w:pPr>
        <w:jc w:val="center"/>
        <w:rPr>
          <w:b/>
          <w:bCs/>
          <w:sz w:val="48"/>
          <w:szCs w:val="48"/>
        </w:rPr>
      </w:pPr>
      <w:r>
        <w:rPr>
          <w:rFonts w:hint="eastAsia"/>
          <w:b/>
          <w:bCs/>
          <w:sz w:val="48"/>
          <w:szCs w:val="48"/>
        </w:rPr>
        <w:t>质量管理标准</w:t>
      </w:r>
    </w:p>
    <w:p>
      <w:pPr>
        <w:spacing w:line="360" w:lineRule="auto"/>
        <w:jc w:val="center"/>
        <w:rPr>
          <w:rFonts w:hint="eastAsia" w:ascii="Times New Roman" w:hAnsi="Times New Roman" w:cs="Times New Roman" w:eastAsiaTheme="minorEastAsia"/>
          <w:b/>
          <w:bCs/>
          <w:sz w:val="32"/>
          <w:szCs w:val="32"/>
          <w:lang w:val="en-US" w:eastAsia="zh-CN"/>
        </w:rPr>
      </w:pPr>
      <w:r>
        <w:rPr>
          <w:rFonts w:ascii="Times New Roman" w:hAnsi="Times New Roman" w:cs="Times New Roman"/>
          <w:b/>
          <w:bCs/>
          <w:sz w:val="32"/>
          <w:szCs w:val="32"/>
        </w:rPr>
        <w:t xml:space="preserve">Quality management standard for precast concrete components of </w:t>
      </w:r>
      <w:r>
        <w:rPr>
          <w:rFonts w:hint="eastAsia" w:ascii="Times New Roman" w:hAnsi="Times New Roman" w:cs="Times New Roman"/>
          <w:b/>
          <w:bCs/>
          <w:sz w:val="32"/>
          <w:szCs w:val="32"/>
        </w:rPr>
        <w:t>p</w:t>
      </w:r>
      <w:r>
        <w:rPr>
          <w:rFonts w:ascii="Times New Roman" w:hAnsi="Times New Roman" w:cs="Times New Roman"/>
          <w:b/>
          <w:bCs/>
          <w:sz w:val="32"/>
          <w:szCs w:val="32"/>
        </w:rPr>
        <w:t>refabricated building in Hainan</w:t>
      </w:r>
      <w:r>
        <w:rPr>
          <w:rFonts w:hint="eastAsia" w:ascii="Times New Roman" w:hAnsi="Times New Roman" w:cs="Times New Roman"/>
          <w:b/>
          <w:bCs/>
          <w:sz w:val="32"/>
          <w:szCs w:val="32"/>
          <w:lang w:val="en-US" w:eastAsia="zh-CN"/>
        </w:rPr>
        <w:t xml:space="preserve"> </w:t>
      </w:r>
      <w:r>
        <w:rPr>
          <w:rFonts w:hint="default" w:ascii="Times New Roman" w:hAnsi="Times New Roman" w:cs="Times New Roman" w:eastAsiaTheme="minorEastAsia"/>
          <w:b/>
          <w:bCs/>
          <w:color w:val="auto"/>
          <w:w w:val="100"/>
          <w:sz w:val="32"/>
          <w:szCs w:val="32"/>
          <w:highlight w:val="none"/>
        </w:rPr>
        <w:t>Province</w:t>
      </w:r>
    </w:p>
    <w:p>
      <w:pPr>
        <w:spacing w:line="360" w:lineRule="auto"/>
        <w:jc w:val="center"/>
        <w:rPr>
          <w:rFonts w:ascii="Times New Roman" w:hAnsi="Times New Roman" w:cs="Times New Roman"/>
          <w:b/>
          <w:bCs/>
          <w:sz w:val="32"/>
          <w:szCs w:val="32"/>
        </w:rPr>
      </w:pPr>
    </w:p>
    <w:p/>
    <w:p/>
    <w:p/>
    <w:p/>
    <w:p/>
    <w:p/>
    <w:p/>
    <w:p/>
    <w:p/>
    <w:p/>
    <w:p/>
    <w:p/>
    <w:p>
      <w:pPr>
        <w:spacing w:after="120" w:afterLines="50"/>
        <w:jc w:val="left"/>
        <w:rPr>
          <w:rFonts w:ascii="Times New Roman" w:hAnsi="Times New Roman"/>
          <w:sz w:val="28"/>
          <w:szCs w:val="36"/>
        </w:rPr>
      </w:pPr>
      <w:r>
        <w:rPr>
          <w:rFonts w:hint="eastAsia" w:ascii="Times New Roman" w:hAnsi="Times New Roman"/>
          <w:sz w:val="28"/>
          <w:szCs w:val="36"/>
        </w:rPr>
        <w:t>202</w:t>
      </w:r>
      <w:r>
        <w:rPr>
          <w:rFonts w:hint="eastAsia" w:ascii="Times New Roman" w:hAnsi="Times New Roman"/>
          <w:sz w:val="28"/>
          <w:szCs w:val="36"/>
          <w:lang w:val="en-US" w:eastAsia="zh-CN"/>
        </w:rPr>
        <w:t>4</w:t>
      </w:r>
      <w:r>
        <w:rPr>
          <w:rFonts w:hint="eastAsia" w:ascii="Times New Roman" w:hAnsi="Times New Roman"/>
          <w:sz w:val="28"/>
          <w:szCs w:val="36"/>
        </w:rPr>
        <w:t>-</w:t>
      </w:r>
      <w:r>
        <w:rPr>
          <w:rFonts w:hint="eastAsia" w:ascii="Times New Roman" w:hAnsi="Times New Roman"/>
          <w:sz w:val="28"/>
          <w:szCs w:val="36"/>
          <w:lang w:val="en-US" w:eastAsia="zh-CN"/>
        </w:rPr>
        <w:t>01</w:t>
      </w:r>
      <w:r>
        <w:rPr>
          <w:rFonts w:hint="eastAsia" w:ascii="Times New Roman" w:hAnsi="Times New Roman"/>
          <w:sz w:val="28"/>
          <w:szCs w:val="36"/>
        </w:rPr>
        <w:t>-</w:t>
      </w:r>
      <w:r>
        <w:rPr>
          <w:rFonts w:hint="eastAsia" w:ascii="Times New Roman" w:hAnsi="Times New Roman"/>
          <w:sz w:val="28"/>
          <w:szCs w:val="36"/>
          <w:lang w:val="en-US" w:eastAsia="zh-CN"/>
        </w:rPr>
        <w:t>24</w:t>
      </w:r>
      <w:r>
        <w:rPr>
          <w:rFonts w:hint="eastAsia" w:ascii="Times New Roman" w:hAnsi="Times New Roman"/>
          <w:sz w:val="28"/>
          <w:szCs w:val="36"/>
        </w:rPr>
        <w:t xml:space="preserve"> 发布                               2024-</w:t>
      </w:r>
      <w:r>
        <w:rPr>
          <w:rFonts w:hint="eastAsia" w:ascii="Times New Roman" w:hAnsi="Times New Roman"/>
          <w:sz w:val="28"/>
          <w:szCs w:val="36"/>
          <w:lang w:val="en-US" w:eastAsia="zh-CN"/>
        </w:rPr>
        <w:t>04</w:t>
      </w:r>
      <w:r>
        <w:rPr>
          <w:rFonts w:hint="eastAsia" w:ascii="Times New Roman" w:hAnsi="Times New Roman"/>
          <w:sz w:val="28"/>
          <w:szCs w:val="36"/>
        </w:rPr>
        <w:t>-</w:t>
      </w:r>
      <w:r>
        <w:rPr>
          <w:rFonts w:hint="eastAsia" w:ascii="Times New Roman" w:hAnsi="Times New Roman"/>
          <w:sz w:val="28"/>
          <w:szCs w:val="36"/>
          <w:lang w:val="en-US" w:eastAsia="zh-CN"/>
        </w:rPr>
        <w:t>01</w:t>
      </w:r>
      <w:r>
        <w:rPr>
          <w:rFonts w:hint="eastAsia" w:ascii="Times New Roman" w:hAnsi="Times New Roman"/>
          <w:sz w:val="28"/>
          <w:szCs w:val="36"/>
        </w:rPr>
        <w:t xml:space="preserve"> 实施</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292" w:type="dxa"/>
            <w:tcBorders>
              <w:top w:val="single" w:color="auto" w:sz="24" w:space="0"/>
              <w:left w:val="nil"/>
            </w:tcBorders>
          </w:tcPr>
          <w:p>
            <w:pPr>
              <w:wordWrap w:val="0"/>
              <w:spacing w:line="240" w:lineRule="exact"/>
              <w:jc w:val="right"/>
              <w:rPr>
                <w:rFonts w:ascii="Times New Roman" w:hAnsi="Times New Roman" w:eastAsia="黑体" w:cs="Times New Roman"/>
                <w:sz w:val="32"/>
                <w:szCs w:val="32"/>
              </w:rPr>
            </w:pPr>
          </w:p>
        </w:tc>
      </w:tr>
    </w:tbl>
    <w:p>
      <w:pPr>
        <w:spacing w:line="120" w:lineRule="exact"/>
        <w:jc w:val="center"/>
        <w:rPr>
          <w:sz w:val="36"/>
          <w:szCs w:val="44"/>
        </w:rPr>
      </w:pPr>
    </w:p>
    <w:p>
      <w:pPr>
        <w:spacing w:line="480" w:lineRule="exact"/>
        <w:jc w:val="center"/>
        <w:rPr>
          <w:rFonts w:ascii="宋体" w:hAnsi="宋体" w:eastAsia="宋体" w:cs="宋体"/>
          <w:sz w:val="32"/>
          <w:szCs w:val="32"/>
        </w:rPr>
      </w:pPr>
      <w:r>
        <w:rPr>
          <w:rFonts w:hint="eastAsia" w:ascii="宋体" w:hAnsi="宋体" w:eastAsia="宋体" w:cs="宋体"/>
          <w:sz w:val="32"/>
          <w:szCs w:val="32"/>
        </w:rPr>
        <w:t>海南省住房和城乡建设厅</w:t>
      </w:r>
    </w:p>
    <w:p>
      <w:pPr>
        <w:spacing w:line="480" w:lineRule="exact"/>
        <w:jc w:val="center"/>
        <w:rPr>
          <w:rFonts w:ascii="宋体" w:hAnsi="宋体" w:eastAsia="宋体" w:cs="宋体"/>
          <w:sz w:val="32"/>
          <w:szCs w:val="32"/>
        </w:rPr>
      </w:pPr>
      <w:r>
        <w:rPr>
          <w:rFonts w:hint="eastAsia" w:ascii="宋体" w:hAnsi="宋体" w:eastAsia="宋体" w:cs="宋体"/>
          <w:sz w:val="32"/>
          <w:szCs w:val="32"/>
        </w:rPr>
        <w:t xml:space="preserve">           海南省工业和信息化厅   联合发布</w:t>
      </w:r>
    </w:p>
    <w:p>
      <w:pPr>
        <w:spacing w:line="480" w:lineRule="exact"/>
        <w:jc w:val="center"/>
        <w:rPr>
          <w:rFonts w:ascii="宋体" w:hAnsi="宋体" w:eastAsia="宋体" w:cs="宋体"/>
          <w:sz w:val="36"/>
          <w:szCs w:val="36"/>
        </w:rPr>
      </w:pPr>
      <w:r>
        <w:rPr>
          <w:rFonts w:hint="eastAsia" w:ascii="宋体" w:hAnsi="宋体" w:eastAsia="宋体" w:cs="宋体"/>
          <w:sz w:val="32"/>
          <w:szCs w:val="32"/>
        </w:rPr>
        <w:t xml:space="preserve"> </w:t>
      </w:r>
    </w:p>
    <w:p>
      <w:r>
        <w:br w:type="page"/>
      </w:r>
    </w:p>
    <w:p/>
    <w:p/>
    <w:p/>
    <w:p/>
    <w:p/>
    <w:p>
      <w:pPr>
        <w:jc w:val="center"/>
        <w:rPr>
          <w:rFonts w:ascii="黑体" w:hAnsi="黑体" w:eastAsia="黑体" w:cs="黑体"/>
          <w:spacing w:val="20"/>
          <w:sz w:val="32"/>
          <w:szCs w:val="32"/>
        </w:rPr>
      </w:pPr>
      <w:r>
        <w:rPr>
          <w:rFonts w:hint="eastAsia" w:ascii="黑体" w:hAnsi="黑体" w:eastAsia="黑体" w:cs="黑体"/>
          <w:spacing w:val="20"/>
          <w:sz w:val="32"/>
          <w:szCs w:val="32"/>
        </w:rPr>
        <w:t>海南省工程建设地方标准</w:t>
      </w: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spacing w:line="360" w:lineRule="auto"/>
        <w:jc w:val="center"/>
        <w:rPr>
          <w:b/>
          <w:bCs/>
          <w:sz w:val="40"/>
          <w:szCs w:val="40"/>
        </w:rPr>
      </w:pPr>
      <w:r>
        <w:rPr>
          <w:rFonts w:hint="eastAsia"/>
          <w:b/>
          <w:bCs/>
          <w:sz w:val="40"/>
          <w:szCs w:val="40"/>
        </w:rPr>
        <w:t>海南省装配式建筑预制混凝土构件</w:t>
      </w:r>
    </w:p>
    <w:p>
      <w:pPr>
        <w:spacing w:line="360" w:lineRule="auto"/>
        <w:jc w:val="center"/>
        <w:rPr>
          <w:b/>
          <w:bCs/>
          <w:sz w:val="40"/>
          <w:szCs w:val="40"/>
        </w:rPr>
      </w:pPr>
      <w:r>
        <w:rPr>
          <w:rFonts w:hint="eastAsia"/>
          <w:b/>
          <w:bCs/>
          <w:sz w:val="40"/>
          <w:szCs w:val="40"/>
        </w:rPr>
        <w:t>质量管理标准</w:t>
      </w:r>
    </w:p>
    <w:p>
      <w:pPr>
        <w:spacing w:before="360" w:beforeLines="150"/>
        <w:jc w:val="center"/>
        <w:rPr>
          <w:rFonts w:ascii="Times New Roman" w:hAnsi="Times New Roman" w:cs="Times New Roman"/>
          <w:b/>
          <w:bCs/>
          <w:sz w:val="28"/>
          <w:szCs w:val="28"/>
        </w:rPr>
      </w:pPr>
      <w:r>
        <w:rPr>
          <w:rFonts w:ascii="Times New Roman" w:hAnsi="Times New Roman" w:cs="Times New Roman"/>
          <w:b/>
          <w:bCs/>
          <w:sz w:val="28"/>
          <w:szCs w:val="28"/>
        </w:rPr>
        <w:t xml:space="preserve">Quality management standard for precast concrete components of </w:t>
      </w:r>
    </w:p>
    <w:p>
      <w:pPr>
        <w:spacing w:before="360" w:beforeLines="150"/>
        <w:jc w:val="center"/>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b/>
          <w:bCs/>
          <w:sz w:val="28"/>
          <w:szCs w:val="28"/>
        </w:rPr>
        <w:t>p</w:t>
      </w:r>
      <w:r>
        <w:rPr>
          <w:rFonts w:ascii="Times New Roman" w:hAnsi="Times New Roman" w:cs="Times New Roman"/>
          <w:b/>
          <w:bCs/>
          <w:sz w:val="28"/>
          <w:szCs w:val="28"/>
        </w:rPr>
        <w:t>refabricated building in Hainan</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eastAsiaTheme="minorEastAsia"/>
          <w:b/>
          <w:bCs/>
          <w:w w:val="100"/>
          <w:sz w:val="32"/>
          <w:szCs w:val="32"/>
        </w:rPr>
        <w:t>Province</w:t>
      </w: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jc w:val="center"/>
        <w:rPr>
          <w:rFonts w:ascii="Times New Roman" w:hAnsi="Times New Roman" w:eastAsia="黑体" w:cs="Times New Roman"/>
          <w:b/>
          <w:bCs/>
          <w:spacing w:val="20"/>
          <w:sz w:val="28"/>
          <w:szCs w:val="28"/>
        </w:rPr>
      </w:pPr>
      <w:r>
        <w:rPr>
          <w:rFonts w:ascii="Times New Roman" w:hAnsi="Times New Roman" w:eastAsia="黑体" w:cs="Times New Roman"/>
          <w:b/>
          <w:bCs/>
          <w:spacing w:val="20"/>
          <w:sz w:val="28"/>
          <w:szCs w:val="28"/>
        </w:rPr>
        <w:t xml:space="preserve">DBJ </w:t>
      </w:r>
      <w:r>
        <w:rPr>
          <w:rFonts w:hint="eastAsia" w:ascii="Times New Roman" w:hAnsi="Times New Roman" w:eastAsia="黑体" w:cs="Times New Roman"/>
          <w:b/>
          <w:bCs/>
          <w:spacing w:val="20"/>
          <w:sz w:val="28"/>
          <w:szCs w:val="28"/>
        </w:rPr>
        <w:t>46</w:t>
      </w:r>
      <w:r>
        <w:rPr>
          <w:rFonts w:ascii="Times New Roman" w:hAnsi="Times New Roman" w:eastAsia="黑体" w:cs="Times New Roman"/>
          <w:b/>
          <w:bCs/>
          <w:spacing w:val="20"/>
          <w:sz w:val="28"/>
          <w:szCs w:val="28"/>
        </w:rPr>
        <w:t>-</w:t>
      </w:r>
      <w:r>
        <w:rPr>
          <w:rFonts w:hint="eastAsia" w:ascii="Times New Roman" w:hAnsi="Times New Roman" w:eastAsia="黑体" w:cs="Times New Roman"/>
          <w:b/>
          <w:bCs/>
          <w:spacing w:val="20"/>
          <w:sz w:val="28"/>
          <w:szCs w:val="28"/>
          <w:lang w:val="en-US" w:eastAsia="zh-CN"/>
        </w:rPr>
        <w:t>067</w:t>
      </w:r>
      <w:r>
        <w:rPr>
          <w:rFonts w:ascii="Times New Roman" w:hAnsi="Times New Roman" w:eastAsia="黑体" w:cs="Times New Roman"/>
          <w:b/>
          <w:bCs/>
          <w:spacing w:val="20"/>
          <w:sz w:val="28"/>
          <w:szCs w:val="28"/>
        </w:rPr>
        <w:t>-202</w:t>
      </w:r>
      <w:r>
        <w:rPr>
          <w:rFonts w:hint="eastAsia" w:ascii="Times New Roman" w:hAnsi="Times New Roman" w:eastAsia="黑体" w:cs="Times New Roman"/>
          <w:b/>
          <w:bCs/>
          <w:spacing w:val="20"/>
          <w:sz w:val="28"/>
          <w:szCs w:val="28"/>
        </w:rPr>
        <w:t>4</w:t>
      </w: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spacing w:line="360" w:lineRule="auto"/>
        <w:ind w:left="1259" w:firstLine="960" w:firstLineChars="300"/>
        <w:jc w:val="left"/>
        <w:rPr>
          <w:rFonts w:ascii="Times New Roman" w:hAnsi="Times New Roman" w:eastAsia="黑体" w:cs="Times New Roman"/>
          <w:spacing w:val="20"/>
          <w:sz w:val="28"/>
          <w:szCs w:val="28"/>
        </w:rPr>
      </w:pPr>
      <w:r>
        <w:rPr>
          <w:rFonts w:hint="eastAsia" w:ascii="Times New Roman" w:hAnsi="Times New Roman" w:eastAsia="黑体" w:cs="Times New Roman"/>
          <w:spacing w:val="20"/>
          <w:sz w:val="28"/>
          <w:szCs w:val="28"/>
        </w:rPr>
        <w:t>主编部门：海南省住房和城乡建设厅</w:t>
      </w:r>
    </w:p>
    <w:p>
      <w:pPr>
        <w:spacing w:line="360" w:lineRule="auto"/>
        <w:ind w:left="1259" w:firstLine="960" w:firstLineChars="300"/>
        <w:jc w:val="left"/>
        <w:rPr>
          <w:rFonts w:ascii="Times New Roman" w:hAnsi="Times New Roman" w:eastAsia="黑体" w:cs="Times New Roman"/>
          <w:spacing w:val="20"/>
          <w:sz w:val="28"/>
          <w:szCs w:val="28"/>
        </w:rPr>
      </w:pPr>
      <w:r>
        <w:rPr>
          <w:rFonts w:hint="eastAsia" w:ascii="Times New Roman" w:hAnsi="Times New Roman" w:eastAsia="黑体" w:cs="Times New Roman"/>
          <w:spacing w:val="20"/>
          <w:sz w:val="28"/>
          <w:szCs w:val="28"/>
        </w:rPr>
        <w:t>批准部门：海南省住房和城乡建设厅</w:t>
      </w:r>
    </w:p>
    <w:p>
      <w:pPr>
        <w:spacing w:line="360" w:lineRule="auto"/>
        <w:ind w:left="1259" w:firstLine="960" w:firstLineChars="300"/>
        <w:jc w:val="left"/>
        <w:rPr>
          <w:rFonts w:ascii="Times New Roman" w:hAnsi="Times New Roman" w:eastAsia="黑体" w:cs="Times New Roman"/>
          <w:spacing w:val="20"/>
          <w:sz w:val="28"/>
          <w:szCs w:val="28"/>
        </w:rPr>
      </w:pPr>
      <w:r>
        <w:rPr>
          <w:rFonts w:hint="eastAsia" w:ascii="Times New Roman" w:hAnsi="Times New Roman" w:eastAsia="黑体" w:cs="Times New Roman"/>
          <w:spacing w:val="20"/>
          <w:sz w:val="28"/>
          <w:szCs w:val="28"/>
        </w:rPr>
        <w:t>实施时间：2024年</w:t>
      </w:r>
      <w:r>
        <w:rPr>
          <w:rFonts w:hint="eastAsia" w:ascii="Times New Roman" w:hAnsi="Times New Roman" w:eastAsia="黑体" w:cs="Times New Roman"/>
          <w:spacing w:val="20"/>
          <w:sz w:val="28"/>
          <w:szCs w:val="28"/>
          <w:lang w:val="en-US" w:eastAsia="zh-CN"/>
        </w:rPr>
        <w:t>4</w:t>
      </w:r>
      <w:r>
        <w:rPr>
          <w:rFonts w:hint="eastAsia" w:ascii="Times New Roman" w:hAnsi="Times New Roman" w:eastAsia="黑体" w:cs="Times New Roman"/>
          <w:spacing w:val="20"/>
          <w:sz w:val="28"/>
          <w:szCs w:val="28"/>
        </w:rPr>
        <w:t>月</w:t>
      </w:r>
      <w:r>
        <w:rPr>
          <w:rFonts w:hint="eastAsia" w:ascii="Times New Roman" w:hAnsi="Times New Roman" w:eastAsia="黑体" w:cs="Times New Roman"/>
          <w:spacing w:val="20"/>
          <w:sz w:val="28"/>
          <w:szCs w:val="28"/>
          <w:lang w:val="en-US" w:eastAsia="zh-CN"/>
        </w:rPr>
        <w:t>1</w:t>
      </w:r>
      <w:r>
        <w:rPr>
          <w:rFonts w:hint="eastAsia" w:ascii="Times New Roman" w:hAnsi="Times New Roman" w:eastAsia="黑体" w:cs="Times New Roman"/>
          <w:spacing w:val="20"/>
          <w:sz w:val="28"/>
          <w:szCs w:val="28"/>
        </w:rPr>
        <w:t>日</w:t>
      </w: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Pr>
        <w:jc w:val="center"/>
        <w:rPr>
          <w:rFonts w:ascii="Times New Roman" w:hAnsi="Times New Roman" w:eastAsia="黑体" w:cs="Times New Roman"/>
          <w:spacing w:val="20"/>
          <w:sz w:val="28"/>
          <w:szCs w:val="28"/>
        </w:rPr>
      </w:pPr>
    </w:p>
    <w:p/>
    <w:p>
      <w:pPr>
        <w:sectPr>
          <w:footerReference r:id="rId3" w:type="default"/>
          <w:pgSz w:w="11910" w:h="16840"/>
          <w:pgMar w:top="1417" w:right="1417" w:bottom="1417" w:left="1417" w:header="0" w:footer="1197" w:gutter="0"/>
          <w:pgNumType w:start="1"/>
          <w:cols w:space="720" w:num="1"/>
        </w:sectPr>
      </w:pPr>
    </w:p>
    <w:p>
      <w:pPr>
        <w:keepNext/>
        <w:keepLines/>
        <w:spacing w:line="360" w:lineRule="auto"/>
        <w:jc w:val="center"/>
        <w:rPr>
          <w:b/>
          <w:bCs/>
          <w:sz w:val="28"/>
          <w:szCs w:val="28"/>
        </w:rPr>
      </w:pPr>
      <w:r>
        <w:rPr>
          <w:b/>
          <w:bCs/>
          <w:sz w:val="28"/>
          <w:szCs w:val="28"/>
        </w:rPr>
        <w:t>前</w:t>
      </w:r>
      <w:r>
        <w:rPr>
          <w:rFonts w:hint="eastAsia"/>
          <w:b/>
          <w:bCs/>
          <w:sz w:val="28"/>
          <w:szCs w:val="28"/>
        </w:rPr>
        <w:t xml:space="preserve">    </w:t>
      </w:r>
      <w:r>
        <w:rPr>
          <w:b/>
          <w:bCs/>
          <w:sz w:val="28"/>
          <w:szCs w:val="28"/>
        </w:rPr>
        <w:t>言</w:t>
      </w:r>
    </w:p>
    <w:p>
      <w:pPr>
        <w:pStyle w:val="22"/>
        <w:ind w:firstLine="480"/>
      </w:pPr>
      <w:r>
        <w:rPr>
          <w:rFonts w:hint="eastAsia"/>
        </w:rPr>
        <w:t>根据《关于进一步稳步推进装配式建筑有关事项的通知》（琼建科函[2021]155号）、《关于印发</w:t>
      </w:r>
      <w:r>
        <w:rPr>
          <w:rFonts w:ascii="Arial" w:hAnsi="Arial" w:cs="Arial"/>
          <w:color w:val="333333"/>
          <w:szCs w:val="24"/>
          <w:shd w:val="clear" w:color="auto" w:fill="FFFFFF"/>
        </w:rPr>
        <w:t>〈</w:t>
      </w:r>
      <w:r>
        <w:rPr>
          <w:rFonts w:hint="eastAsia"/>
        </w:rPr>
        <w:t>海南省装配式建筑部品部件质量标准体系</w:t>
      </w:r>
      <w:r>
        <w:rPr>
          <w:rFonts w:hint="eastAsia" w:ascii="Arial" w:hAnsi="Arial" w:cs="Arial"/>
          <w:color w:val="333333"/>
          <w:szCs w:val="24"/>
          <w:shd w:val="clear" w:color="auto" w:fill="FFFFFF"/>
        </w:rPr>
        <w:t>〉的通知</w:t>
      </w:r>
      <w:r>
        <w:rPr>
          <w:rFonts w:hint="eastAsia"/>
          <w:szCs w:val="24"/>
        </w:rPr>
        <w:t>》（琼建定[2023]56号） 及《海南省住房和城乡建设厅关于发布&lt;2023年度海南省工程建设地方标准制订、修订项目立项目录&gt;（第二期）的通知》的有关要求，</w:t>
      </w:r>
      <w:r>
        <w:rPr>
          <w:rFonts w:hint="eastAsia"/>
        </w:rPr>
        <w:t>编制组经广泛调查研究，认真总结实践经验，在参考国内外有关标准，并广泛征求意见的基础上，编制了本标准。</w:t>
      </w:r>
    </w:p>
    <w:p>
      <w:pPr>
        <w:pStyle w:val="22"/>
        <w:ind w:firstLine="480"/>
      </w:pPr>
      <w:r>
        <w:rPr>
          <w:rFonts w:hint="eastAsia"/>
        </w:rPr>
        <w:t>本标准的主要技术内容是：1.总则；2.术语；3.基本规定；4.质量管理体系；5.生产质量管理；6.运输质量管理；7.安装质量管理；8.质量追溯性管理。</w:t>
      </w:r>
    </w:p>
    <w:p>
      <w:pPr>
        <w:pStyle w:val="22"/>
        <w:ind w:firstLine="480"/>
      </w:pPr>
      <w:r>
        <w:rPr>
          <w:rFonts w:hint="eastAsia"/>
        </w:rPr>
        <w:t>本标准按照《工程建设标准编写规定》的要求起草，由海南省住房和城乡建设厅、海南省工业和信息化厅联合发布。本标准由海南省住房和城乡建设厅负责管理，由海南省建设标准定额站负责日常管理，由主编单位负责具体技术内容的解释。本标准在执行过程中如有意见或建议，请随时将有关意见和建议反馈至海南省建设标准定额站（地址：海南省海口市美兰区白龙南路77号，邮编：570203，电话：0898-65359219，电子邮箱：</w:t>
      </w:r>
      <w:r>
        <w:rPr>
          <w:rFonts w:hint="eastAsia"/>
          <w:color w:val="auto"/>
          <w:highlight w:val="none"/>
        </w:rPr>
        <w:t>bzk_dez@hainan.gov.com</w:t>
      </w:r>
      <w:r>
        <w:rPr>
          <w:rFonts w:hint="eastAsia"/>
        </w:rPr>
        <w:t>），以供今后修订时参考。</w:t>
      </w:r>
    </w:p>
    <w:p>
      <w:pPr>
        <w:pStyle w:val="22"/>
        <w:spacing w:line="240" w:lineRule="auto"/>
        <w:ind w:firstLine="480"/>
      </w:pPr>
      <w:r>
        <w:rPr>
          <w:rFonts w:hint="eastAsia"/>
        </w:rPr>
        <w:t>本标准主编单位、参编单位、主要起草人和主要审查人：</w:t>
      </w:r>
    </w:p>
    <w:tbl>
      <w:tblPr>
        <w:tblStyle w:val="14"/>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1"/>
        <w:gridCol w:w="6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1" w:type="dxa"/>
            <w:tcMar>
              <w:top w:w="0" w:type="dxa"/>
              <w:left w:w="108" w:type="dxa"/>
              <w:bottom w:w="0" w:type="dxa"/>
              <w:right w:w="0" w:type="dxa"/>
            </w:tcMar>
            <w:vAlign w:val="center"/>
          </w:tcPr>
          <w:p>
            <w:pPr>
              <w:pStyle w:val="22"/>
              <w:widowControl/>
              <w:spacing w:line="440" w:lineRule="exact"/>
              <w:ind w:firstLine="0" w:firstLineChars="0"/>
              <w:jc w:val="right"/>
            </w:pPr>
            <w:r>
              <w:rPr>
                <w:rFonts w:hint="eastAsia"/>
                <w:spacing w:val="80"/>
                <w:kern w:val="0"/>
                <w:fitText w:val="1440" w:id="1947605063"/>
              </w:rPr>
              <w:t>主编单</w:t>
            </w:r>
            <w:r>
              <w:rPr>
                <w:rFonts w:hint="eastAsia"/>
                <w:spacing w:val="0"/>
                <w:kern w:val="0"/>
                <w:fitText w:val="1440" w:id="1947605063"/>
              </w:rPr>
              <w:t>位</w:t>
            </w:r>
            <w:r>
              <w:rPr>
                <w:rFonts w:hint="eastAsia"/>
              </w:rPr>
              <w:t>：</w:t>
            </w:r>
          </w:p>
        </w:tc>
        <w:tc>
          <w:tcPr>
            <w:tcW w:w="6785" w:type="dxa"/>
            <w:tcMar>
              <w:top w:w="0" w:type="dxa"/>
              <w:left w:w="0" w:type="dxa"/>
              <w:bottom w:w="0" w:type="dxa"/>
              <w:right w:w="0" w:type="dxa"/>
            </w:tcMar>
            <w:vAlign w:val="center"/>
          </w:tcPr>
          <w:p>
            <w:pPr>
              <w:pStyle w:val="22"/>
              <w:widowControl/>
              <w:spacing w:line="440" w:lineRule="exact"/>
              <w:ind w:firstLine="0" w:firstLineChars="0"/>
              <w:jc w:val="both"/>
            </w:pPr>
            <w:r>
              <w:rPr>
                <w:rFonts w:hint="eastAsia"/>
              </w:rPr>
              <w:t>中建科技集团有限公司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1" w:type="dxa"/>
            <w:tcMar>
              <w:top w:w="0" w:type="dxa"/>
              <w:left w:w="108" w:type="dxa"/>
              <w:bottom w:w="0" w:type="dxa"/>
              <w:right w:w="0" w:type="dxa"/>
            </w:tcMar>
            <w:vAlign w:val="center"/>
          </w:tcPr>
          <w:p>
            <w:pPr>
              <w:pStyle w:val="22"/>
              <w:widowControl/>
              <w:spacing w:line="440" w:lineRule="exact"/>
              <w:ind w:firstLine="0" w:firstLineChars="0"/>
              <w:jc w:val="right"/>
            </w:pPr>
            <w:r>
              <w:rPr>
                <w:rFonts w:hint="eastAsia"/>
                <w:spacing w:val="80"/>
                <w:kern w:val="0"/>
                <w:fitText w:val="1440" w:id="1947605063"/>
              </w:rPr>
              <w:t>参编单</w:t>
            </w:r>
            <w:r>
              <w:rPr>
                <w:rFonts w:hint="eastAsia"/>
                <w:spacing w:val="0"/>
                <w:kern w:val="0"/>
                <w:fitText w:val="1440" w:id="1947605063"/>
              </w:rPr>
              <w:t>位</w:t>
            </w:r>
            <w:r>
              <w:rPr>
                <w:rFonts w:hint="eastAsia"/>
              </w:rPr>
              <w:t>：</w:t>
            </w:r>
          </w:p>
        </w:tc>
        <w:tc>
          <w:tcPr>
            <w:tcW w:w="6785" w:type="dxa"/>
            <w:tcMar>
              <w:top w:w="0" w:type="dxa"/>
              <w:left w:w="0" w:type="dxa"/>
              <w:bottom w:w="0" w:type="dxa"/>
              <w:right w:w="0" w:type="dxa"/>
            </w:tcMar>
            <w:vAlign w:val="center"/>
          </w:tcPr>
          <w:p>
            <w:pPr>
              <w:pStyle w:val="22"/>
              <w:widowControl/>
              <w:spacing w:line="440" w:lineRule="exact"/>
              <w:ind w:firstLine="0" w:firstLineChars="0"/>
              <w:jc w:val="both"/>
            </w:pPr>
            <w:r>
              <w:rPr>
                <w:rFonts w:hint="eastAsia"/>
              </w:rPr>
              <w:t>海南省海建科技股份有限公司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1" w:type="dxa"/>
            <w:tcMar>
              <w:top w:w="0" w:type="dxa"/>
              <w:left w:w="108" w:type="dxa"/>
              <w:bottom w:w="0" w:type="dxa"/>
              <w:right w:w="0" w:type="dxa"/>
            </w:tcMar>
            <w:vAlign w:val="center"/>
          </w:tcPr>
          <w:p>
            <w:pPr>
              <w:pStyle w:val="22"/>
              <w:widowControl/>
              <w:spacing w:line="440" w:lineRule="exact"/>
              <w:ind w:firstLine="480"/>
              <w:jc w:val="both"/>
            </w:pPr>
          </w:p>
        </w:tc>
        <w:tc>
          <w:tcPr>
            <w:tcW w:w="6785" w:type="dxa"/>
            <w:tcMar>
              <w:top w:w="0" w:type="dxa"/>
              <w:left w:w="0" w:type="dxa"/>
              <w:bottom w:w="0" w:type="dxa"/>
              <w:right w:w="0" w:type="dxa"/>
            </w:tcMar>
            <w:vAlign w:val="center"/>
          </w:tcPr>
          <w:p>
            <w:pPr>
              <w:pStyle w:val="22"/>
              <w:widowControl/>
              <w:spacing w:line="440" w:lineRule="exact"/>
              <w:ind w:firstLine="0" w:firstLineChars="0"/>
              <w:jc w:val="both"/>
            </w:pPr>
            <w:r>
              <w:rPr>
                <w:rFonts w:hint="eastAsia"/>
              </w:rPr>
              <w:t>海口市建设工程质量安全监督站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1" w:type="dxa"/>
            <w:tcMar>
              <w:top w:w="0" w:type="dxa"/>
              <w:left w:w="108" w:type="dxa"/>
              <w:bottom w:w="0" w:type="dxa"/>
              <w:right w:w="0" w:type="dxa"/>
            </w:tcMar>
            <w:vAlign w:val="center"/>
          </w:tcPr>
          <w:p>
            <w:pPr>
              <w:pStyle w:val="22"/>
              <w:widowControl/>
              <w:spacing w:line="440" w:lineRule="exact"/>
              <w:ind w:firstLine="480"/>
              <w:jc w:val="both"/>
            </w:pPr>
          </w:p>
        </w:tc>
        <w:tc>
          <w:tcPr>
            <w:tcW w:w="6785" w:type="dxa"/>
            <w:tcMar>
              <w:top w:w="0" w:type="dxa"/>
              <w:left w:w="0" w:type="dxa"/>
              <w:bottom w:w="0" w:type="dxa"/>
              <w:right w:w="0" w:type="dxa"/>
            </w:tcMar>
            <w:vAlign w:val="center"/>
          </w:tcPr>
          <w:p>
            <w:pPr>
              <w:pStyle w:val="22"/>
              <w:widowControl/>
              <w:spacing w:line="440" w:lineRule="exact"/>
              <w:ind w:firstLine="0" w:firstLineChars="0"/>
              <w:jc w:val="both"/>
            </w:pPr>
            <w:r>
              <w:rPr>
                <w:rFonts w:hint="eastAsia"/>
              </w:rPr>
              <w:t>热带建筑科学研究院（海南）有限公司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1" w:type="dxa"/>
            <w:tcMar>
              <w:top w:w="0" w:type="dxa"/>
              <w:left w:w="108" w:type="dxa"/>
              <w:bottom w:w="0" w:type="dxa"/>
              <w:right w:w="0" w:type="dxa"/>
            </w:tcMar>
            <w:vAlign w:val="center"/>
          </w:tcPr>
          <w:p>
            <w:pPr>
              <w:pStyle w:val="22"/>
              <w:widowControl/>
              <w:spacing w:line="440" w:lineRule="exact"/>
              <w:ind w:firstLine="480"/>
              <w:jc w:val="both"/>
            </w:pPr>
          </w:p>
        </w:tc>
        <w:tc>
          <w:tcPr>
            <w:tcW w:w="6785" w:type="dxa"/>
            <w:tcMar>
              <w:top w:w="0" w:type="dxa"/>
              <w:left w:w="0" w:type="dxa"/>
              <w:bottom w:w="0" w:type="dxa"/>
              <w:right w:w="0" w:type="dxa"/>
            </w:tcMar>
            <w:vAlign w:val="center"/>
          </w:tcPr>
          <w:p>
            <w:pPr>
              <w:pStyle w:val="22"/>
              <w:widowControl/>
              <w:spacing w:line="440" w:lineRule="exact"/>
              <w:ind w:firstLine="0" w:firstLineChars="0"/>
              <w:jc w:val="both"/>
            </w:pPr>
            <w:r>
              <w:rPr>
                <w:rFonts w:hint="eastAsia"/>
              </w:rPr>
              <w:t>海南省建筑产业化股份有限公司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1" w:type="dxa"/>
            <w:tcMar>
              <w:top w:w="0" w:type="dxa"/>
              <w:left w:w="108" w:type="dxa"/>
              <w:bottom w:w="0" w:type="dxa"/>
              <w:right w:w="0" w:type="dxa"/>
            </w:tcMar>
            <w:vAlign w:val="center"/>
          </w:tcPr>
          <w:p>
            <w:pPr>
              <w:pStyle w:val="22"/>
              <w:widowControl/>
              <w:spacing w:line="440" w:lineRule="exact"/>
              <w:ind w:firstLine="480"/>
              <w:jc w:val="both"/>
            </w:pPr>
          </w:p>
        </w:tc>
        <w:tc>
          <w:tcPr>
            <w:tcW w:w="6785" w:type="dxa"/>
            <w:tcMar>
              <w:top w:w="0" w:type="dxa"/>
              <w:left w:w="0" w:type="dxa"/>
              <w:bottom w:w="0" w:type="dxa"/>
              <w:right w:w="0" w:type="dxa"/>
            </w:tcMar>
            <w:vAlign w:val="center"/>
          </w:tcPr>
          <w:p>
            <w:pPr>
              <w:pStyle w:val="22"/>
              <w:widowControl/>
              <w:spacing w:line="440" w:lineRule="exact"/>
              <w:ind w:firstLine="0" w:firstLineChars="0"/>
              <w:jc w:val="both"/>
            </w:pPr>
            <w:r>
              <w:rPr>
                <w:rFonts w:hint="eastAsia"/>
              </w:rPr>
              <w:t>深圳深汕特别合作区中建科技有限公司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1" w:type="dxa"/>
            <w:tcMar>
              <w:top w:w="0" w:type="dxa"/>
              <w:left w:w="108" w:type="dxa"/>
              <w:bottom w:w="0" w:type="dxa"/>
              <w:right w:w="0" w:type="dxa"/>
            </w:tcMar>
            <w:vAlign w:val="center"/>
          </w:tcPr>
          <w:p>
            <w:pPr>
              <w:pStyle w:val="22"/>
              <w:widowControl/>
              <w:spacing w:line="440" w:lineRule="exact"/>
              <w:ind w:firstLine="480"/>
              <w:jc w:val="both"/>
            </w:pPr>
          </w:p>
        </w:tc>
        <w:tc>
          <w:tcPr>
            <w:tcW w:w="6785" w:type="dxa"/>
            <w:tcMar>
              <w:top w:w="0" w:type="dxa"/>
              <w:left w:w="0" w:type="dxa"/>
              <w:bottom w:w="0" w:type="dxa"/>
              <w:right w:w="0" w:type="dxa"/>
            </w:tcMar>
            <w:vAlign w:val="center"/>
          </w:tcPr>
          <w:p>
            <w:pPr>
              <w:pStyle w:val="22"/>
              <w:widowControl/>
              <w:spacing w:line="440" w:lineRule="exact"/>
              <w:ind w:firstLine="0" w:firstLineChars="0"/>
              <w:jc w:val="both"/>
            </w:pPr>
            <w:r>
              <w:rPr>
                <w:rFonts w:hint="eastAsia"/>
              </w:rPr>
              <w:t>中铁建设建筑发展（海南）有限公司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1" w:type="dxa"/>
            <w:tcMar>
              <w:top w:w="0" w:type="dxa"/>
              <w:left w:w="108" w:type="dxa"/>
              <w:bottom w:w="0" w:type="dxa"/>
              <w:right w:w="0" w:type="dxa"/>
            </w:tcMar>
          </w:tcPr>
          <w:p>
            <w:pPr>
              <w:pStyle w:val="22"/>
              <w:widowControl/>
              <w:spacing w:line="440" w:lineRule="exact"/>
              <w:ind w:firstLine="0" w:firstLineChars="0"/>
              <w:jc w:val="right"/>
            </w:pPr>
            <w:r>
              <w:rPr>
                <w:rFonts w:hint="eastAsia"/>
              </w:rPr>
              <w:t>主要起草人员：</w:t>
            </w:r>
          </w:p>
        </w:tc>
        <w:tc>
          <w:tcPr>
            <w:tcW w:w="6785" w:type="dxa"/>
            <w:tcMar>
              <w:top w:w="0" w:type="dxa"/>
              <w:left w:w="0" w:type="dxa"/>
              <w:bottom w:w="0" w:type="dxa"/>
              <w:right w:w="0" w:type="dxa"/>
            </w:tcMar>
            <w:vAlign w:val="center"/>
          </w:tcPr>
          <w:p>
            <w:pPr>
              <w:pStyle w:val="22"/>
              <w:widowControl/>
              <w:spacing w:line="440" w:lineRule="exact"/>
              <w:ind w:firstLine="0" w:firstLineChars="0"/>
              <w:jc w:val="left"/>
            </w:pPr>
            <w:r>
              <w:rPr>
                <w:rFonts w:hint="eastAsia"/>
              </w:rPr>
              <w:t>田春雨  钟志强  廖益林  周士翔  孙</w:t>
            </w:r>
            <w:r>
              <w:t xml:space="preserve">  </w:t>
            </w:r>
            <w:r>
              <w:rPr>
                <w:rFonts w:hint="eastAsia"/>
              </w:rPr>
              <w:t>晖</w:t>
            </w:r>
            <w:r>
              <w:t xml:space="preserve"> </w:t>
            </w:r>
            <w:r>
              <w:rPr>
                <w:rFonts w:hint="eastAsia"/>
              </w:rPr>
              <w:t xml:space="preserve"> 吴坤顺  余文胜  张  蕊  郭翼敏  熊祚森  宋  维  曹志永  王德恒  张晓刚  张  钰  </w:t>
            </w:r>
            <w:r>
              <w:t>陈  潘</w:t>
            </w:r>
            <w:r>
              <w:rPr>
                <w:rFonts w:hint="eastAsia"/>
              </w:rPr>
              <w:t xml:space="preserve">  邢福诚  杨林青  许鹏鹏  陈康健  吴剑波  张  杰  </w:t>
            </w:r>
            <w:r>
              <w:t>乔  壮</w:t>
            </w:r>
            <w:r>
              <w:rPr>
                <w:rFonts w:hint="eastAsia"/>
              </w:rPr>
              <w:t xml:space="preserve">  刘世平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1" w:type="dxa"/>
            <w:tcMar>
              <w:top w:w="0" w:type="dxa"/>
              <w:left w:w="108" w:type="dxa"/>
              <w:bottom w:w="0" w:type="dxa"/>
              <w:right w:w="0" w:type="dxa"/>
            </w:tcMar>
          </w:tcPr>
          <w:p>
            <w:pPr>
              <w:pStyle w:val="22"/>
              <w:widowControl/>
              <w:spacing w:line="440" w:lineRule="exact"/>
              <w:ind w:firstLine="0" w:firstLineChars="0"/>
              <w:jc w:val="right"/>
            </w:pPr>
            <w:r>
              <w:rPr>
                <w:rFonts w:hint="eastAsia"/>
              </w:rPr>
              <w:t>主要审查人员：</w:t>
            </w:r>
          </w:p>
        </w:tc>
        <w:tc>
          <w:tcPr>
            <w:tcW w:w="6785" w:type="dxa"/>
            <w:tcMar>
              <w:top w:w="0" w:type="dxa"/>
              <w:left w:w="0" w:type="dxa"/>
              <w:bottom w:w="0" w:type="dxa"/>
              <w:right w:w="0" w:type="dxa"/>
            </w:tcMar>
            <w:vAlign w:val="center"/>
          </w:tcPr>
          <w:p>
            <w:pPr>
              <w:pStyle w:val="22"/>
              <w:widowControl/>
              <w:spacing w:line="440" w:lineRule="exact"/>
              <w:ind w:firstLine="0" w:firstLineChars="0"/>
              <w:jc w:val="both"/>
            </w:pPr>
            <w:r>
              <w:rPr>
                <w:rFonts w:hint="eastAsia"/>
              </w:rPr>
              <w:t>王新捷  朱敏涛  刘佃文  吴昌鹏  秦培成  甘福居  刘东明</w:t>
            </w:r>
          </w:p>
        </w:tc>
      </w:tr>
    </w:tbl>
    <w:p>
      <w:pPr>
        <w:jc w:val="center"/>
        <w:rPr>
          <w:rFonts w:ascii="宋体" w:hAnsi="宋体" w:eastAsia="宋体"/>
          <w:sz w:val="30"/>
          <w:szCs w:val="30"/>
        </w:rPr>
        <w:sectPr>
          <w:footerReference r:id="rId4" w:type="default"/>
          <w:pgSz w:w="11910" w:h="16840"/>
          <w:pgMar w:top="1417" w:right="1417" w:bottom="1417" w:left="1417" w:header="0" w:footer="1197" w:gutter="0"/>
          <w:pgNumType w:start="1"/>
          <w:cols w:space="720" w:num="1"/>
        </w:sectPr>
      </w:pPr>
    </w:p>
    <w:sdt>
      <w:sdtPr>
        <w:rPr>
          <w:rFonts w:ascii="宋体" w:hAnsi="宋体" w:eastAsia="宋体"/>
          <w:sz w:val="28"/>
          <w:szCs w:val="28"/>
        </w:rPr>
        <w:id w:val="147481817"/>
        <w15:color w:val="DBDBDB"/>
        <w:docPartObj>
          <w:docPartGallery w:val="Table of Contents"/>
          <w:docPartUnique/>
        </w:docPartObj>
      </w:sdtPr>
      <w:sdtEndPr>
        <w:rPr>
          <w:rFonts w:asciiTheme="minorHAnsi" w:hAnsiTheme="minorHAnsi" w:eastAsiaTheme="minorEastAsia"/>
          <w:sz w:val="21"/>
          <w:szCs w:val="24"/>
        </w:rPr>
      </w:sdtEndPr>
      <w:sdtContent>
        <w:p>
          <w:pPr>
            <w:jc w:val="center"/>
            <w:rPr>
              <w:rFonts w:eastAsia="宋体"/>
              <w:sz w:val="28"/>
              <w:szCs w:val="28"/>
            </w:rPr>
          </w:pPr>
          <w:r>
            <w:rPr>
              <w:rFonts w:hint="eastAsia" w:ascii="宋体" w:hAnsi="宋体" w:eastAsia="宋体"/>
              <w:sz w:val="28"/>
              <w:szCs w:val="28"/>
            </w:rPr>
            <w:t>目  次</w:t>
          </w:r>
        </w:p>
        <w:p>
          <w:pPr>
            <w:pStyle w:val="11"/>
            <w:tabs>
              <w:tab w:val="right" w:leader="dot" w:pos="8844"/>
            </w:tabs>
          </w:pPr>
          <w:r>
            <w:fldChar w:fldCharType="begin"/>
          </w:r>
          <w:r>
            <w:instrText xml:space="preserve">TOC \o "1-3" \h \u </w:instrText>
          </w:r>
          <w:r>
            <w:fldChar w:fldCharType="separate"/>
          </w:r>
          <w:r>
            <w:fldChar w:fldCharType="begin"/>
          </w:r>
          <w:r>
            <w:instrText xml:space="preserve"> HYPERLINK \l "_Toc23651" </w:instrText>
          </w:r>
          <w:r>
            <w:fldChar w:fldCharType="separate"/>
          </w:r>
          <w:r>
            <w:rPr>
              <w:rFonts w:hint="eastAsia"/>
            </w:rPr>
            <w:t>1 总则</w:t>
          </w:r>
          <w:r>
            <w:tab/>
          </w:r>
          <w:r>
            <w:fldChar w:fldCharType="begin"/>
          </w:r>
          <w:r>
            <w:instrText xml:space="preserve"> PAGEREF _Toc23651 \h </w:instrText>
          </w:r>
          <w:r>
            <w:fldChar w:fldCharType="separate"/>
          </w:r>
          <w:r>
            <w:t>5</w:t>
          </w:r>
          <w:r>
            <w:fldChar w:fldCharType="end"/>
          </w:r>
          <w:r>
            <w:fldChar w:fldCharType="end"/>
          </w:r>
        </w:p>
        <w:p>
          <w:pPr>
            <w:pStyle w:val="11"/>
            <w:tabs>
              <w:tab w:val="right" w:leader="dot" w:pos="8844"/>
            </w:tabs>
          </w:pPr>
          <w:r>
            <w:fldChar w:fldCharType="begin"/>
          </w:r>
          <w:r>
            <w:instrText xml:space="preserve"> HYPERLINK \l _Toc7915 </w:instrText>
          </w:r>
          <w:r>
            <w:fldChar w:fldCharType="separate"/>
          </w:r>
          <w:r>
            <w:rPr>
              <w:rFonts w:hint="eastAsia"/>
            </w:rPr>
            <w:t>2 术语</w:t>
          </w:r>
          <w:r>
            <w:tab/>
          </w:r>
          <w:r>
            <w:fldChar w:fldCharType="begin"/>
          </w:r>
          <w:r>
            <w:instrText xml:space="preserve"> PAGEREF _Toc7915 \h </w:instrText>
          </w:r>
          <w:r>
            <w:fldChar w:fldCharType="separate"/>
          </w:r>
          <w:r>
            <w:t>6</w:t>
          </w:r>
          <w:r>
            <w:fldChar w:fldCharType="end"/>
          </w:r>
          <w:r>
            <w:fldChar w:fldCharType="end"/>
          </w:r>
        </w:p>
        <w:p>
          <w:pPr>
            <w:pStyle w:val="11"/>
            <w:tabs>
              <w:tab w:val="right" w:leader="dot" w:pos="8844"/>
            </w:tabs>
          </w:pPr>
          <w:r>
            <w:fldChar w:fldCharType="begin"/>
          </w:r>
          <w:r>
            <w:instrText xml:space="preserve"> HYPERLINK \l "_Toc14733" </w:instrText>
          </w:r>
          <w:r>
            <w:fldChar w:fldCharType="separate"/>
          </w:r>
          <w:r>
            <w:rPr>
              <w:rFonts w:hint="eastAsia"/>
            </w:rPr>
            <w:t>3 基本规定</w:t>
          </w:r>
          <w:r>
            <w:tab/>
          </w:r>
          <w:r>
            <w:fldChar w:fldCharType="begin"/>
          </w:r>
          <w:r>
            <w:instrText xml:space="preserve"> PAGEREF _Toc14733 \h </w:instrText>
          </w:r>
          <w:r>
            <w:fldChar w:fldCharType="separate"/>
          </w:r>
          <w:r>
            <w:t>8</w:t>
          </w:r>
          <w:r>
            <w:fldChar w:fldCharType="end"/>
          </w:r>
          <w:r>
            <w:fldChar w:fldCharType="end"/>
          </w:r>
        </w:p>
        <w:p>
          <w:pPr>
            <w:pStyle w:val="11"/>
            <w:tabs>
              <w:tab w:val="right" w:leader="dot" w:pos="8844"/>
            </w:tabs>
          </w:pPr>
          <w:r>
            <w:fldChar w:fldCharType="begin"/>
          </w:r>
          <w:r>
            <w:instrText xml:space="preserve"> HYPERLINK \l "_Toc24363" </w:instrText>
          </w:r>
          <w:r>
            <w:fldChar w:fldCharType="separate"/>
          </w:r>
          <w:r>
            <w:rPr>
              <w:rFonts w:hint="eastAsia"/>
            </w:rPr>
            <w:t>4</w:t>
          </w:r>
          <w:r>
            <w:t xml:space="preserve"> </w:t>
          </w:r>
          <w:r>
            <w:rPr>
              <w:rFonts w:hint="eastAsia"/>
            </w:rPr>
            <w:t>质量管理体系</w:t>
          </w:r>
          <w:r>
            <w:tab/>
          </w:r>
          <w:r>
            <w:fldChar w:fldCharType="begin"/>
          </w:r>
          <w:r>
            <w:instrText xml:space="preserve"> PAGEREF _Toc24363 \h </w:instrText>
          </w:r>
          <w:r>
            <w:fldChar w:fldCharType="separate"/>
          </w:r>
          <w:r>
            <w:t>10</w:t>
          </w:r>
          <w:r>
            <w:fldChar w:fldCharType="end"/>
          </w:r>
          <w:r>
            <w:fldChar w:fldCharType="end"/>
          </w:r>
        </w:p>
        <w:p>
          <w:pPr>
            <w:pStyle w:val="12"/>
            <w:tabs>
              <w:tab w:val="right" w:leader="dot" w:pos="8844"/>
            </w:tabs>
          </w:pPr>
          <w:r>
            <w:fldChar w:fldCharType="begin"/>
          </w:r>
          <w:r>
            <w:instrText xml:space="preserve"> HYPERLINK \l _Toc31028 </w:instrText>
          </w:r>
          <w:r>
            <w:fldChar w:fldCharType="separate"/>
          </w:r>
          <w:r>
            <w:rPr>
              <w:rFonts w:hint="eastAsia"/>
            </w:rPr>
            <w:t>4.1质量管理体系建立...</w:t>
          </w:r>
          <w:r>
            <w:tab/>
          </w:r>
          <w:r>
            <w:fldChar w:fldCharType="begin"/>
          </w:r>
          <w:r>
            <w:instrText xml:space="preserve"> PAGEREF _Toc31028 \h </w:instrText>
          </w:r>
          <w:r>
            <w:fldChar w:fldCharType="separate"/>
          </w:r>
          <w:r>
            <w:t>10</w:t>
          </w:r>
          <w:r>
            <w:fldChar w:fldCharType="end"/>
          </w:r>
          <w:r>
            <w:fldChar w:fldCharType="end"/>
          </w:r>
        </w:p>
        <w:p>
          <w:pPr>
            <w:pStyle w:val="12"/>
            <w:tabs>
              <w:tab w:val="right" w:leader="dot" w:pos="8844"/>
            </w:tabs>
          </w:pPr>
          <w:r>
            <w:fldChar w:fldCharType="begin"/>
          </w:r>
          <w:r>
            <w:instrText xml:space="preserve"> HYPERLINK \l "_Toc2078" </w:instrText>
          </w:r>
          <w:r>
            <w:fldChar w:fldCharType="separate"/>
          </w:r>
          <w:r>
            <w:rPr>
              <w:rFonts w:hint="eastAsia"/>
            </w:rPr>
            <w:t>4.2预制构件制造能力等级评定及资源配置要求</w:t>
          </w:r>
          <w:r>
            <w:tab/>
          </w:r>
          <w:r>
            <w:fldChar w:fldCharType="begin"/>
          </w:r>
          <w:r>
            <w:instrText xml:space="preserve"> PAGEREF _Toc2078 \h </w:instrText>
          </w:r>
          <w:r>
            <w:fldChar w:fldCharType="separate"/>
          </w:r>
          <w:r>
            <w:t>10</w:t>
          </w:r>
          <w:r>
            <w:fldChar w:fldCharType="end"/>
          </w:r>
          <w:r>
            <w:fldChar w:fldCharType="end"/>
          </w:r>
        </w:p>
        <w:p>
          <w:pPr>
            <w:pStyle w:val="12"/>
            <w:tabs>
              <w:tab w:val="right" w:leader="dot" w:pos="8844"/>
            </w:tabs>
          </w:pPr>
          <w:r>
            <w:fldChar w:fldCharType="begin"/>
          </w:r>
          <w:r>
            <w:instrText xml:space="preserve"> HYPERLINK \l _Toc2882 </w:instrText>
          </w:r>
          <w:r>
            <w:fldChar w:fldCharType="separate"/>
          </w:r>
          <w:r>
            <w:rPr>
              <w:rFonts w:hint="eastAsia"/>
            </w:rPr>
            <w:t>4.3预制构件安装能力及资源配置要求</w:t>
          </w:r>
          <w:r>
            <w:tab/>
          </w:r>
          <w:r>
            <w:fldChar w:fldCharType="begin"/>
          </w:r>
          <w:r>
            <w:instrText xml:space="preserve"> PAGEREF _Toc2882 \h </w:instrText>
          </w:r>
          <w:r>
            <w:fldChar w:fldCharType="separate"/>
          </w:r>
          <w:r>
            <w:t>1</w:t>
          </w:r>
          <w:r>
            <w:fldChar w:fldCharType="end"/>
          </w:r>
          <w:r>
            <w:fldChar w:fldCharType="end"/>
          </w:r>
          <w:r>
            <w:rPr>
              <w:rFonts w:hint="eastAsia"/>
            </w:rPr>
            <w:t>7</w:t>
          </w:r>
        </w:p>
        <w:p>
          <w:pPr>
            <w:pStyle w:val="11"/>
            <w:tabs>
              <w:tab w:val="right" w:leader="dot" w:pos="8844"/>
            </w:tabs>
          </w:pPr>
          <w:r>
            <w:fldChar w:fldCharType="begin"/>
          </w:r>
          <w:r>
            <w:instrText xml:space="preserve"> HYPERLINK \l _Toc23906 </w:instrText>
          </w:r>
          <w:r>
            <w:fldChar w:fldCharType="separate"/>
          </w:r>
          <w:r>
            <w:rPr>
              <w:rFonts w:hint="eastAsia"/>
            </w:rPr>
            <w:t>5 生产质量管理</w:t>
          </w:r>
          <w:r>
            <w:tab/>
          </w:r>
          <w:r>
            <w:fldChar w:fldCharType="begin"/>
          </w:r>
          <w:r>
            <w:instrText xml:space="preserve"> PAGEREF _Toc23906 \h </w:instrText>
          </w:r>
          <w:r>
            <w:fldChar w:fldCharType="separate"/>
          </w:r>
          <w:r>
            <w:t>1</w:t>
          </w:r>
          <w:r>
            <w:fldChar w:fldCharType="end"/>
          </w:r>
          <w:r>
            <w:fldChar w:fldCharType="end"/>
          </w:r>
          <w:r>
            <w:rPr>
              <w:rFonts w:hint="eastAsia"/>
            </w:rPr>
            <w:t>8</w:t>
          </w:r>
        </w:p>
        <w:p>
          <w:pPr>
            <w:pStyle w:val="12"/>
            <w:tabs>
              <w:tab w:val="right" w:leader="dot" w:pos="8844"/>
            </w:tabs>
          </w:pPr>
          <w:r>
            <w:fldChar w:fldCharType="begin"/>
          </w:r>
          <w:r>
            <w:instrText xml:space="preserve"> HYPERLINK \l _Toc21196 </w:instrText>
          </w:r>
          <w:r>
            <w:fldChar w:fldCharType="separate"/>
          </w:r>
          <w:r>
            <w:rPr>
              <w:rFonts w:hint="eastAsia"/>
            </w:rPr>
            <w:t>5.1生产技术准备</w:t>
          </w:r>
          <w:r>
            <w:tab/>
          </w:r>
          <w:r>
            <w:fldChar w:fldCharType="begin"/>
          </w:r>
          <w:r>
            <w:instrText xml:space="preserve"> PAGEREF _Toc21196 \h </w:instrText>
          </w:r>
          <w:r>
            <w:fldChar w:fldCharType="separate"/>
          </w:r>
          <w:r>
            <w:t>1</w:t>
          </w:r>
          <w:r>
            <w:fldChar w:fldCharType="end"/>
          </w:r>
          <w:r>
            <w:fldChar w:fldCharType="end"/>
          </w:r>
          <w:r>
            <w:rPr>
              <w:rFonts w:hint="eastAsia"/>
            </w:rPr>
            <w:t>8</w:t>
          </w:r>
        </w:p>
        <w:p>
          <w:pPr>
            <w:pStyle w:val="12"/>
            <w:tabs>
              <w:tab w:val="right" w:leader="dot" w:pos="8844"/>
            </w:tabs>
          </w:pPr>
          <w:r>
            <w:fldChar w:fldCharType="begin"/>
          </w:r>
          <w:r>
            <w:instrText xml:space="preserve"> HYPERLINK \l _Toc29665 </w:instrText>
          </w:r>
          <w:r>
            <w:fldChar w:fldCharType="separate"/>
          </w:r>
          <w:r>
            <w:rPr>
              <w:rFonts w:hint="eastAsia"/>
            </w:rPr>
            <w:t>5.2模具质量管理</w:t>
          </w:r>
          <w:r>
            <w:tab/>
          </w:r>
          <w:r>
            <w:fldChar w:fldCharType="begin"/>
          </w:r>
          <w:r>
            <w:instrText xml:space="preserve"> PAGEREF _Toc29665 \h </w:instrText>
          </w:r>
          <w:r>
            <w:fldChar w:fldCharType="separate"/>
          </w:r>
          <w:r>
            <w:t>1</w:t>
          </w:r>
          <w:r>
            <w:fldChar w:fldCharType="end"/>
          </w:r>
          <w:r>
            <w:fldChar w:fldCharType="end"/>
          </w:r>
          <w:r>
            <w:rPr>
              <w:rFonts w:hint="eastAsia"/>
            </w:rPr>
            <w:t>9</w:t>
          </w:r>
        </w:p>
        <w:p>
          <w:pPr>
            <w:pStyle w:val="12"/>
            <w:tabs>
              <w:tab w:val="right" w:leader="dot" w:pos="8844"/>
            </w:tabs>
          </w:pPr>
          <w:r>
            <w:fldChar w:fldCharType="begin"/>
          </w:r>
          <w:r>
            <w:instrText xml:space="preserve"> HYPERLINK \l _Toc32408 </w:instrText>
          </w:r>
          <w:r>
            <w:fldChar w:fldCharType="separate"/>
          </w:r>
          <w:r>
            <w:rPr>
              <w:rFonts w:hint="eastAsia"/>
            </w:rPr>
            <w:t>5</w:t>
          </w:r>
          <w:r>
            <w:t>.3</w:t>
          </w:r>
          <w:r>
            <w:rPr>
              <w:rFonts w:hint="eastAsia"/>
            </w:rPr>
            <w:t>物资质量管理</w:t>
          </w:r>
          <w:r>
            <w:tab/>
          </w:r>
          <w:r>
            <w:fldChar w:fldCharType="end"/>
          </w:r>
          <w:r>
            <w:rPr>
              <w:rFonts w:hint="eastAsia"/>
            </w:rPr>
            <w:t>20</w:t>
          </w:r>
        </w:p>
        <w:p>
          <w:pPr>
            <w:pStyle w:val="12"/>
            <w:tabs>
              <w:tab w:val="right" w:leader="dot" w:pos="8844"/>
            </w:tabs>
          </w:pPr>
          <w:r>
            <w:fldChar w:fldCharType="begin"/>
          </w:r>
          <w:r>
            <w:instrText xml:space="preserve"> HYPERLINK \l _Toc32452 </w:instrText>
          </w:r>
          <w:r>
            <w:fldChar w:fldCharType="separate"/>
          </w:r>
          <w:r>
            <w:rPr>
              <w:rFonts w:hint="eastAsia"/>
            </w:rPr>
            <w:t>5</w:t>
          </w:r>
          <w:r>
            <w:t>.4</w:t>
          </w:r>
          <w:r>
            <w:rPr>
              <w:rFonts w:hint="eastAsia"/>
            </w:rPr>
            <w:t>生产作业质量管理</w:t>
          </w:r>
          <w:r>
            <w:tab/>
          </w:r>
          <w:r>
            <w:fldChar w:fldCharType="end"/>
          </w:r>
          <w:r>
            <w:rPr>
              <w:rFonts w:hint="eastAsia"/>
            </w:rPr>
            <w:t>21</w:t>
          </w:r>
        </w:p>
        <w:p>
          <w:pPr>
            <w:pStyle w:val="12"/>
            <w:tabs>
              <w:tab w:val="right" w:leader="dot" w:pos="8844"/>
            </w:tabs>
          </w:pPr>
          <w:r>
            <w:fldChar w:fldCharType="begin"/>
          </w:r>
          <w:r>
            <w:instrText xml:space="preserve"> HYPERLINK \l _Toc7868 </w:instrText>
          </w:r>
          <w:r>
            <w:fldChar w:fldCharType="separate"/>
          </w:r>
          <w:r>
            <w:rPr>
              <w:rFonts w:hint="eastAsia"/>
            </w:rPr>
            <w:t>5</w:t>
          </w:r>
          <w:r>
            <w:t>.5</w:t>
          </w:r>
          <w:r>
            <w:rPr>
              <w:rFonts w:hint="eastAsia"/>
            </w:rPr>
            <w:t>储运管理</w:t>
          </w:r>
          <w:r>
            <w:tab/>
          </w:r>
          <w:r>
            <w:fldChar w:fldCharType="end"/>
          </w:r>
          <w:r>
            <w:rPr>
              <w:rFonts w:hint="eastAsia"/>
            </w:rPr>
            <w:t>23</w:t>
          </w:r>
        </w:p>
        <w:p>
          <w:pPr>
            <w:pStyle w:val="12"/>
            <w:tabs>
              <w:tab w:val="right" w:leader="dot" w:pos="8844"/>
            </w:tabs>
          </w:pPr>
          <w:r>
            <w:fldChar w:fldCharType="begin"/>
          </w:r>
          <w:r>
            <w:instrText xml:space="preserve"> HYPERLINK \l _Toc6418 </w:instrText>
          </w:r>
          <w:r>
            <w:fldChar w:fldCharType="separate"/>
          </w:r>
          <w:r>
            <w:rPr>
              <w:rFonts w:hint="eastAsia"/>
            </w:rPr>
            <w:t>5</w:t>
          </w:r>
          <w:r>
            <w:t>.6</w:t>
          </w:r>
          <w:r>
            <w:rPr>
              <w:rFonts w:hint="eastAsia"/>
            </w:rPr>
            <w:t>试验检验及验收管理</w:t>
          </w:r>
          <w:r>
            <w:tab/>
          </w:r>
          <w:r>
            <w:fldChar w:fldCharType="end"/>
          </w:r>
          <w:r>
            <w:rPr>
              <w:rFonts w:hint="eastAsia"/>
            </w:rPr>
            <w:t>24</w:t>
          </w:r>
        </w:p>
        <w:p>
          <w:pPr>
            <w:pStyle w:val="12"/>
            <w:tabs>
              <w:tab w:val="right" w:leader="dot" w:pos="8844"/>
            </w:tabs>
          </w:pPr>
          <w:r>
            <w:fldChar w:fldCharType="begin"/>
          </w:r>
          <w:r>
            <w:instrText xml:space="preserve"> HYPERLINK \l _Toc10308 </w:instrText>
          </w:r>
          <w:r>
            <w:fldChar w:fldCharType="separate"/>
          </w:r>
          <w:r>
            <w:rPr>
              <w:rFonts w:hint="eastAsia"/>
            </w:rPr>
            <w:t>5</w:t>
          </w:r>
          <w:r>
            <w:t>.7</w:t>
          </w:r>
          <w:r>
            <w:rPr>
              <w:rFonts w:hint="eastAsia"/>
            </w:rPr>
            <w:t>不合格品管理</w:t>
          </w:r>
          <w:r>
            <w:tab/>
          </w:r>
          <w:r>
            <w:fldChar w:fldCharType="begin"/>
          </w:r>
          <w:r>
            <w:instrText xml:space="preserve"> PAGEREF _Toc10308 \h </w:instrText>
          </w:r>
          <w:r>
            <w:fldChar w:fldCharType="separate"/>
          </w:r>
          <w:r>
            <w:t>2</w:t>
          </w:r>
          <w:r>
            <w:fldChar w:fldCharType="end"/>
          </w:r>
          <w:r>
            <w:fldChar w:fldCharType="end"/>
          </w:r>
          <w:r>
            <w:rPr>
              <w:rFonts w:hint="eastAsia"/>
            </w:rPr>
            <w:t>5</w:t>
          </w:r>
        </w:p>
        <w:p>
          <w:pPr>
            <w:pStyle w:val="12"/>
            <w:tabs>
              <w:tab w:val="right" w:leader="dot" w:pos="8844"/>
            </w:tabs>
          </w:pPr>
          <w:r>
            <w:fldChar w:fldCharType="begin"/>
          </w:r>
          <w:r>
            <w:instrText xml:space="preserve"> HYPERLINK \l _Toc6463 </w:instrText>
          </w:r>
          <w:r>
            <w:fldChar w:fldCharType="separate"/>
          </w:r>
          <w:r>
            <w:rPr>
              <w:rFonts w:hint="eastAsia"/>
            </w:rPr>
            <w:t>5</w:t>
          </w:r>
          <w:r>
            <w:t>.8</w:t>
          </w:r>
          <w:r>
            <w:rPr>
              <w:rFonts w:hint="eastAsia"/>
            </w:rPr>
            <w:t>质量分析和持续改进</w:t>
          </w:r>
          <w:r>
            <w:tab/>
          </w:r>
          <w:r>
            <w:fldChar w:fldCharType="begin"/>
          </w:r>
          <w:r>
            <w:instrText xml:space="preserve"> PAGEREF _Toc6463 \h </w:instrText>
          </w:r>
          <w:r>
            <w:fldChar w:fldCharType="separate"/>
          </w:r>
          <w:r>
            <w:t>2</w:t>
          </w:r>
          <w:r>
            <w:fldChar w:fldCharType="end"/>
          </w:r>
          <w:r>
            <w:fldChar w:fldCharType="end"/>
          </w:r>
          <w:r>
            <w:rPr>
              <w:rFonts w:hint="eastAsia"/>
            </w:rPr>
            <w:t>5</w:t>
          </w:r>
        </w:p>
        <w:p>
          <w:pPr>
            <w:pStyle w:val="11"/>
            <w:tabs>
              <w:tab w:val="right" w:leader="dot" w:pos="8844"/>
            </w:tabs>
          </w:pPr>
          <w:r>
            <w:fldChar w:fldCharType="begin"/>
          </w:r>
          <w:r>
            <w:instrText xml:space="preserve"> HYPERLINK \l _Toc24327 </w:instrText>
          </w:r>
          <w:r>
            <w:fldChar w:fldCharType="separate"/>
          </w:r>
          <w:r>
            <w:rPr>
              <w:rFonts w:hint="eastAsia"/>
            </w:rPr>
            <w:t>6 运输质量管理</w:t>
          </w:r>
          <w:r>
            <w:tab/>
          </w:r>
          <w:r>
            <w:fldChar w:fldCharType="begin"/>
          </w:r>
          <w:r>
            <w:instrText xml:space="preserve"> PAGEREF _Toc24327 \h </w:instrText>
          </w:r>
          <w:r>
            <w:fldChar w:fldCharType="separate"/>
          </w:r>
          <w:r>
            <w:t>2</w:t>
          </w:r>
          <w:r>
            <w:fldChar w:fldCharType="end"/>
          </w:r>
          <w:r>
            <w:fldChar w:fldCharType="end"/>
          </w:r>
          <w:r>
            <w:rPr>
              <w:rFonts w:hint="eastAsia"/>
            </w:rPr>
            <w:t>7</w:t>
          </w:r>
        </w:p>
        <w:p>
          <w:pPr>
            <w:pStyle w:val="12"/>
            <w:tabs>
              <w:tab w:val="right" w:leader="dot" w:pos="8844"/>
            </w:tabs>
          </w:pPr>
          <w:r>
            <w:fldChar w:fldCharType="begin"/>
          </w:r>
          <w:r>
            <w:instrText xml:space="preserve"> HYPERLINK \l _Toc9781 </w:instrText>
          </w:r>
          <w:r>
            <w:fldChar w:fldCharType="separate"/>
          </w:r>
          <w:r>
            <w:rPr>
              <w:rFonts w:hint="eastAsia"/>
            </w:rPr>
            <w:t>6.1 装车质量管理</w:t>
          </w:r>
          <w:r>
            <w:tab/>
          </w:r>
          <w:r>
            <w:fldChar w:fldCharType="begin"/>
          </w:r>
          <w:r>
            <w:instrText xml:space="preserve"> PAGEREF _Toc9781 \h </w:instrText>
          </w:r>
          <w:r>
            <w:fldChar w:fldCharType="separate"/>
          </w:r>
          <w:r>
            <w:t>2</w:t>
          </w:r>
          <w:r>
            <w:fldChar w:fldCharType="end"/>
          </w:r>
          <w:r>
            <w:fldChar w:fldCharType="end"/>
          </w:r>
          <w:r>
            <w:rPr>
              <w:rFonts w:hint="eastAsia"/>
            </w:rPr>
            <w:t>7</w:t>
          </w:r>
        </w:p>
        <w:p>
          <w:pPr>
            <w:pStyle w:val="12"/>
            <w:tabs>
              <w:tab w:val="right" w:leader="dot" w:pos="8844"/>
            </w:tabs>
          </w:pPr>
          <w:r>
            <w:fldChar w:fldCharType="begin"/>
          </w:r>
          <w:r>
            <w:instrText xml:space="preserve"> HYPERLINK \l _Toc7946 </w:instrText>
          </w:r>
          <w:r>
            <w:fldChar w:fldCharType="separate"/>
          </w:r>
          <w:r>
            <w:rPr>
              <w:rFonts w:hint="eastAsia"/>
            </w:rPr>
            <w:t>6.2 道路运输质量管理</w:t>
          </w:r>
          <w:r>
            <w:tab/>
          </w:r>
          <w:r>
            <w:fldChar w:fldCharType="begin"/>
          </w:r>
          <w:r>
            <w:instrText xml:space="preserve"> PAGEREF _Toc7946 \h </w:instrText>
          </w:r>
          <w:r>
            <w:fldChar w:fldCharType="separate"/>
          </w:r>
          <w:r>
            <w:t>2</w:t>
          </w:r>
          <w:r>
            <w:fldChar w:fldCharType="end"/>
          </w:r>
          <w:r>
            <w:fldChar w:fldCharType="end"/>
          </w:r>
          <w:r>
            <w:rPr>
              <w:rFonts w:hint="eastAsia"/>
            </w:rPr>
            <w:t>7</w:t>
          </w:r>
        </w:p>
        <w:p>
          <w:pPr>
            <w:pStyle w:val="12"/>
            <w:tabs>
              <w:tab w:val="right" w:leader="dot" w:pos="8844"/>
            </w:tabs>
          </w:pPr>
          <w:r>
            <w:fldChar w:fldCharType="begin"/>
          </w:r>
          <w:r>
            <w:instrText xml:space="preserve"> HYPERLINK \l _Toc16796 </w:instrText>
          </w:r>
          <w:r>
            <w:fldChar w:fldCharType="separate"/>
          </w:r>
          <w:r>
            <w:rPr>
              <w:rFonts w:hint="eastAsia"/>
            </w:rPr>
            <w:t>6.3 卸车质量管理</w:t>
          </w:r>
          <w:r>
            <w:tab/>
          </w:r>
          <w:r>
            <w:fldChar w:fldCharType="begin"/>
          </w:r>
          <w:r>
            <w:instrText xml:space="preserve"> PAGEREF _Toc16796 \h </w:instrText>
          </w:r>
          <w:r>
            <w:fldChar w:fldCharType="separate"/>
          </w:r>
          <w:r>
            <w:t>2</w:t>
          </w:r>
          <w:r>
            <w:fldChar w:fldCharType="end"/>
          </w:r>
          <w:r>
            <w:fldChar w:fldCharType="end"/>
          </w:r>
          <w:r>
            <w:rPr>
              <w:rFonts w:hint="eastAsia"/>
            </w:rPr>
            <w:t>8</w:t>
          </w:r>
        </w:p>
        <w:p>
          <w:pPr>
            <w:pStyle w:val="11"/>
            <w:tabs>
              <w:tab w:val="right" w:leader="dot" w:pos="8844"/>
            </w:tabs>
          </w:pPr>
          <w:r>
            <w:fldChar w:fldCharType="begin"/>
          </w:r>
          <w:r>
            <w:instrText xml:space="preserve"> HYPERLINK \l _Toc2601 </w:instrText>
          </w:r>
          <w:r>
            <w:fldChar w:fldCharType="separate"/>
          </w:r>
          <w:r>
            <w:rPr>
              <w:rFonts w:hint="eastAsia"/>
            </w:rPr>
            <w:t>7 安装质量管理</w:t>
          </w:r>
          <w:r>
            <w:tab/>
          </w:r>
          <w:r>
            <w:fldChar w:fldCharType="end"/>
          </w:r>
          <w:r>
            <w:rPr>
              <w:rFonts w:hint="eastAsia"/>
            </w:rPr>
            <w:t>29</w:t>
          </w:r>
        </w:p>
        <w:p>
          <w:pPr>
            <w:pStyle w:val="12"/>
            <w:tabs>
              <w:tab w:val="right" w:leader="dot" w:pos="8844"/>
            </w:tabs>
          </w:pPr>
          <w:r>
            <w:fldChar w:fldCharType="begin"/>
          </w:r>
          <w:r>
            <w:instrText xml:space="preserve"> HYPERLINK \l _Toc22890 </w:instrText>
          </w:r>
          <w:r>
            <w:fldChar w:fldCharType="separate"/>
          </w:r>
          <w:r>
            <w:rPr>
              <w:rFonts w:hint="eastAsia"/>
            </w:rPr>
            <w:t>7.1 安装技术准备</w:t>
          </w:r>
          <w:r>
            <w:tab/>
          </w:r>
          <w:r>
            <w:fldChar w:fldCharType="begin"/>
          </w:r>
          <w:r>
            <w:instrText xml:space="preserve"> PAGEREF _Toc22890 \h </w:instrText>
          </w:r>
          <w:r>
            <w:fldChar w:fldCharType="separate"/>
          </w:r>
          <w:r>
            <w:t>2</w:t>
          </w:r>
          <w:r>
            <w:fldChar w:fldCharType="end"/>
          </w:r>
          <w:r>
            <w:fldChar w:fldCharType="end"/>
          </w:r>
          <w:r>
            <w:rPr>
              <w:rFonts w:hint="eastAsia"/>
            </w:rPr>
            <w:t>9</w:t>
          </w:r>
        </w:p>
        <w:p>
          <w:pPr>
            <w:pStyle w:val="12"/>
            <w:tabs>
              <w:tab w:val="right" w:leader="dot" w:pos="8844"/>
            </w:tabs>
          </w:pPr>
          <w:r>
            <w:fldChar w:fldCharType="begin"/>
          </w:r>
          <w:r>
            <w:instrText xml:space="preserve"> HYPERLINK \l _Toc989 </w:instrText>
          </w:r>
          <w:r>
            <w:fldChar w:fldCharType="separate"/>
          </w:r>
          <w:r>
            <w:rPr>
              <w:rFonts w:hint="eastAsia"/>
            </w:rPr>
            <w:t>7.2 安装工具和设备管理</w:t>
          </w:r>
          <w:r>
            <w:tab/>
          </w:r>
          <w:r>
            <w:fldChar w:fldCharType="begin"/>
          </w:r>
          <w:r>
            <w:instrText xml:space="preserve"> PAGEREF _Toc989 \h </w:instrText>
          </w:r>
          <w:r>
            <w:fldChar w:fldCharType="separate"/>
          </w:r>
          <w:r>
            <w:t>2</w:t>
          </w:r>
          <w:r>
            <w:fldChar w:fldCharType="end"/>
          </w:r>
          <w:r>
            <w:fldChar w:fldCharType="end"/>
          </w:r>
          <w:r>
            <w:rPr>
              <w:rFonts w:hint="eastAsia"/>
            </w:rPr>
            <w:t>9</w:t>
          </w:r>
        </w:p>
        <w:p>
          <w:pPr>
            <w:pStyle w:val="12"/>
            <w:tabs>
              <w:tab w:val="right" w:leader="dot" w:pos="8844"/>
            </w:tabs>
          </w:pPr>
          <w:r>
            <w:fldChar w:fldCharType="begin"/>
          </w:r>
          <w:r>
            <w:instrText xml:space="preserve"> HYPERLINK \l _Toc17164 </w:instrText>
          </w:r>
          <w:r>
            <w:fldChar w:fldCharType="separate"/>
          </w:r>
          <w:r>
            <w:rPr>
              <w:rFonts w:hint="eastAsia"/>
            </w:rPr>
            <w:t>7.3 物资质量管理</w:t>
          </w:r>
          <w:r>
            <w:tab/>
          </w:r>
          <w:r>
            <w:fldChar w:fldCharType="end"/>
          </w:r>
          <w:r>
            <w:rPr>
              <w:rFonts w:hint="eastAsia"/>
            </w:rPr>
            <w:t>30</w:t>
          </w:r>
        </w:p>
        <w:p>
          <w:pPr>
            <w:pStyle w:val="12"/>
            <w:tabs>
              <w:tab w:val="right" w:leader="dot" w:pos="8844"/>
            </w:tabs>
          </w:pPr>
          <w:r>
            <w:fldChar w:fldCharType="begin"/>
          </w:r>
          <w:r>
            <w:instrText xml:space="preserve"> HYPERLINK \l _Toc29783 </w:instrText>
          </w:r>
          <w:r>
            <w:fldChar w:fldCharType="separate"/>
          </w:r>
          <w:r>
            <w:rPr>
              <w:rFonts w:hint="eastAsia"/>
            </w:rPr>
            <w:t>7.4 临时存放管理</w:t>
          </w:r>
          <w:r>
            <w:tab/>
          </w:r>
          <w:r>
            <w:fldChar w:fldCharType="end"/>
          </w:r>
          <w:r>
            <w:rPr>
              <w:rFonts w:hint="eastAsia"/>
            </w:rPr>
            <w:t>30</w:t>
          </w:r>
        </w:p>
        <w:p>
          <w:pPr>
            <w:pStyle w:val="12"/>
            <w:tabs>
              <w:tab w:val="right" w:leader="dot" w:pos="8844"/>
            </w:tabs>
          </w:pPr>
          <w:r>
            <w:fldChar w:fldCharType="begin"/>
          </w:r>
          <w:r>
            <w:instrText xml:space="preserve"> HYPERLINK \l _Toc21661 </w:instrText>
          </w:r>
          <w:r>
            <w:fldChar w:fldCharType="separate"/>
          </w:r>
          <w:r>
            <w:rPr>
              <w:rFonts w:hint="eastAsia"/>
            </w:rPr>
            <w:t>7.5 安装作业质量管理</w:t>
          </w:r>
          <w:r>
            <w:tab/>
          </w:r>
          <w:r>
            <w:fldChar w:fldCharType="end"/>
          </w:r>
          <w:r>
            <w:rPr>
              <w:rFonts w:hint="eastAsia"/>
            </w:rPr>
            <w:t>31</w:t>
          </w:r>
        </w:p>
        <w:p>
          <w:pPr>
            <w:pStyle w:val="12"/>
            <w:tabs>
              <w:tab w:val="right" w:leader="dot" w:pos="8844"/>
            </w:tabs>
          </w:pPr>
          <w:r>
            <w:fldChar w:fldCharType="begin"/>
          </w:r>
          <w:r>
            <w:instrText xml:space="preserve"> HYPERLINK \l _Toc21832 </w:instrText>
          </w:r>
          <w:r>
            <w:fldChar w:fldCharType="separate"/>
          </w:r>
          <w:r>
            <w:rPr>
              <w:rFonts w:hint="eastAsia"/>
            </w:rPr>
            <w:t>7.6 试验检验与验收管理</w:t>
          </w:r>
          <w:r>
            <w:tab/>
          </w:r>
          <w:r>
            <w:fldChar w:fldCharType="end"/>
          </w:r>
          <w:r>
            <w:rPr>
              <w:rFonts w:hint="eastAsia"/>
            </w:rPr>
            <w:t>32</w:t>
          </w:r>
        </w:p>
        <w:p>
          <w:pPr>
            <w:pStyle w:val="12"/>
            <w:tabs>
              <w:tab w:val="right" w:leader="dot" w:pos="8844"/>
            </w:tabs>
          </w:pPr>
          <w:r>
            <w:fldChar w:fldCharType="begin"/>
          </w:r>
          <w:r>
            <w:instrText xml:space="preserve"> HYPERLINK \l _Toc13572 </w:instrText>
          </w:r>
          <w:r>
            <w:fldChar w:fldCharType="separate"/>
          </w:r>
          <w:r>
            <w:rPr>
              <w:rFonts w:hint="eastAsia"/>
            </w:rPr>
            <w:t>7.7 不合格品管理</w:t>
          </w:r>
          <w:r>
            <w:tab/>
          </w:r>
          <w:r>
            <w:fldChar w:fldCharType="end"/>
          </w:r>
          <w:r>
            <w:rPr>
              <w:rFonts w:hint="eastAsia"/>
            </w:rPr>
            <w:t>33</w:t>
          </w:r>
        </w:p>
        <w:p>
          <w:pPr>
            <w:pStyle w:val="12"/>
            <w:tabs>
              <w:tab w:val="right" w:leader="dot" w:pos="8844"/>
            </w:tabs>
          </w:pPr>
          <w:r>
            <w:fldChar w:fldCharType="begin"/>
          </w:r>
          <w:r>
            <w:instrText xml:space="preserve"> HYPERLINK \l _Toc24073 </w:instrText>
          </w:r>
          <w:r>
            <w:fldChar w:fldCharType="separate"/>
          </w:r>
          <w:r>
            <w:rPr>
              <w:rFonts w:hint="eastAsia"/>
            </w:rPr>
            <w:t>7.8 质量分析和持续改进</w:t>
          </w:r>
          <w:r>
            <w:tab/>
          </w:r>
          <w:r>
            <w:fldChar w:fldCharType="end"/>
          </w:r>
          <w:r>
            <w:rPr>
              <w:rFonts w:hint="eastAsia"/>
            </w:rPr>
            <w:t>33</w:t>
          </w:r>
        </w:p>
        <w:p>
          <w:pPr>
            <w:pStyle w:val="11"/>
            <w:tabs>
              <w:tab w:val="right" w:leader="dot" w:pos="8844"/>
            </w:tabs>
          </w:pPr>
          <w:r>
            <w:fldChar w:fldCharType="begin"/>
          </w:r>
          <w:r>
            <w:instrText xml:space="preserve"> HYPERLINK \l _Toc509 </w:instrText>
          </w:r>
          <w:r>
            <w:fldChar w:fldCharType="separate"/>
          </w:r>
          <w:r>
            <w:rPr>
              <w:rFonts w:hint="eastAsia"/>
            </w:rPr>
            <w:t>8 质量追溯性管理</w:t>
          </w:r>
          <w:r>
            <w:tab/>
          </w:r>
          <w:r>
            <w:fldChar w:fldCharType="begin"/>
          </w:r>
          <w:r>
            <w:instrText xml:space="preserve"> PAGEREF _Toc509 \h </w:instrText>
          </w:r>
          <w:r>
            <w:fldChar w:fldCharType="separate"/>
          </w:r>
          <w:r>
            <w:t>3</w:t>
          </w:r>
          <w:r>
            <w:fldChar w:fldCharType="end"/>
          </w:r>
          <w:r>
            <w:fldChar w:fldCharType="end"/>
          </w:r>
          <w:r>
            <w:rPr>
              <w:rFonts w:hint="eastAsia"/>
            </w:rPr>
            <w:t>4</w:t>
          </w:r>
        </w:p>
        <w:p>
          <w:pPr>
            <w:pStyle w:val="12"/>
            <w:tabs>
              <w:tab w:val="right" w:leader="dot" w:pos="8844"/>
            </w:tabs>
          </w:pPr>
          <w:r>
            <w:fldChar w:fldCharType="begin"/>
          </w:r>
          <w:r>
            <w:instrText xml:space="preserve"> HYPERLINK \l _Toc4620 </w:instrText>
          </w:r>
          <w:r>
            <w:fldChar w:fldCharType="separate"/>
          </w:r>
          <w:r>
            <w:rPr>
              <w:rFonts w:hint="eastAsia"/>
            </w:rPr>
            <w:t>8.1 资料管理</w:t>
          </w:r>
          <w:r>
            <w:tab/>
          </w:r>
          <w:r>
            <w:fldChar w:fldCharType="begin"/>
          </w:r>
          <w:r>
            <w:instrText xml:space="preserve"> PAGEREF _Toc4620 \h </w:instrText>
          </w:r>
          <w:r>
            <w:fldChar w:fldCharType="separate"/>
          </w:r>
          <w:r>
            <w:t>3</w:t>
          </w:r>
          <w:r>
            <w:fldChar w:fldCharType="end"/>
          </w:r>
          <w:r>
            <w:fldChar w:fldCharType="end"/>
          </w:r>
          <w:r>
            <w:rPr>
              <w:rFonts w:hint="eastAsia"/>
            </w:rPr>
            <w:t>4</w:t>
          </w:r>
        </w:p>
        <w:p>
          <w:pPr>
            <w:pStyle w:val="12"/>
            <w:tabs>
              <w:tab w:val="right" w:leader="dot" w:pos="8844"/>
            </w:tabs>
          </w:pPr>
          <w:r>
            <w:fldChar w:fldCharType="begin"/>
          </w:r>
          <w:r>
            <w:instrText xml:space="preserve"> HYPERLINK \l _Toc9035 </w:instrText>
          </w:r>
          <w:r>
            <w:fldChar w:fldCharType="separate"/>
          </w:r>
          <w:r>
            <w:rPr>
              <w:rFonts w:hint="eastAsia"/>
            </w:rPr>
            <w:t>8.2 标识管理</w:t>
          </w:r>
          <w:r>
            <w:tab/>
          </w:r>
          <w:r>
            <w:fldChar w:fldCharType="begin"/>
          </w:r>
          <w:r>
            <w:instrText xml:space="preserve"> PAGEREF _Toc9035 \h </w:instrText>
          </w:r>
          <w:r>
            <w:fldChar w:fldCharType="separate"/>
          </w:r>
          <w:r>
            <w:t>3</w:t>
          </w:r>
          <w:r>
            <w:fldChar w:fldCharType="end"/>
          </w:r>
          <w:r>
            <w:fldChar w:fldCharType="end"/>
          </w:r>
          <w:r>
            <w:rPr>
              <w:rFonts w:hint="eastAsia"/>
            </w:rPr>
            <w:t>6</w:t>
          </w:r>
        </w:p>
        <w:p>
          <w:pPr>
            <w:pStyle w:val="12"/>
            <w:tabs>
              <w:tab w:val="right" w:leader="dot" w:pos="8844"/>
            </w:tabs>
          </w:pPr>
          <w:r>
            <w:fldChar w:fldCharType="begin"/>
          </w:r>
          <w:r>
            <w:instrText xml:space="preserve"> HYPERLINK \l _Toc7343 </w:instrText>
          </w:r>
          <w:r>
            <w:fldChar w:fldCharType="separate"/>
          </w:r>
          <w:r>
            <w:rPr>
              <w:rFonts w:hint="eastAsia"/>
            </w:rPr>
            <w:t>8.3 信息化管理</w:t>
          </w:r>
          <w:r>
            <w:tab/>
          </w:r>
          <w:r>
            <w:fldChar w:fldCharType="begin"/>
          </w:r>
          <w:r>
            <w:instrText xml:space="preserve"> PAGEREF _Toc7343 \h </w:instrText>
          </w:r>
          <w:r>
            <w:fldChar w:fldCharType="separate"/>
          </w:r>
          <w:r>
            <w:t>3</w:t>
          </w:r>
          <w:r>
            <w:fldChar w:fldCharType="end"/>
          </w:r>
          <w:r>
            <w:fldChar w:fldCharType="end"/>
          </w:r>
          <w:r>
            <w:rPr>
              <w:rFonts w:hint="eastAsia"/>
            </w:rPr>
            <w:t>7</w:t>
          </w:r>
        </w:p>
        <w:p>
          <w:pPr>
            <w:pStyle w:val="12"/>
            <w:tabs>
              <w:tab w:val="right" w:leader="dot" w:pos="8844"/>
            </w:tabs>
            <w:ind w:left="0" w:leftChars="0"/>
          </w:pPr>
          <w:r>
            <w:fldChar w:fldCharType="begin"/>
          </w:r>
          <w:r>
            <w:instrText xml:space="preserve"> HYPERLINK \l _Toc28427 </w:instrText>
          </w:r>
          <w:r>
            <w:fldChar w:fldCharType="separate"/>
          </w:r>
          <w:r>
            <w:rPr>
              <w:kern w:val="44"/>
            </w:rPr>
            <w:t>附录A 《吊装令》示例</w:t>
          </w:r>
          <w:r>
            <w:tab/>
          </w:r>
          <w:r>
            <w:fldChar w:fldCharType="begin"/>
          </w:r>
          <w:r>
            <w:instrText xml:space="preserve"> PAGEREF _Toc28427 \h </w:instrText>
          </w:r>
          <w:r>
            <w:fldChar w:fldCharType="separate"/>
          </w:r>
          <w:r>
            <w:t>3</w:t>
          </w:r>
          <w:r>
            <w:fldChar w:fldCharType="end"/>
          </w:r>
          <w:r>
            <w:fldChar w:fldCharType="end"/>
          </w:r>
          <w:r>
            <w:rPr>
              <w:rFonts w:hint="eastAsia"/>
            </w:rPr>
            <w:t>9</w:t>
          </w:r>
        </w:p>
        <w:p>
          <w:pPr>
            <w:pStyle w:val="11"/>
            <w:tabs>
              <w:tab w:val="right" w:leader="dot" w:pos="8844"/>
            </w:tabs>
          </w:pPr>
          <w:r>
            <w:fldChar w:fldCharType="begin"/>
          </w:r>
          <w:r>
            <w:instrText xml:space="preserve"> HYPERLINK \l _Toc31826 </w:instrText>
          </w:r>
          <w:r>
            <w:fldChar w:fldCharType="separate"/>
          </w:r>
          <w:r>
            <w:rPr>
              <w:rFonts w:hint="eastAsia"/>
              <w:szCs w:val="28"/>
            </w:rPr>
            <w:t>本标准用词说明</w:t>
          </w:r>
          <w:r>
            <w:tab/>
          </w:r>
          <w:r>
            <w:fldChar w:fldCharType="end"/>
          </w:r>
          <w:r>
            <w:rPr>
              <w:rFonts w:hint="eastAsia"/>
            </w:rPr>
            <w:t>40</w:t>
          </w:r>
        </w:p>
        <w:p>
          <w:pPr>
            <w:pStyle w:val="11"/>
            <w:tabs>
              <w:tab w:val="right" w:leader="dot" w:pos="8844"/>
            </w:tabs>
          </w:pPr>
          <w:r>
            <w:fldChar w:fldCharType="begin"/>
          </w:r>
          <w:r>
            <w:instrText xml:space="preserve"> HYPERLINK \l _Toc2782 </w:instrText>
          </w:r>
          <w:r>
            <w:fldChar w:fldCharType="separate"/>
          </w:r>
          <w:r>
            <w:rPr>
              <w:rFonts w:hint="eastAsia"/>
            </w:rPr>
            <w:t>引用标准名录</w:t>
          </w:r>
          <w:r>
            <w:tab/>
          </w:r>
          <w:r>
            <w:fldChar w:fldCharType="end"/>
          </w:r>
          <w:r>
            <w:rPr>
              <w:rFonts w:hint="eastAsia"/>
            </w:rPr>
            <w:t>41</w:t>
          </w:r>
        </w:p>
        <w:p>
          <w:pPr>
            <w:pStyle w:val="11"/>
            <w:tabs>
              <w:tab w:val="right" w:leader="dot" w:pos="8844"/>
            </w:tabs>
          </w:pPr>
          <w:r>
            <w:fldChar w:fldCharType="begin"/>
          </w:r>
          <w:r>
            <w:instrText xml:space="preserve"> HYPERLINK \l _Toc12739 </w:instrText>
          </w:r>
          <w:r>
            <w:fldChar w:fldCharType="separate"/>
          </w:r>
          <w:r>
            <w:rPr>
              <w:rFonts w:hint="eastAsia" w:ascii="宋体" w:hAnsi="宋体" w:cs="宋体"/>
              <w:bCs/>
              <w:spacing w:val="20"/>
              <w:szCs w:val="28"/>
            </w:rPr>
            <w:t>条文说明</w:t>
          </w:r>
          <w:r>
            <w:tab/>
          </w:r>
          <w:r>
            <w:fldChar w:fldCharType="end"/>
          </w:r>
          <w:r>
            <w:rPr>
              <w:rFonts w:hint="eastAsia"/>
            </w:rPr>
            <w:t>42</w:t>
          </w:r>
        </w:p>
        <w:p>
          <w:pPr>
            <w:pStyle w:val="12"/>
            <w:tabs>
              <w:tab w:val="right" w:leader="dot" w:pos="8844"/>
            </w:tabs>
          </w:pPr>
        </w:p>
        <w:p>
          <w:r>
            <w:fldChar w:fldCharType="end"/>
          </w:r>
        </w:p>
      </w:sdtContent>
    </w:sdt>
    <w:p>
      <w:r>
        <w:br w:type="page"/>
      </w:r>
    </w:p>
    <w:p>
      <w:pPr>
        <w:jc w:val="center"/>
        <w:rPr>
          <w:sz w:val="28"/>
          <w:szCs w:val="28"/>
        </w:rPr>
      </w:pPr>
      <w:bookmarkStart w:id="0" w:name="_Toc15550"/>
      <w:bookmarkStart w:id="1" w:name="_Toc28189"/>
      <w:bookmarkStart w:id="2" w:name="_Toc11634"/>
      <w:bookmarkStart w:id="3" w:name="_Toc15875"/>
      <w:bookmarkStart w:id="4" w:name="_Toc14098"/>
      <w:bookmarkStart w:id="5" w:name="_Toc26971"/>
      <w:bookmarkStart w:id="6" w:name="_Toc4151"/>
      <w:bookmarkStart w:id="7" w:name="_Toc24532"/>
      <w:r>
        <w:rPr>
          <w:rFonts w:ascii="Times New Roman" w:hAnsi="Times New Roman" w:cs="Times New Roman"/>
          <w:sz w:val="28"/>
          <w:szCs w:val="28"/>
        </w:rPr>
        <w:t>Contents</w:t>
      </w:r>
    </w:p>
    <w:p>
      <w:pPr>
        <w:pStyle w:val="11"/>
        <w:tabs>
          <w:tab w:val="right" w:leader="dot" w:pos="8844"/>
        </w:tabs>
      </w:pPr>
      <w:r>
        <w:rPr>
          <w:rFonts w:hint="eastAsia"/>
        </w:rPr>
        <w:t>1 General Provisions</w:t>
      </w:r>
      <w:r>
        <w:tab/>
      </w:r>
      <w:r>
        <w:rPr>
          <w:rFonts w:hint="eastAsia"/>
        </w:rPr>
        <w:t>5</w:t>
      </w:r>
    </w:p>
    <w:p>
      <w:pPr>
        <w:pStyle w:val="11"/>
        <w:tabs>
          <w:tab w:val="right" w:leader="dot" w:pos="8844"/>
        </w:tabs>
      </w:pPr>
      <w:r>
        <w:rPr>
          <w:rFonts w:hint="eastAsia"/>
        </w:rPr>
        <w:t>2 Terms</w:t>
      </w:r>
      <w:r>
        <w:tab/>
      </w:r>
      <w:r>
        <w:t>6</w:t>
      </w:r>
    </w:p>
    <w:p>
      <w:pPr>
        <w:pStyle w:val="11"/>
        <w:tabs>
          <w:tab w:val="right" w:leader="dot" w:pos="8844"/>
        </w:tabs>
      </w:pPr>
      <w:r>
        <w:rPr>
          <w:rFonts w:hint="eastAsia"/>
        </w:rPr>
        <w:t>3 General Requirements</w:t>
      </w:r>
      <w:r>
        <w:tab/>
      </w:r>
      <w:r>
        <w:t>8</w:t>
      </w:r>
    </w:p>
    <w:p>
      <w:pPr>
        <w:pStyle w:val="11"/>
        <w:tabs>
          <w:tab w:val="right" w:leader="dot" w:pos="8844"/>
        </w:tabs>
      </w:pPr>
      <w:r>
        <w:rPr>
          <w:rFonts w:hint="eastAsia"/>
        </w:rPr>
        <w:t>4</w:t>
      </w:r>
      <w:r>
        <w:t xml:space="preserve"> </w:t>
      </w:r>
      <w:r>
        <w:rPr>
          <w:rFonts w:hint="eastAsia"/>
        </w:rPr>
        <w:t>Quality Management System</w:t>
      </w:r>
      <w:r>
        <w:tab/>
      </w:r>
      <w:r>
        <w:t>10</w:t>
      </w:r>
    </w:p>
    <w:p>
      <w:pPr>
        <w:pStyle w:val="12"/>
        <w:tabs>
          <w:tab w:val="right" w:leader="dot" w:pos="8844"/>
        </w:tabs>
      </w:pPr>
      <w:r>
        <w:rPr>
          <w:rFonts w:hint="eastAsia"/>
        </w:rPr>
        <w:t>4.1 Establishment of Quality Management System</w:t>
      </w:r>
      <w:r>
        <w:tab/>
      </w:r>
      <w:r>
        <w:t>10</w:t>
      </w:r>
    </w:p>
    <w:p>
      <w:pPr>
        <w:pStyle w:val="12"/>
        <w:tabs>
          <w:tab w:val="right" w:leader="dot" w:pos="8844"/>
        </w:tabs>
      </w:pPr>
      <w:r>
        <w:rPr>
          <w:rFonts w:hint="eastAsia"/>
        </w:rPr>
        <w:t xml:space="preserve">4.2 Manufacturing Capability Level Assessment &amp; </w:t>
      </w:r>
    </w:p>
    <w:p>
      <w:pPr>
        <w:pStyle w:val="12"/>
        <w:tabs>
          <w:tab w:val="left" w:pos="735"/>
          <w:tab w:val="right" w:leader="dot" w:pos="8844"/>
        </w:tabs>
      </w:pPr>
      <w:r>
        <w:rPr>
          <w:rFonts w:hint="eastAsia"/>
        </w:rPr>
        <w:tab/>
      </w:r>
      <w:r>
        <w:rPr>
          <w:rFonts w:hint="eastAsia"/>
        </w:rPr>
        <w:t>Resource Allocation Requirements for Prefabricated Components</w:t>
      </w:r>
      <w:r>
        <w:tab/>
      </w:r>
      <w:r>
        <w:t>10</w:t>
      </w:r>
    </w:p>
    <w:p>
      <w:pPr>
        <w:pStyle w:val="12"/>
        <w:tabs>
          <w:tab w:val="right" w:leader="dot" w:pos="8844"/>
        </w:tabs>
      </w:pPr>
      <w:r>
        <w:rPr>
          <w:rFonts w:hint="eastAsia"/>
        </w:rPr>
        <w:t xml:space="preserve">4.3 Installation Capacity &amp; Resource Allocation Requirements </w:t>
      </w:r>
    </w:p>
    <w:p>
      <w:pPr>
        <w:pStyle w:val="12"/>
        <w:tabs>
          <w:tab w:val="left" w:pos="735"/>
          <w:tab w:val="right" w:leader="dot" w:pos="8844"/>
        </w:tabs>
      </w:pPr>
      <w:r>
        <w:rPr>
          <w:rFonts w:hint="eastAsia"/>
        </w:rPr>
        <w:tab/>
      </w:r>
      <w:r>
        <w:rPr>
          <w:rFonts w:hint="eastAsia"/>
        </w:rPr>
        <w:t>for Prefabricated Components</w:t>
      </w:r>
      <w:r>
        <w:rPr>
          <w:rFonts w:hint="eastAsia"/>
        </w:rPr>
        <w:tab/>
      </w:r>
      <w:r>
        <w:rPr>
          <w:rFonts w:hint="eastAsia"/>
        </w:rPr>
        <w:t>17</w:t>
      </w:r>
    </w:p>
    <w:p>
      <w:pPr>
        <w:pStyle w:val="11"/>
        <w:tabs>
          <w:tab w:val="right" w:leader="dot" w:pos="8844"/>
        </w:tabs>
      </w:pPr>
      <w:r>
        <w:rPr>
          <w:rFonts w:hint="eastAsia"/>
        </w:rPr>
        <w:t>5 Production Quality Management</w:t>
      </w:r>
      <w:r>
        <w:tab/>
      </w:r>
      <w:r>
        <w:t>1</w:t>
      </w:r>
      <w:r>
        <w:rPr>
          <w:rFonts w:hint="eastAsia"/>
        </w:rPr>
        <w:t>8</w:t>
      </w:r>
    </w:p>
    <w:p>
      <w:pPr>
        <w:pStyle w:val="12"/>
        <w:tabs>
          <w:tab w:val="right" w:leader="dot" w:pos="8844"/>
        </w:tabs>
      </w:pPr>
      <w:r>
        <w:rPr>
          <w:rFonts w:hint="eastAsia"/>
        </w:rPr>
        <w:t>5.1 Production Technology Preparation</w:t>
      </w:r>
      <w:r>
        <w:tab/>
      </w:r>
      <w:r>
        <w:t>1</w:t>
      </w:r>
      <w:r>
        <w:rPr>
          <w:rFonts w:hint="eastAsia"/>
        </w:rPr>
        <w:t>8</w:t>
      </w:r>
    </w:p>
    <w:p>
      <w:pPr>
        <w:pStyle w:val="12"/>
        <w:tabs>
          <w:tab w:val="right" w:leader="dot" w:pos="8844"/>
        </w:tabs>
      </w:pPr>
      <w:r>
        <w:rPr>
          <w:rFonts w:hint="eastAsia"/>
        </w:rPr>
        <w:t>5.2 Mold Quality Management</w:t>
      </w:r>
      <w:r>
        <w:tab/>
      </w:r>
      <w:r>
        <w:t>1</w:t>
      </w:r>
      <w:r>
        <w:rPr>
          <w:rFonts w:hint="eastAsia"/>
        </w:rPr>
        <w:t>9</w:t>
      </w:r>
    </w:p>
    <w:p>
      <w:pPr>
        <w:pStyle w:val="12"/>
        <w:tabs>
          <w:tab w:val="right" w:leader="dot" w:pos="8844"/>
        </w:tabs>
      </w:pPr>
      <w:r>
        <w:rPr>
          <w:rFonts w:hint="eastAsia"/>
        </w:rPr>
        <w:t>5</w:t>
      </w:r>
      <w:r>
        <w:t>.3</w:t>
      </w:r>
      <w:r>
        <w:rPr>
          <w:rFonts w:hint="eastAsia"/>
        </w:rPr>
        <w:t xml:space="preserve"> Material Quality Management</w:t>
      </w:r>
      <w:r>
        <w:tab/>
      </w:r>
      <w:r>
        <w:rPr>
          <w:rFonts w:hint="eastAsia"/>
        </w:rPr>
        <w:t>20</w:t>
      </w:r>
    </w:p>
    <w:p>
      <w:pPr>
        <w:pStyle w:val="12"/>
        <w:tabs>
          <w:tab w:val="right" w:leader="dot" w:pos="8844"/>
        </w:tabs>
      </w:pPr>
      <w:r>
        <w:rPr>
          <w:rFonts w:hint="eastAsia"/>
        </w:rPr>
        <w:t>5</w:t>
      </w:r>
      <w:r>
        <w:t>.4</w:t>
      </w:r>
      <w:r>
        <w:rPr>
          <w:rFonts w:hint="eastAsia"/>
        </w:rPr>
        <w:t xml:space="preserve"> Production Operation Quality Management</w:t>
      </w:r>
      <w:r>
        <w:tab/>
      </w:r>
      <w:r>
        <w:rPr>
          <w:rFonts w:hint="eastAsia"/>
        </w:rPr>
        <w:t>21</w:t>
      </w:r>
    </w:p>
    <w:p>
      <w:pPr>
        <w:pStyle w:val="12"/>
        <w:tabs>
          <w:tab w:val="right" w:leader="dot" w:pos="8844"/>
        </w:tabs>
      </w:pPr>
      <w:r>
        <w:rPr>
          <w:rFonts w:hint="eastAsia"/>
        </w:rPr>
        <w:t>5</w:t>
      </w:r>
      <w:r>
        <w:t>.5</w:t>
      </w:r>
      <w:r>
        <w:rPr>
          <w:rFonts w:hint="eastAsia"/>
        </w:rPr>
        <w:t xml:space="preserve"> Storage and Transportation Management</w:t>
      </w:r>
      <w:r>
        <w:tab/>
      </w:r>
      <w:r>
        <w:rPr>
          <w:rFonts w:hint="eastAsia"/>
        </w:rPr>
        <w:t>23</w:t>
      </w:r>
    </w:p>
    <w:p>
      <w:pPr>
        <w:pStyle w:val="12"/>
        <w:tabs>
          <w:tab w:val="right" w:leader="dot" w:pos="8844"/>
        </w:tabs>
      </w:pPr>
      <w:r>
        <w:rPr>
          <w:rFonts w:hint="eastAsia"/>
        </w:rPr>
        <w:t>5</w:t>
      </w:r>
      <w:r>
        <w:t>.6</w:t>
      </w:r>
      <w:r>
        <w:rPr>
          <w:rFonts w:hint="eastAsia"/>
        </w:rPr>
        <w:t xml:space="preserve"> Test Inspection and Acceptance Management</w:t>
      </w:r>
      <w:r>
        <w:tab/>
      </w:r>
      <w:r>
        <w:t>2</w:t>
      </w:r>
      <w:r>
        <w:rPr>
          <w:rFonts w:hint="eastAsia"/>
        </w:rPr>
        <w:t>4</w:t>
      </w:r>
    </w:p>
    <w:p>
      <w:pPr>
        <w:pStyle w:val="12"/>
        <w:tabs>
          <w:tab w:val="right" w:leader="dot" w:pos="8844"/>
        </w:tabs>
      </w:pPr>
      <w:r>
        <w:rPr>
          <w:rFonts w:hint="eastAsia"/>
        </w:rPr>
        <w:t>5</w:t>
      </w:r>
      <w:r>
        <w:t>.7</w:t>
      </w:r>
      <w:r>
        <w:rPr>
          <w:rFonts w:hint="eastAsia"/>
        </w:rPr>
        <w:t xml:space="preserve"> Management of Non-conforming Products</w:t>
      </w:r>
      <w:r>
        <w:tab/>
      </w:r>
      <w:r>
        <w:t>2</w:t>
      </w:r>
      <w:r>
        <w:rPr>
          <w:rFonts w:hint="eastAsia"/>
        </w:rPr>
        <w:t>5</w:t>
      </w:r>
    </w:p>
    <w:p>
      <w:pPr>
        <w:pStyle w:val="12"/>
        <w:tabs>
          <w:tab w:val="right" w:leader="dot" w:pos="8844"/>
        </w:tabs>
      </w:pPr>
      <w:r>
        <w:rPr>
          <w:rFonts w:hint="eastAsia"/>
        </w:rPr>
        <w:t>5</w:t>
      </w:r>
      <w:r>
        <w:t>.8</w:t>
      </w:r>
      <w:r>
        <w:rPr>
          <w:rFonts w:hint="eastAsia"/>
        </w:rPr>
        <w:t xml:space="preserve"> Quality Analysis and Continuous Follow-up</w:t>
      </w:r>
      <w:r>
        <w:tab/>
      </w:r>
      <w:r>
        <w:t>2</w:t>
      </w:r>
      <w:r>
        <w:rPr>
          <w:rFonts w:hint="eastAsia"/>
        </w:rPr>
        <w:t>5</w:t>
      </w:r>
    </w:p>
    <w:p>
      <w:pPr>
        <w:pStyle w:val="11"/>
        <w:tabs>
          <w:tab w:val="right" w:leader="dot" w:pos="8844"/>
        </w:tabs>
      </w:pPr>
      <w:r>
        <w:rPr>
          <w:rFonts w:hint="eastAsia"/>
        </w:rPr>
        <w:t>6 Transportation Quality Management</w:t>
      </w:r>
      <w:r>
        <w:tab/>
      </w:r>
      <w:r>
        <w:t>2</w:t>
      </w:r>
      <w:r>
        <w:rPr>
          <w:rFonts w:hint="eastAsia"/>
        </w:rPr>
        <w:t>7</w:t>
      </w:r>
    </w:p>
    <w:p>
      <w:pPr>
        <w:pStyle w:val="12"/>
        <w:tabs>
          <w:tab w:val="right" w:leader="dot" w:pos="8844"/>
        </w:tabs>
      </w:pPr>
      <w:r>
        <w:rPr>
          <w:rFonts w:hint="eastAsia"/>
        </w:rPr>
        <w:t>6.1 Loading Quality Management</w:t>
      </w:r>
      <w:r>
        <w:tab/>
      </w:r>
      <w:r>
        <w:t>2</w:t>
      </w:r>
      <w:r>
        <w:rPr>
          <w:rFonts w:hint="eastAsia"/>
        </w:rPr>
        <w:t>7</w:t>
      </w:r>
    </w:p>
    <w:p>
      <w:pPr>
        <w:pStyle w:val="12"/>
        <w:tabs>
          <w:tab w:val="right" w:leader="dot" w:pos="8844"/>
        </w:tabs>
      </w:pPr>
      <w:r>
        <w:rPr>
          <w:rFonts w:hint="eastAsia"/>
        </w:rPr>
        <w:t>6.2 Road Transport Quality Management</w:t>
      </w:r>
      <w:r>
        <w:tab/>
      </w:r>
      <w:r>
        <w:t>2</w:t>
      </w:r>
      <w:r>
        <w:rPr>
          <w:rFonts w:hint="eastAsia"/>
        </w:rPr>
        <w:t>7</w:t>
      </w:r>
    </w:p>
    <w:p>
      <w:pPr>
        <w:pStyle w:val="12"/>
        <w:tabs>
          <w:tab w:val="right" w:leader="dot" w:pos="8844"/>
        </w:tabs>
      </w:pPr>
      <w:r>
        <w:rPr>
          <w:rFonts w:hint="eastAsia"/>
        </w:rPr>
        <w:t>6.3 Unloading Quality Management</w:t>
      </w:r>
      <w:r>
        <w:tab/>
      </w:r>
      <w:r>
        <w:t>2</w:t>
      </w:r>
      <w:r>
        <w:rPr>
          <w:rFonts w:hint="eastAsia"/>
        </w:rPr>
        <w:t>8</w:t>
      </w:r>
    </w:p>
    <w:p>
      <w:pPr>
        <w:pStyle w:val="11"/>
        <w:tabs>
          <w:tab w:val="right" w:leader="dot" w:pos="8844"/>
        </w:tabs>
      </w:pPr>
      <w:r>
        <w:rPr>
          <w:rFonts w:hint="eastAsia"/>
        </w:rPr>
        <w:t>7 Installation Quality Management</w:t>
      </w:r>
      <w:r>
        <w:tab/>
      </w:r>
      <w:r>
        <w:t>2</w:t>
      </w:r>
      <w:r>
        <w:rPr>
          <w:rFonts w:hint="eastAsia"/>
        </w:rPr>
        <w:t>9</w:t>
      </w:r>
    </w:p>
    <w:p>
      <w:pPr>
        <w:pStyle w:val="12"/>
        <w:tabs>
          <w:tab w:val="right" w:leader="dot" w:pos="8844"/>
        </w:tabs>
      </w:pPr>
      <w:r>
        <w:rPr>
          <w:rFonts w:hint="eastAsia"/>
        </w:rPr>
        <w:t>7.1 Installation Technology Preparation</w:t>
      </w:r>
      <w:r>
        <w:tab/>
      </w:r>
      <w:r>
        <w:t>2</w:t>
      </w:r>
      <w:r>
        <w:rPr>
          <w:rFonts w:hint="eastAsia"/>
        </w:rPr>
        <w:t>9</w:t>
      </w:r>
    </w:p>
    <w:p>
      <w:pPr>
        <w:pStyle w:val="12"/>
        <w:tabs>
          <w:tab w:val="right" w:leader="dot" w:pos="8844"/>
        </w:tabs>
      </w:pPr>
      <w:r>
        <w:rPr>
          <w:rFonts w:hint="eastAsia"/>
        </w:rPr>
        <w:t>7.2 Installation Tools and Device Management</w:t>
      </w:r>
      <w:r>
        <w:tab/>
      </w:r>
      <w:r>
        <w:t>2</w:t>
      </w:r>
      <w:r>
        <w:rPr>
          <w:rFonts w:hint="eastAsia"/>
        </w:rPr>
        <w:t>9</w:t>
      </w:r>
    </w:p>
    <w:p>
      <w:pPr>
        <w:pStyle w:val="12"/>
        <w:tabs>
          <w:tab w:val="right" w:leader="dot" w:pos="8844"/>
        </w:tabs>
      </w:pPr>
      <w:r>
        <w:rPr>
          <w:rFonts w:hint="eastAsia"/>
        </w:rPr>
        <w:t>7.3 Material Quality Management</w:t>
      </w:r>
      <w:r>
        <w:tab/>
      </w:r>
      <w:r>
        <w:rPr>
          <w:rFonts w:hint="eastAsia"/>
        </w:rPr>
        <w:t>30</w:t>
      </w:r>
    </w:p>
    <w:p>
      <w:pPr>
        <w:pStyle w:val="12"/>
        <w:tabs>
          <w:tab w:val="right" w:leader="dot" w:pos="8844"/>
        </w:tabs>
      </w:pPr>
      <w:r>
        <w:rPr>
          <w:rFonts w:hint="eastAsia"/>
        </w:rPr>
        <w:t>7.4 Temporary Storage Management</w:t>
      </w:r>
      <w:r>
        <w:tab/>
      </w:r>
      <w:r>
        <w:rPr>
          <w:rFonts w:hint="eastAsia"/>
        </w:rPr>
        <w:t>30</w:t>
      </w:r>
    </w:p>
    <w:p>
      <w:pPr>
        <w:pStyle w:val="12"/>
        <w:tabs>
          <w:tab w:val="right" w:leader="dot" w:pos="8844"/>
        </w:tabs>
      </w:pPr>
      <w:r>
        <w:rPr>
          <w:rFonts w:hint="eastAsia"/>
        </w:rPr>
        <w:t>7.5 Installation Operation Quality Management</w:t>
      </w:r>
      <w:r>
        <w:tab/>
      </w:r>
      <w:r>
        <w:rPr>
          <w:rFonts w:hint="eastAsia"/>
        </w:rPr>
        <w:t>31</w:t>
      </w:r>
    </w:p>
    <w:p>
      <w:pPr>
        <w:pStyle w:val="12"/>
        <w:tabs>
          <w:tab w:val="right" w:leader="dot" w:pos="8844"/>
        </w:tabs>
      </w:pPr>
      <w:r>
        <w:rPr>
          <w:rFonts w:hint="eastAsia"/>
        </w:rPr>
        <w:t>7.6 Test Inspection and Acceptance Management</w:t>
      </w:r>
      <w:r>
        <w:tab/>
      </w:r>
      <w:r>
        <w:rPr>
          <w:rFonts w:hint="eastAsia"/>
        </w:rPr>
        <w:t>32</w:t>
      </w:r>
    </w:p>
    <w:p>
      <w:pPr>
        <w:pStyle w:val="12"/>
        <w:tabs>
          <w:tab w:val="right" w:leader="dot" w:pos="8844"/>
        </w:tabs>
      </w:pPr>
      <w:r>
        <w:rPr>
          <w:rFonts w:hint="eastAsia"/>
        </w:rPr>
        <w:t>7.7 Management of Non-conforming Products</w:t>
      </w:r>
      <w:r>
        <w:tab/>
      </w:r>
      <w:r>
        <w:rPr>
          <w:rFonts w:hint="eastAsia"/>
        </w:rPr>
        <w:t>33</w:t>
      </w:r>
    </w:p>
    <w:p>
      <w:pPr>
        <w:pStyle w:val="12"/>
        <w:tabs>
          <w:tab w:val="right" w:leader="dot" w:pos="8844"/>
        </w:tabs>
      </w:pPr>
      <w:r>
        <w:rPr>
          <w:rFonts w:hint="eastAsia"/>
        </w:rPr>
        <w:t>7.8 Quality Analysis and Continuous Follow-up</w:t>
      </w:r>
      <w:r>
        <w:tab/>
      </w:r>
      <w:r>
        <w:rPr>
          <w:rFonts w:hint="eastAsia"/>
        </w:rPr>
        <w:t>33</w:t>
      </w:r>
    </w:p>
    <w:p>
      <w:pPr>
        <w:pStyle w:val="11"/>
        <w:tabs>
          <w:tab w:val="right" w:leader="dot" w:pos="8844"/>
        </w:tabs>
      </w:pPr>
      <w:r>
        <w:rPr>
          <w:rFonts w:hint="eastAsia"/>
        </w:rPr>
        <w:t>8 Quality Traceability Management</w:t>
      </w:r>
      <w:r>
        <w:tab/>
      </w:r>
      <w:r>
        <w:t>3</w:t>
      </w:r>
      <w:r>
        <w:rPr>
          <w:rFonts w:hint="eastAsia"/>
        </w:rPr>
        <w:t>4</w:t>
      </w:r>
    </w:p>
    <w:p>
      <w:pPr>
        <w:pStyle w:val="12"/>
        <w:tabs>
          <w:tab w:val="right" w:leader="dot" w:pos="8844"/>
        </w:tabs>
      </w:pPr>
      <w:r>
        <w:rPr>
          <w:rFonts w:hint="eastAsia"/>
        </w:rPr>
        <w:t>8.1 Data Management</w:t>
      </w:r>
      <w:r>
        <w:tab/>
      </w:r>
      <w:r>
        <w:t>3</w:t>
      </w:r>
      <w:r>
        <w:rPr>
          <w:rFonts w:hint="eastAsia"/>
        </w:rPr>
        <w:t>4</w:t>
      </w:r>
    </w:p>
    <w:p>
      <w:pPr>
        <w:pStyle w:val="12"/>
        <w:tabs>
          <w:tab w:val="right" w:leader="dot" w:pos="8844"/>
        </w:tabs>
      </w:pPr>
      <w:r>
        <w:rPr>
          <w:rFonts w:hint="eastAsia"/>
        </w:rPr>
        <w:t>8.2 Identity Management</w:t>
      </w:r>
      <w:r>
        <w:tab/>
      </w:r>
      <w:r>
        <w:t>3</w:t>
      </w:r>
      <w:r>
        <w:rPr>
          <w:rFonts w:hint="eastAsia"/>
        </w:rPr>
        <w:t>6</w:t>
      </w:r>
    </w:p>
    <w:p>
      <w:pPr>
        <w:pStyle w:val="12"/>
        <w:tabs>
          <w:tab w:val="right" w:leader="dot" w:pos="8844"/>
        </w:tabs>
      </w:pPr>
      <w:r>
        <w:rPr>
          <w:rFonts w:hint="eastAsia"/>
        </w:rPr>
        <w:t>8.3 Informatization Management</w:t>
      </w:r>
      <w:r>
        <w:tab/>
      </w:r>
      <w:r>
        <w:t>3</w:t>
      </w:r>
      <w:r>
        <w:rPr>
          <w:rFonts w:hint="eastAsia"/>
        </w:rPr>
        <w:t>7</w:t>
      </w:r>
    </w:p>
    <w:p>
      <w:pPr>
        <w:pStyle w:val="12"/>
        <w:tabs>
          <w:tab w:val="right" w:leader="dot" w:pos="8844"/>
        </w:tabs>
        <w:ind w:left="0" w:leftChars="0"/>
      </w:pPr>
      <w:r>
        <w:rPr>
          <w:rFonts w:hint="eastAsia"/>
        </w:rPr>
        <w:t>Appendix A</w:t>
      </w:r>
      <w:r>
        <w:rPr>
          <w:rFonts w:hint="eastAsia"/>
          <w:kern w:val="44"/>
        </w:rPr>
        <w:t xml:space="preserve"> </w:t>
      </w:r>
      <w:r>
        <w:rPr>
          <w:kern w:val="44"/>
        </w:rPr>
        <w:t>Example of 《Hoisting Order》</w:t>
      </w:r>
      <w:r>
        <w:tab/>
      </w:r>
      <w:r>
        <w:t>3</w:t>
      </w:r>
      <w:r>
        <w:rPr>
          <w:rFonts w:hint="eastAsia"/>
        </w:rPr>
        <w:t>9</w:t>
      </w:r>
    </w:p>
    <w:p>
      <w:pPr>
        <w:pStyle w:val="11"/>
        <w:tabs>
          <w:tab w:val="right" w:leader="dot" w:pos="8844"/>
        </w:tabs>
      </w:pPr>
      <w:r>
        <w:rPr>
          <w:rFonts w:hint="eastAsia"/>
        </w:rPr>
        <w:t>Explanation of Wording in This Standard</w:t>
      </w:r>
      <w:r>
        <w:tab/>
      </w:r>
      <w:r>
        <w:rPr>
          <w:rFonts w:hint="eastAsia"/>
        </w:rPr>
        <w:t>40</w:t>
      </w:r>
    </w:p>
    <w:p>
      <w:pPr>
        <w:pStyle w:val="11"/>
        <w:tabs>
          <w:tab w:val="right" w:leader="dot" w:pos="8844"/>
        </w:tabs>
      </w:pPr>
      <w:r>
        <w:rPr>
          <w:rFonts w:hint="eastAsia"/>
        </w:rPr>
        <w:t>List of Quoted Standards</w:t>
      </w:r>
      <w:r>
        <w:tab/>
      </w:r>
      <w:r>
        <w:rPr>
          <w:rFonts w:hint="eastAsia"/>
        </w:rPr>
        <w:t>41</w:t>
      </w:r>
    </w:p>
    <w:p>
      <w:pPr>
        <w:pStyle w:val="11"/>
        <w:tabs>
          <w:tab w:val="right" w:leader="dot" w:pos="8844"/>
        </w:tabs>
      </w:pPr>
      <w:r>
        <w:rPr>
          <w:rFonts w:hint="eastAsia"/>
        </w:rPr>
        <w:t>Explanation of Provisions</w:t>
      </w:r>
      <w:r>
        <w:tab/>
      </w:r>
      <w:r>
        <w:rPr>
          <w:rFonts w:hint="eastAsia"/>
        </w:rPr>
        <w:t>42</w:t>
      </w:r>
    </w:p>
    <w:p>
      <w:r>
        <w:rPr>
          <w:rFonts w:hint="eastAsia"/>
        </w:rPr>
        <w:br w:type="page"/>
      </w:r>
    </w:p>
    <w:p>
      <w:pPr>
        <w:pStyle w:val="2"/>
        <w:spacing w:before="312" w:after="312"/>
      </w:pPr>
      <w:bookmarkStart w:id="8" w:name="_Toc23651"/>
      <w:bookmarkStart w:id="9" w:name="_Toc16379"/>
      <w:bookmarkStart w:id="10" w:name="_Toc30083"/>
      <w:bookmarkStart w:id="11" w:name="_Toc22579"/>
      <w:bookmarkStart w:id="12" w:name="_Toc22588"/>
      <w:r>
        <w:rPr>
          <w:rFonts w:hint="eastAsia"/>
        </w:rPr>
        <w:t xml:space="preserve">1 </w:t>
      </w:r>
      <w:bookmarkEnd w:id="0"/>
      <w:bookmarkEnd w:id="1"/>
      <w:r>
        <w:rPr>
          <w:rFonts w:hint="eastAsia"/>
        </w:rPr>
        <w:t>总则</w:t>
      </w:r>
      <w:bookmarkEnd w:id="2"/>
      <w:bookmarkEnd w:id="3"/>
      <w:bookmarkEnd w:id="4"/>
      <w:bookmarkEnd w:id="5"/>
      <w:bookmarkEnd w:id="6"/>
      <w:bookmarkEnd w:id="7"/>
      <w:bookmarkEnd w:id="8"/>
      <w:bookmarkEnd w:id="9"/>
      <w:bookmarkEnd w:id="10"/>
      <w:bookmarkEnd w:id="11"/>
      <w:bookmarkEnd w:id="12"/>
    </w:p>
    <w:p>
      <w:pPr>
        <w:pStyle w:val="20"/>
      </w:pPr>
      <w:r>
        <w:rPr>
          <w:rFonts w:hint="eastAsia"/>
          <w:b/>
          <w:bCs/>
        </w:rPr>
        <w:t>1.0.1</w:t>
      </w:r>
      <w:r>
        <w:rPr>
          <w:rFonts w:hint="eastAsia"/>
        </w:rPr>
        <w:t xml:space="preserve"> 为加强对海南省预制混凝土构件生产、运输和安装过程的质量管理，提高建设工程质量，推动装配式建筑高质量发展，按照安全、适用、经济、高效的原则，制定本标准。</w:t>
      </w:r>
    </w:p>
    <w:p>
      <w:pPr>
        <w:pStyle w:val="20"/>
      </w:pPr>
      <w:r>
        <w:rPr>
          <w:rFonts w:hint="eastAsia"/>
          <w:b/>
          <w:bCs/>
        </w:rPr>
        <w:t>1.0.2</w:t>
      </w:r>
      <w:r>
        <w:rPr>
          <w:rFonts w:hint="eastAsia"/>
        </w:rPr>
        <w:t xml:space="preserve"> 本标准适用于海南省行政区划范围内装配</w:t>
      </w:r>
      <w:bookmarkStart w:id="939" w:name="_GoBack"/>
      <w:bookmarkEnd w:id="939"/>
      <w:r>
        <w:rPr>
          <w:rFonts w:hint="eastAsia"/>
        </w:rPr>
        <w:t>式建筑预制混凝土构件的生产、运输、安装的质量管理。</w:t>
      </w:r>
    </w:p>
    <w:p>
      <w:pPr>
        <w:pStyle w:val="20"/>
      </w:pPr>
      <w:r>
        <w:rPr>
          <w:rFonts w:hint="eastAsia"/>
          <w:b/>
          <w:bCs/>
        </w:rPr>
        <w:t>1.0.</w:t>
      </w:r>
      <w:r>
        <w:rPr>
          <w:b/>
          <w:bCs/>
        </w:rPr>
        <w:t>3</w:t>
      </w:r>
      <w:r>
        <w:rPr>
          <w:rFonts w:hint="eastAsia"/>
          <w:b/>
          <w:bCs/>
        </w:rPr>
        <w:t xml:space="preserve"> </w:t>
      </w:r>
      <w:r>
        <w:rPr>
          <w:rFonts w:hint="eastAsia"/>
        </w:rPr>
        <w:t>装配式建筑预制混凝土构件的质量管理除应执行本标准外，尚应遵守现行国家、行业、地方有关标准的规定。</w:t>
      </w:r>
      <w:r>
        <w:rPr>
          <w:rFonts w:hint="eastAsia"/>
        </w:rPr>
        <w:br w:type="page"/>
      </w:r>
    </w:p>
    <w:p>
      <w:pPr>
        <w:pStyle w:val="2"/>
        <w:spacing w:before="312" w:after="312"/>
      </w:pPr>
      <w:bookmarkStart w:id="13" w:name="_Toc647"/>
      <w:bookmarkStart w:id="14" w:name="_Toc8916"/>
      <w:bookmarkStart w:id="15" w:name="_Toc4147"/>
      <w:bookmarkStart w:id="16" w:name="_Toc14037"/>
      <w:bookmarkStart w:id="17" w:name="_Toc11367"/>
      <w:bookmarkStart w:id="18" w:name="_Toc19057"/>
      <w:bookmarkStart w:id="19" w:name="_Toc7129"/>
      <w:bookmarkStart w:id="20" w:name="_Toc7107"/>
      <w:bookmarkStart w:id="21" w:name="_Toc747"/>
      <w:bookmarkStart w:id="22" w:name="_Toc27824"/>
      <w:bookmarkStart w:id="23" w:name="_Toc7915"/>
      <w:bookmarkStart w:id="24" w:name="_Toc30815"/>
      <w:bookmarkStart w:id="25" w:name="_Toc6332"/>
      <w:r>
        <w:rPr>
          <w:rFonts w:hint="eastAsia"/>
        </w:rPr>
        <w:t>2 术语</w:t>
      </w:r>
      <w:bookmarkEnd w:id="13"/>
      <w:bookmarkEnd w:id="14"/>
      <w:bookmarkEnd w:id="15"/>
      <w:bookmarkEnd w:id="16"/>
      <w:bookmarkEnd w:id="17"/>
      <w:bookmarkEnd w:id="18"/>
      <w:bookmarkEnd w:id="19"/>
      <w:bookmarkEnd w:id="20"/>
      <w:bookmarkEnd w:id="21"/>
      <w:bookmarkEnd w:id="22"/>
      <w:bookmarkEnd w:id="23"/>
      <w:bookmarkEnd w:id="24"/>
      <w:bookmarkEnd w:id="25"/>
    </w:p>
    <w:p>
      <w:pPr>
        <w:pStyle w:val="20"/>
      </w:pPr>
      <w:r>
        <w:rPr>
          <w:rFonts w:hint="eastAsia"/>
          <w:b/>
          <w:bCs/>
        </w:rPr>
        <w:t xml:space="preserve">2.0.1 </w:t>
      </w:r>
      <w:r>
        <w:rPr>
          <w:rFonts w:hint="eastAsia"/>
        </w:rPr>
        <w:t>装配式混凝土建筑 assembled building with concrete structure</w:t>
      </w:r>
    </w:p>
    <w:p>
      <w:pPr>
        <w:pStyle w:val="20"/>
        <w:ind w:firstLine="480" w:firstLineChars="200"/>
      </w:pPr>
      <w:r>
        <w:rPr>
          <w:rFonts w:hint="eastAsia"/>
        </w:rPr>
        <w:t>建筑的结构系统由混凝土部件（预制构件）构成的装配式建筑。</w:t>
      </w:r>
    </w:p>
    <w:p>
      <w:pPr>
        <w:pStyle w:val="20"/>
      </w:pPr>
      <w:r>
        <w:rPr>
          <w:rFonts w:hint="eastAsia"/>
          <w:b/>
          <w:bCs/>
        </w:rPr>
        <w:t>2.0.2</w:t>
      </w:r>
      <w:r>
        <w:rPr>
          <w:rFonts w:hint="eastAsia"/>
        </w:rPr>
        <w:t xml:space="preserve"> 预制混凝土构件  precast concrete component</w:t>
      </w:r>
    </w:p>
    <w:p>
      <w:pPr>
        <w:pStyle w:val="20"/>
        <w:ind w:firstLine="480" w:firstLineChars="200"/>
      </w:pPr>
      <w:r>
        <w:rPr>
          <w:rFonts w:hint="eastAsia"/>
        </w:rPr>
        <w:t>在工厂或现场预先生产制作的混凝土构件，简称预制构件。</w:t>
      </w:r>
    </w:p>
    <w:p>
      <w:pPr>
        <w:pStyle w:val="20"/>
      </w:pPr>
      <w:r>
        <w:rPr>
          <w:rFonts w:hint="eastAsia"/>
          <w:b/>
          <w:bCs/>
        </w:rPr>
        <w:t xml:space="preserve">2.0.3 </w:t>
      </w:r>
      <w:r>
        <w:rPr>
          <w:rFonts w:hint="eastAsia"/>
        </w:rPr>
        <w:t>质量管理 quality management</w:t>
      </w:r>
    </w:p>
    <w:p>
      <w:pPr>
        <w:pStyle w:val="20"/>
        <w:ind w:firstLine="480" w:firstLineChars="200"/>
      </w:pPr>
      <w:r>
        <w:rPr>
          <w:rFonts w:hint="eastAsia"/>
        </w:rPr>
        <w:t>是确保组织、产品或服务品质与一致性的方法和实践。</w:t>
      </w:r>
    </w:p>
    <w:p>
      <w:pPr>
        <w:pStyle w:val="20"/>
      </w:pPr>
      <w:r>
        <w:rPr>
          <w:rFonts w:hint="eastAsia"/>
          <w:b/>
          <w:bCs/>
        </w:rPr>
        <w:t xml:space="preserve">2.0.4 </w:t>
      </w:r>
      <w:r>
        <w:rPr>
          <w:rFonts w:hint="eastAsia"/>
        </w:rPr>
        <w:t>质量管理体系 quality management system</w:t>
      </w:r>
    </w:p>
    <w:p>
      <w:pPr>
        <w:pStyle w:val="20"/>
        <w:ind w:firstLine="480" w:firstLineChars="200"/>
      </w:pPr>
      <w:r>
        <w:rPr>
          <w:rFonts w:hint="eastAsia"/>
        </w:rPr>
        <w:t>指在质量方面指挥和控制组织的管理体系，是组织内部建立的、为实现质量目标所必须的、系统的质量管理模式，是组织的一项战略决策。</w:t>
      </w:r>
    </w:p>
    <w:p>
      <w:pPr>
        <w:pStyle w:val="20"/>
      </w:pPr>
      <w:r>
        <w:rPr>
          <w:rFonts w:hint="eastAsia"/>
          <w:b/>
          <w:bCs/>
        </w:rPr>
        <w:t>2.0.5</w:t>
      </w:r>
      <w:r>
        <w:rPr>
          <w:rFonts w:hint="eastAsia"/>
        </w:rPr>
        <w:t xml:space="preserve"> 一般缺陷 common defect</w:t>
      </w:r>
    </w:p>
    <w:p>
      <w:pPr>
        <w:pStyle w:val="22"/>
        <w:ind w:firstLine="480"/>
      </w:pPr>
      <w:r>
        <w:rPr>
          <w:rFonts w:hint="eastAsia"/>
        </w:rPr>
        <w:t>对结构构件的受力性能、耐久性能或安装、使用功能无决定性影响的缺陷。</w:t>
      </w:r>
    </w:p>
    <w:p>
      <w:pPr>
        <w:pStyle w:val="20"/>
      </w:pPr>
      <w:r>
        <w:rPr>
          <w:rFonts w:hint="eastAsia"/>
          <w:b/>
          <w:bCs/>
        </w:rPr>
        <w:t>2.0.6</w:t>
      </w:r>
      <w:r>
        <w:rPr>
          <w:rFonts w:hint="eastAsia"/>
        </w:rPr>
        <w:t xml:space="preserve"> 严重缺陷 serious defect </w:t>
      </w:r>
    </w:p>
    <w:p>
      <w:pPr>
        <w:pStyle w:val="22"/>
        <w:ind w:firstLine="480"/>
      </w:pPr>
      <w:r>
        <w:rPr>
          <w:rFonts w:hint="eastAsia"/>
        </w:rPr>
        <w:t>对结构构件的受力性能、耐久性能或安装、使用功能有决定性影响的缺陷。</w:t>
      </w:r>
    </w:p>
    <w:p>
      <w:pPr>
        <w:pStyle w:val="20"/>
      </w:pPr>
      <w:r>
        <w:rPr>
          <w:rFonts w:hint="eastAsia"/>
          <w:b/>
          <w:bCs/>
        </w:rPr>
        <w:t xml:space="preserve">2.0.7 </w:t>
      </w:r>
      <w:r>
        <w:rPr>
          <w:rFonts w:hint="eastAsia"/>
        </w:rPr>
        <w:t>检验 inspection</w:t>
      </w:r>
    </w:p>
    <w:p>
      <w:pPr>
        <w:pStyle w:val="22"/>
        <w:ind w:firstLine="480"/>
      </w:pPr>
      <w:r>
        <w:rPr>
          <w:rFonts w:hint="eastAsia"/>
        </w:rPr>
        <w:t>对被检验项目的特征、性能进行量测、检查、试验等，并将结果与标准规定的要求进行比较，以确定项目每项性能是否合格的活动。</w:t>
      </w:r>
    </w:p>
    <w:p>
      <w:pPr>
        <w:pStyle w:val="20"/>
      </w:pPr>
      <w:r>
        <w:rPr>
          <w:rFonts w:hint="eastAsia"/>
          <w:b/>
          <w:bCs/>
        </w:rPr>
        <w:t>2.0.8</w:t>
      </w:r>
      <w:r>
        <w:rPr>
          <w:rFonts w:hint="eastAsia"/>
        </w:rPr>
        <w:t xml:space="preserve"> 检验批 inspection lot</w:t>
      </w:r>
    </w:p>
    <w:p>
      <w:pPr>
        <w:pStyle w:val="22"/>
        <w:ind w:firstLine="480"/>
      </w:pPr>
      <w:r>
        <w:rPr>
          <w:rFonts w:hint="eastAsia"/>
        </w:rPr>
        <w:t>按相同的生产条件或规定的方式汇总起来供抽样检验用的，由一定数量样本组成的检验体。</w:t>
      </w:r>
    </w:p>
    <w:p>
      <w:pPr>
        <w:pStyle w:val="20"/>
      </w:pPr>
      <w:r>
        <w:rPr>
          <w:rFonts w:hint="eastAsia"/>
          <w:b/>
          <w:bCs/>
        </w:rPr>
        <w:t>2.0.9</w:t>
      </w:r>
      <w:r>
        <w:rPr>
          <w:rFonts w:hint="eastAsia"/>
        </w:rPr>
        <w:t xml:space="preserve"> 首件验收first acceptance</w:t>
      </w:r>
    </w:p>
    <w:p>
      <w:pPr>
        <w:pStyle w:val="22"/>
        <w:ind w:firstLine="480"/>
      </w:pPr>
      <w:r>
        <w:rPr>
          <w:rFonts w:hint="eastAsia"/>
        </w:rPr>
        <w:t>对预制构件生产投入开始时或过程发生改变后，生产线生产的第一件或前几件产品进行的联合检验。</w:t>
      </w:r>
    </w:p>
    <w:p>
      <w:pPr>
        <w:pStyle w:val="20"/>
      </w:pPr>
      <w:r>
        <w:rPr>
          <w:rFonts w:hint="eastAsia"/>
          <w:b/>
          <w:bCs/>
        </w:rPr>
        <w:t>2.0.10</w:t>
      </w:r>
      <w:r>
        <w:rPr>
          <w:rFonts w:hint="eastAsia"/>
        </w:rPr>
        <w:t xml:space="preserve"> 进场检验 site inspection</w:t>
      </w:r>
    </w:p>
    <w:p>
      <w:pPr>
        <w:pStyle w:val="22"/>
        <w:ind w:firstLine="480"/>
      </w:pPr>
      <w:r>
        <w:rPr>
          <w:rFonts w:hint="eastAsia"/>
        </w:rPr>
        <w:t>对进入施工现场的建筑材料、构配件、设备及器具，按相关标准的要求进行检验，并对其质量、规格及型号等是否符合要求作出确认的活动。</w:t>
      </w:r>
    </w:p>
    <w:p>
      <w:pPr>
        <w:pStyle w:val="20"/>
      </w:pPr>
      <w:r>
        <w:rPr>
          <w:rFonts w:hint="eastAsia"/>
          <w:b/>
          <w:bCs/>
        </w:rPr>
        <w:t>2.0.11</w:t>
      </w:r>
      <w:r>
        <w:rPr>
          <w:rFonts w:hint="eastAsia"/>
        </w:rPr>
        <w:t xml:space="preserve"> 结构性能检验 inspection of structural performance</w:t>
      </w:r>
    </w:p>
    <w:p>
      <w:pPr>
        <w:pStyle w:val="22"/>
        <w:ind w:firstLine="480"/>
      </w:pPr>
      <w:r>
        <w:rPr>
          <w:rFonts w:hint="eastAsia"/>
        </w:rPr>
        <w:t>针对结构构件的承载力、挠度、裂缝控制性能等各项指标所进行的检验。</w:t>
      </w:r>
    </w:p>
    <w:p>
      <w:pPr>
        <w:pStyle w:val="20"/>
      </w:pPr>
      <w:r>
        <w:rPr>
          <w:rFonts w:hint="eastAsia"/>
          <w:b/>
          <w:bCs/>
        </w:rPr>
        <w:t>2.0.12</w:t>
      </w:r>
      <w:r>
        <w:rPr>
          <w:rFonts w:hint="eastAsia"/>
        </w:rPr>
        <w:t xml:space="preserve"> 型式检验 type inspection</w:t>
      </w:r>
    </w:p>
    <w:p>
      <w:pPr>
        <w:pStyle w:val="20"/>
        <w:ind w:firstLine="480" w:firstLineChars="200"/>
        <w:jc w:val="left"/>
      </w:pPr>
      <w:r>
        <w:rPr>
          <w:rFonts w:hint="eastAsia"/>
        </w:rPr>
        <w:t>利用检测手段对一个或多个具有代表性的预制混凝土构件产品样品进行合格评价，主要适用于对产品综合定型鉴定和评定企业所有产品质量是否全面地达到标准和设计要求的判定。</w:t>
      </w:r>
    </w:p>
    <w:p>
      <w:pPr>
        <w:pStyle w:val="20"/>
        <w:ind w:firstLine="480" w:firstLineChars="200"/>
        <w:jc w:val="left"/>
      </w:pPr>
      <w:r>
        <w:rPr>
          <w:rFonts w:hint="eastAsia"/>
        </w:rPr>
        <w:br w:type="page"/>
      </w:r>
    </w:p>
    <w:p>
      <w:pPr>
        <w:pStyle w:val="2"/>
        <w:spacing w:before="312" w:after="312"/>
      </w:pPr>
      <w:bookmarkStart w:id="26" w:name="_Toc29881"/>
      <w:bookmarkStart w:id="27" w:name="_Toc30784"/>
      <w:bookmarkStart w:id="28" w:name="_Toc1893"/>
      <w:bookmarkStart w:id="29" w:name="_Toc16998"/>
      <w:bookmarkStart w:id="30" w:name="_Toc19071"/>
      <w:bookmarkStart w:id="31" w:name="_Toc22596"/>
      <w:bookmarkStart w:id="32" w:name="_Toc455"/>
      <w:bookmarkStart w:id="33" w:name="_Toc14733"/>
      <w:bookmarkStart w:id="34" w:name="_Toc488"/>
      <w:bookmarkStart w:id="35" w:name="_Toc17328"/>
      <w:bookmarkStart w:id="36" w:name="_Toc20024"/>
      <w:bookmarkStart w:id="37" w:name="_Toc15685"/>
      <w:bookmarkStart w:id="38" w:name="_Toc30775"/>
      <w:r>
        <w:rPr>
          <w:rFonts w:hint="eastAsia"/>
        </w:rPr>
        <w:t>3 基本规定</w:t>
      </w:r>
      <w:bookmarkEnd w:id="26"/>
      <w:bookmarkEnd w:id="27"/>
      <w:bookmarkEnd w:id="28"/>
      <w:bookmarkEnd w:id="29"/>
      <w:bookmarkEnd w:id="30"/>
      <w:bookmarkEnd w:id="31"/>
      <w:bookmarkEnd w:id="32"/>
      <w:bookmarkEnd w:id="33"/>
      <w:bookmarkEnd w:id="34"/>
      <w:bookmarkEnd w:id="35"/>
      <w:bookmarkEnd w:id="36"/>
      <w:bookmarkEnd w:id="37"/>
      <w:bookmarkEnd w:id="38"/>
    </w:p>
    <w:p>
      <w:pPr>
        <w:pStyle w:val="20"/>
      </w:pPr>
      <w:r>
        <w:rPr>
          <w:rFonts w:hint="eastAsia"/>
          <w:b/>
          <w:bCs/>
        </w:rPr>
        <w:t>3.0.1</w:t>
      </w:r>
      <w:r>
        <w:rPr>
          <w:rFonts w:hint="eastAsia"/>
        </w:rPr>
        <w:t>预制构件生产企业应具有相应的生产场地、生产设施和设备、试验检测条件。厂区及其建（构）筑物应按基本建设程序办理报建、验收手续，经各专项验收合格后方可投入生产；质量检测设备均应检定或校准，并注明检定或校准状态。</w:t>
      </w:r>
    </w:p>
    <w:p>
      <w:pPr>
        <w:pStyle w:val="20"/>
      </w:pPr>
      <w:r>
        <w:rPr>
          <w:rFonts w:hint="eastAsia"/>
          <w:b/>
          <w:bCs/>
        </w:rPr>
        <w:t>3.0.</w:t>
      </w:r>
      <w:r>
        <w:rPr>
          <w:b/>
          <w:bCs/>
        </w:rPr>
        <w:t>2</w:t>
      </w:r>
      <w:r>
        <w:rPr>
          <w:rFonts w:hint="eastAsia"/>
        </w:rPr>
        <w:t>预制构件的生产、运输、安装等阶段各参与方应建立完善的管理体系和管理制度，在生产、存放、运输、安装过程中应实现质量可追溯，并通过“海南省装配式建筑部品部件质量可追溯系统”报送装配式建筑部品部件信息。</w:t>
      </w:r>
    </w:p>
    <w:p>
      <w:pPr>
        <w:pStyle w:val="20"/>
      </w:pPr>
      <w:r>
        <w:rPr>
          <w:rFonts w:hint="eastAsia"/>
          <w:b/>
        </w:rPr>
        <w:t>3.0.</w:t>
      </w:r>
      <w:r>
        <w:rPr>
          <w:b/>
        </w:rPr>
        <w:t>3</w:t>
      </w:r>
      <w:r>
        <w:rPr>
          <w:rFonts w:hint="eastAsia"/>
        </w:rPr>
        <w:t>预制构件生产企业应提高安全防范意识，建立安全生产管理制度，配备足够的安全管理员。</w:t>
      </w:r>
    </w:p>
    <w:p>
      <w:pPr>
        <w:pStyle w:val="20"/>
      </w:pPr>
      <w:r>
        <w:rPr>
          <w:rFonts w:hint="eastAsia"/>
          <w:b/>
          <w:bCs/>
        </w:rPr>
        <w:t>3.0.</w:t>
      </w:r>
      <w:r>
        <w:rPr>
          <w:b/>
          <w:bCs/>
        </w:rPr>
        <w:t>4</w:t>
      </w:r>
      <w:r>
        <w:rPr>
          <w:rFonts w:hint="eastAsia"/>
        </w:rPr>
        <w:t>预制构件生产企业应设立质量检验部门并配备专职质检员，技术负责人应组织生产人员及关键岗位员工进行新工艺、新技术、新材料和关键工序技术交底、培训及岗位考核；质量</w:t>
      </w:r>
      <w:r>
        <w:rPr>
          <w:rFonts w:hint="eastAsia"/>
          <w:lang w:eastAsia="zh-CN"/>
        </w:rPr>
        <w:t>负责</w:t>
      </w:r>
      <w:r>
        <w:rPr>
          <w:rFonts w:hint="eastAsia"/>
        </w:rPr>
        <w:t>人应加强对生产过程质量及成品质量控制，形成相应的工作记录。</w:t>
      </w:r>
    </w:p>
    <w:p>
      <w:pPr>
        <w:pStyle w:val="20"/>
      </w:pPr>
      <w:r>
        <w:rPr>
          <w:rFonts w:hint="eastAsia"/>
          <w:b/>
          <w:bCs/>
        </w:rPr>
        <w:t>3.0.</w:t>
      </w:r>
      <w:r>
        <w:rPr>
          <w:b/>
          <w:bCs/>
        </w:rPr>
        <w:t>5</w:t>
      </w:r>
      <w:r>
        <w:rPr>
          <w:rFonts w:hint="eastAsia"/>
        </w:rPr>
        <w:t>预制构件生产企业相关人员应熟悉设计图纸、生产工艺及其质量要求，掌握预制构件技术体系的有关要求，严格按照规范、图纸要求加工制作。</w:t>
      </w:r>
    </w:p>
    <w:p>
      <w:pPr>
        <w:pStyle w:val="20"/>
      </w:pPr>
      <w:r>
        <w:rPr>
          <w:rFonts w:hint="eastAsia"/>
          <w:b/>
          <w:bCs/>
        </w:rPr>
        <w:t>3.0.6</w:t>
      </w:r>
      <w:r>
        <w:rPr>
          <w:rFonts w:hint="eastAsia"/>
        </w:rPr>
        <w:t xml:space="preserve"> 预制构件质量检验及验收分为原材料质量检验、生产过程质量检验、成品质量检验、进场验收、安装质量检验及验收等环节。</w:t>
      </w:r>
    </w:p>
    <w:p>
      <w:pPr>
        <w:pStyle w:val="20"/>
      </w:pPr>
      <w:r>
        <w:rPr>
          <w:rFonts w:hint="eastAsia"/>
          <w:b/>
          <w:bCs/>
        </w:rPr>
        <w:t>3.0.7</w:t>
      </w:r>
      <w:r>
        <w:rPr>
          <w:rFonts w:hint="eastAsia"/>
        </w:rPr>
        <w:t xml:space="preserve"> 预制构件生产所采用的材料应符合设计及《混凝土结构工程施工质量验收规范》GB 50204、《海南省装配式混凝土预制构件生产和安装技术标准》DBJ 46-058等有关标准的规定。</w:t>
      </w:r>
    </w:p>
    <w:p>
      <w:pPr>
        <w:pStyle w:val="20"/>
      </w:pPr>
      <w:r>
        <w:rPr>
          <w:rFonts w:hint="eastAsia"/>
          <w:b/>
          <w:bCs/>
        </w:rPr>
        <w:t>3.0.</w:t>
      </w:r>
      <w:r>
        <w:rPr>
          <w:b/>
          <w:bCs/>
        </w:rPr>
        <w:t>8</w:t>
      </w:r>
      <w:r>
        <w:rPr>
          <w:rFonts w:hint="eastAsia"/>
          <w:b/>
          <w:bCs/>
        </w:rPr>
        <w:t xml:space="preserve"> </w:t>
      </w:r>
      <w:r>
        <w:rPr>
          <w:rFonts w:hint="eastAsia"/>
        </w:rPr>
        <w:t>预制构件大批量生产前，建设单位应组织设计、生产、施工、监理企业进行首件验收，经各方确认首件验收构件质量合格后，预制构件生产企业方可大批量生产。</w:t>
      </w:r>
    </w:p>
    <w:p>
      <w:pPr>
        <w:pStyle w:val="20"/>
      </w:pPr>
      <w:r>
        <w:rPr>
          <w:rFonts w:hint="eastAsia"/>
          <w:b/>
          <w:bCs/>
        </w:rPr>
        <w:t>3.0.</w:t>
      </w:r>
      <w:r>
        <w:rPr>
          <w:b/>
          <w:bCs/>
        </w:rPr>
        <w:t>9</w:t>
      </w:r>
      <w:r>
        <w:rPr>
          <w:rFonts w:hint="eastAsia"/>
        </w:rPr>
        <w:t xml:space="preserve"> 预制构件在生产阶段应按相关检验标准的要求划分检验批。</w:t>
      </w:r>
    </w:p>
    <w:p>
      <w:pPr>
        <w:pStyle w:val="20"/>
      </w:pPr>
      <w:r>
        <w:rPr>
          <w:rFonts w:hint="eastAsia"/>
          <w:b/>
          <w:bCs/>
        </w:rPr>
        <w:t>3.0.</w:t>
      </w:r>
      <w:r>
        <w:rPr>
          <w:b/>
          <w:bCs/>
        </w:rPr>
        <w:t>10</w:t>
      </w:r>
      <w:r>
        <w:rPr>
          <w:rFonts w:hint="eastAsia"/>
        </w:rPr>
        <w:t xml:space="preserve"> 预制构件生产过程质量检验应包括模具组装、钢筋绑扎（若有）、预应力筋张拉（若有）、混凝土浇筑等工序，并形成相应的检验或验收记录。 </w:t>
      </w:r>
    </w:p>
    <w:p>
      <w:pPr>
        <w:pStyle w:val="20"/>
      </w:pPr>
      <w:r>
        <w:rPr>
          <w:rFonts w:hint="eastAsia"/>
          <w:b/>
          <w:bCs/>
        </w:rPr>
        <w:t>3.0.</w:t>
      </w:r>
      <w:r>
        <w:rPr>
          <w:b/>
          <w:bCs/>
        </w:rPr>
        <w:t>11</w:t>
      </w:r>
      <w:r>
        <w:rPr>
          <w:rFonts w:hint="eastAsia"/>
        </w:rPr>
        <w:t xml:space="preserve"> 对检验合格的构件，应作出合格标志和标识。构件制作完成后、出厂前质量合格应符合下列规定：</w:t>
      </w:r>
    </w:p>
    <w:p>
      <w:pPr>
        <w:pStyle w:val="22"/>
        <w:ind w:firstLine="482"/>
      </w:pPr>
      <w:r>
        <w:rPr>
          <w:rFonts w:hint="eastAsia"/>
          <w:b/>
          <w:bCs/>
        </w:rPr>
        <w:t>1</w:t>
      </w:r>
      <w:r>
        <w:rPr>
          <w:rFonts w:hint="eastAsia"/>
        </w:rPr>
        <w:t xml:space="preserve"> 所用原材料（外加剂）按批次检验合格，检验报告完整。</w:t>
      </w:r>
    </w:p>
    <w:p>
      <w:pPr>
        <w:pStyle w:val="22"/>
        <w:ind w:firstLine="482"/>
      </w:pPr>
      <w:r>
        <w:rPr>
          <w:rFonts w:hint="eastAsia"/>
          <w:b/>
          <w:bCs/>
        </w:rPr>
        <w:t>2</w:t>
      </w:r>
      <w:r>
        <w:rPr>
          <w:rFonts w:hint="eastAsia"/>
        </w:rPr>
        <w:t xml:space="preserve"> 生产过程质量检验合格，关键工序检验或验收记录完整。</w:t>
      </w:r>
    </w:p>
    <w:p>
      <w:pPr>
        <w:pStyle w:val="22"/>
        <w:ind w:firstLine="482"/>
      </w:pPr>
      <w:r>
        <w:rPr>
          <w:rFonts w:hint="eastAsia"/>
          <w:b/>
          <w:bCs/>
        </w:rPr>
        <w:t>3</w:t>
      </w:r>
      <w:r>
        <w:rPr>
          <w:rFonts w:hint="eastAsia"/>
        </w:rPr>
        <w:t xml:space="preserve"> 成品质量检验合格，出厂同条件试块强度符合相关要求，检验记录完整。</w:t>
      </w:r>
    </w:p>
    <w:p>
      <w:pPr>
        <w:pStyle w:val="22"/>
        <w:ind w:firstLine="482"/>
      </w:pPr>
      <w:r>
        <w:rPr>
          <w:rFonts w:hint="eastAsia"/>
          <w:b/>
          <w:bCs/>
        </w:rPr>
        <w:t>4</w:t>
      </w:r>
      <w:r>
        <w:rPr>
          <w:rFonts w:hint="eastAsia"/>
        </w:rPr>
        <w:t xml:space="preserve"> 各项质量检验记录可追溯。</w:t>
      </w:r>
    </w:p>
    <w:p>
      <w:pPr>
        <w:pStyle w:val="20"/>
      </w:pPr>
      <w:r>
        <w:rPr>
          <w:rFonts w:hint="eastAsia"/>
          <w:b/>
          <w:bCs/>
        </w:rPr>
        <w:t>3.0.1</w:t>
      </w:r>
      <w:r>
        <w:rPr>
          <w:b/>
          <w:bCs/>
        </w:rPr>
        <w:t>2</w:t>
      </w:r>
      <w:r>
        <w:rPr>
          <w:rFonts w:hint="eastAsia"/>
        </w:rPr>
        <w:t xml:space="preserve"> 预制构件的存放应采取有效的成品保护措施和安全保证措施，存放场地应平整、坚实，并应有排水措施。</w:t>
      </w:r>
    </w:p>
    <w:p>
      <w:pPr>
        <w:pStyle w:val="20"/>
      </w:pPr>
      <w:r>
        <w:rPr>
          <w:rFonts w:hint="eastAsia"/>
          <w:b/>
          <w:bCs/>
        </w:rPr>
        <w:t>3.0.1</w:t>
      </w:r>
      <w:r>
        <w:rPr>
          <w:b/>
          <w:bCs/>
        </w:rPr>
        <w:t>3</w:t>
      </w:r>
      <w:r>
        <w:rPr>
          <w:rFonts w:hint="eastAsia"/>
        </w:rPr>
        <w:t xml:space="preserve"> 预制构件运输企业应编制专项运输方案，包括但不限于预制构件装车、运输加固、卸车等保障措施，并向负有质量责任的企业备案。</w:t>
      </w:r>
    </w:p>
    <w:p>
      <w:pPr>
        <w:pStyle w:val="20"/>
      </w:pPr>
      <w:r>
        <w:rPr>
          <w:rFonts w:hint="eastAsia"/>
          <w:b/>
          <w:bCs/>
        </w:rPr>
        <w:t>3.0.1</w:t>
      </w:r>
      <w:r>
        <w:rPr>
          <w:b/>
          <w:bCs/>
        </w:rPr>
        <w:t>4</w:t>
      </w:r>
      <w:r>
        <w:rPr>
          <w:rFonts w:hint="eastAsia"/>
        </w:rPr>
        <w:t>预制构件在出厂时，应随车附带相应产品的质量证明文件，并保证上述质量证明文件与工厂各项质量记录形成可追溯性。</w:t>
      </w:r>
    </w:p>
    <w:p>
      <w:pPr>
        <w:pStyle w:val="20"/>
      </w:pPr>
      <w:r>
        <w:rPr>
          <w:rFonts w:hint="eastAsia"/>
          <w:b/>
        </w:rPr>
        <w:t>3</w:t>
      </w:r>
      <w:r>
        <w:rPr>
          <w:b/>
        </w:rPr>
        <w:t>.0.15</w:t>
      </w:r>
      <w:r>
        <w:rPr>
          <w:rFonts w:hint="eastAsia"/>
        </w:rPr>
        <w:t>预制构件安装阶段应参照《混凝土结构工程施工规范》GB 50666、《装配式混凝土建筑技术规程》GB/T 51231、《海南省装配式混凝土结构工程施工质量验收标准》DBJ 46-047、及《海南省装配式混凝土预制构件生产和安装技术标准》DBJ 46-058等相关技术要求进行预制构件质量管理。</w:t>
      </w:r>
    </w:p>
    <w:p>
      <w:pPr>
        <w:pStyle w:val="20"/>
      </w:pPr>
    </w:p>
    <w:p>
      <w:pPr>
        <w:rPr>
          <w:rFonts w:ascii="Times New Roman" w:hAnsi="Times New Roman" w:eastAsia="宋体"/>
          <w:sz w:val="22"/>
          <w:szCs w:val="22"/>
        </w:rPr>
      </w:pPr>
      <w:r>
        <w:rPr>
          <w:rFonts w:hint="eastAsia" w:eastAsia="宋体"/>
        </w:rPr>
        <w:t xml:space="preserve"> </w:t>
      </w:r>
      <w:r>
        <w:rPr>
          <w:rFonts w:hint="eastAsia" w:ascii="Times New Roman" w:hAnsi="Times New Roman" w:eastAsia="宋体"/>
          <w:sz w:val="22"/>
          <w:szCs w:val="22"/>
        </w:rPr>
        <w:br w:type="page"/>
      </w:r>
    </w:p>
    <w:p>
      <w:pPr>
        <w:pStyle w:val="2"/>
        <w:spacing w:before="312" w:after="312"/>
      </w:pPr>
      <w:bookmarkStart w:id="39" w:name="_Toc12170"/>
      <w:bookmarkStart w:id="40" w:name="_Toc2081"/>
      <w:bookmarkStart w:id="41" w:name="_Toc28839"/>
      <w:bookmarkStart w:id="42" w:name="_Toc16786"/>
      <w:bookmarkStart w:id="43" w:name="_Toc22937"/>
      <w:bookmarkStart w:id="44" w:name="_Toc23890"/>
      <w:bookmarkStart w:id="45" w:name="_Toc24363"/>
      <w:bookmarkStart w:id="46" w:name="_Toc24584"/>
      <w:bookmarkStart w:id="47" w:name="_Toc17391"/>
      <w:bookmarkStart w:id="48" w:name="_Toc27287"/>
      <w:bookmarkStart w:id="49" w:name="_Toc10051"/>
      <w:bookmarkStart w:id="50" w:name="_Toc26096"/>
      <w:bookmarkStart w:id="51" w:name="_Toc5307"/>
      <w:bookmarkStart w:id="52" w:name="_Toc22791"/>
      <w:bookmarkStart w:id="53" w:name="_Toc5448"/>
      <w:bookmarkStart w:id="54" w:name="_Toc29584"/>
      <w:bookmarkStart w:id="55" w:name="_Toc6864"/>
      <w:r>
        <w:rPr>
          <w:rFonts w:hint="eastAsia"/>
        </w:rPr>
        <w:t>4</w:t>
      </w:r>
      <w:r>
        <w:t xml:space="preserve"> </w:t>
      </w:r>
      <w:r>
        <w:rPr>
          <w:rFonts w:hint="eastAsia"/>
        </w:rPr>
        <w:t>质量管理体系</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3"/>
        <w:spacing w:before="312" w:after="312"/>
      </w:pPr>
      <w:bookmarkStart w:id="56" w:name="_Toc6603"/>
      <w:bookmarkStart w:id="57" w:name="_Toc6283"/>
      <w:bookmarkStart w:id="58" w:name="_Toc12105"/>
      <w:bookmarkStart w:id="59" w:name="_Toc29452"/>
      <w:bookmarkStart w:id="60" w:name="_Toc27901"/>
      <w:bookmarkStart w:id="61" w:name="_Toc4950"/>
      <w:bookmarkStart w:id="62" w:name="_Toc32406"/>
      <w:bookmarkStart w:id="63" w:name="_Toc17145"/>
      <w:bookmarkStart w:id="64" w:name="_Toc7712"/>
      <w:bookmarkStart w:id="65" w:name="_Toc11275"/>
      <w:bookmarkStart w:id="66" w:name="_Toc11101"/>
      <w:bookmarkStart w:id="67" w:name="_Toc8498"/>
      <w:bookmarkStart w:id="68" w:name="_Toc17704"/>
      <w:bookmarkStart w:id="69" w:name="_Toc31028"/>
      <w:bookmarkStart w:id="70" w:name="_Toc19041"/>
      <w:bookmarkStart w:id="71" w:name="_Toc29222"/>
      <w:bookmarkStart w:id="72" w:name="_Toc14495"/>
      <w:r>
        <w:rPr>
          <w:rFonts w:hint="eastAsia"/>
        </w:rPr>
        <w:t>4.1质量管理体系建立</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20"/>
      </w:pPr>
      <w:bookmarkStart w:id="73" w:name="_Toc1089"/>
      <w:bookmarkStart w:id="74" w:name="_Toc2592"/>
      <w:bookmarkStart w:id="75" w:name="_Toc3363"/>
      <w:bookmarkStart w:id="76" w:name="_Toc6194"/>
      <w:bookmarkStart w:id="77" w:name="_Toc28431"/>
      <w:bookmarkStart w:id="78" w:name="_Toc27769"/>
      <w:bookmarkStart w:id="79" w:name="_Toc2653"/>
      <w:bookmarkStart w:id="80" w:name="_Toc27199"/>
      <w:bookmarkStart w:id="81" w:name="_Toc29890"/>
      <w:bookmarkStart w:id="82" w:name="_Toc25843"/>
      <w:bookmarkStart w:id="83" w:name="_Toc19314"/>
      <w:bookmarkStart w:id="84" w:name="_Toc5656"/>
      <w:r>
        <w:rPr>
          <w:rFonts w:hint="eastAsia"/>
          <w:b/>
          <w:bCs/>
        </w:rPr>
        <w:t xml:space="preserve">4.1.1 </w:t>
      </w:r>
      <w:r>
        <w:rPr>
          <w:rFonts w:hint="eastAsia"/>
        </w:rPr>
        <w:t>预制构件生产及施工企业应建立质量管理体系，并应通过第三方认证。预制构件生产及施工企业应确保质量管理体系的有效性和持续性。</w:t>
      </w:r>
    </w:p>
    <w:p>
      <w:pPr>
        <w:pStyle w:val="20"/>
      </w:pPr>
      <w:r>
        <w:rPr>
          <w:rFonts w:hint="eastAsia"/>
          <w:b/>
          <w:bCs/>
        </w:rPr>
        <w:t>4.1.2</w:t>
      </w:r>
      <w:r>
        <w:rPr>
          <w:rFonts w:hint="eastAsia"/>
        </w:rPr>
        <w:t xml:space="preserve"> 质量管理体系文件应包括：</w:t>
      </w:r>
    </w:p>
    <w:p>
      <w:pPr>
        <w:pStyle w:val="22"/>
        <w:ind w:firstLine="482"/>
      </w:pPr>
      <w:r>
        <w:rPr>
          <w:rFonts w:hint="eastAsia"/>
          <w:b/>
          <w:bCs/>
        </w:rPr>
        <w:t>1</w:t>
      </w:r>
      <w:r>
        <w:rPr>
          <w:rFonts w:hint="eastAsia"/>
        </w:rPr>
        <w:t xml:space="preserve"> 确定的质量方针和质量目标；</w:t>
      </w:r>
    </w:p>
    <w:p>
      <w:pPr>
        <w:pStyle w:val="22"/>
        <w:ind w:firstLine="482"/>
      </w:pPr>
      <w:r>
        <w:rPr>
          <w:rFonts w:hint="eastAsia"/>
          <w:b/>
          <w:bCs/>
        </w:rPr>
        <w:t>2</w:t>
      </w:r>
      <w:r>
        <w:rPr>
          <w:rFonts w:hint="eastAsia"/>
        </w:rPr>
        <w:t xml:space="preserve"> 质量手册；</w:t>
      </w:r>
    </w:p>
    <w:p>
      <w:pPr>
        <w:pStyle w:val="22"/>
        <w:ind w:firstLine="482"/>
      </w:pPr>
      <w:r>
        <w:rPr>
          <w:rFonts w:hint="eastAsia"/>
          <w:b/>
          <w:bCs/>
        </w:rPr>
        <w:t>3</w:t>
      </w:r>
      <w:r>
        <w:rPr>
          <w:rFonts w:hint="eastAsia"/>
        </w:rPr>
        <w:t xml:space="preserve"> 本标准所要求的形成文件的程序和记录；</w:t>
      </w:r>
    </w:p>
    <w:p>
      <w:pPr>
        <w:pStyle w:val="22"/>
        <w:ind w:firstLine="482"/>
      </w:pPr>
      <w:r>
        <w:rPr>
          <w:rFonts w:hint="eastAsia"/>
          <w:b/>
          <w:bCs/>
        </w:rPr>
        <w:t>4</w:t>
      </w:r>
      <w:r>
        <w:rPr>
          <w:rFonts w:hint="eastAsia"/>
        </w:rPr>
        <w:t xml:space="preserve"> 预制构件生产及施工企业确定的为确保其过程有效策划、运作和控制所需的文件和记录。</w:t>
      </w:r>
    </w:p>
    <w:p>
      <w:pPr>
        <w:pStyle w:val="20"/>
      </w:pPr>
      <w:r>
        <w:rPr>
          <w:rFonts w:hint="eastAsia"/>
          <w:b/>
          <w:bCs/>
        </w:rPr>
        <w:t xml:space="preserve">4.1.3 </w:t>
      </w:r>
      <w:r>
        <w:rPr>
          <w:rFonts w:hint="eastAsia"/>
        </w:rPr>
        <w:t>预制构件生产及施工企业应根据自身实际情况制定质量方针和质量目标。</w:t>
      </w:r>
    </w:p>
    <w:p>
      <w:pPr>
        <w:pStyle w:val="20"/>
      </w:pPr>
      <w:r>
        <w:rPr>
          <w:rFonts w:hint="eastAsia"/>
          <w:b/>
          <w:bCs/>
        </w:rPr>
        <w:t xml:space="preserve">4.1.4 </w:t>
      </w:r>
      <w:r>
        <w:rPr>
          <w:rFonts w:hint="eastAsia"/>
        </w:rPr>
        <w:t>预制构件生产及施工企业应设置管理者代表，管理者代表对质量管理体系的有效性负责。</w:t>
      </w:r>
    </w:p>
    <w:p>
      <w:pPr>
        <w:pStyle w:val="20"/>
      </w:pPr>
      <w:r>
        <w:rPr>
          <w:rFonts w:hint="eastAsia"/>
          <w:b/>
          <w:bCs/>
        </w:rPr>
        <w:t xml:space="preserve">4.1.5 </w:t>
      </w:r>
      <w:r>
        <w:rPr>
          <w:rFonts w:hint="eastAsia"/>
        </w:rPr>
        <w:t>预制构件生产及施工企业应有能够满足正常生产和质量管理要求的组织结构，同时应明确组织结构中各部门的职能和要求，并应明确组织结构中各部门之间的关系。</w:t>
      </w:r>
    </w:p>
    <w:p>
      <w:pPr>
        <w:pStyle w:val="3"/>
        <w:spacing w:before="312" w:after="312"/>
      </w:pPr>
      <w:bookmarkStart w:id="85" w:name="_Toc2520"/>
      <w:bookmarkStart w:id="86" w:name="_Toc2078"/>
      <w:bookmarkStart w:id="87" w:name="_Toc605"/>
      <w:bookmarkStart w:id="88" w:name="_Toc7871"/>
      <w:bookmarkStart w:id="89" w:name="_Toc18454"/>
      <w:r>
        <w:rPr>
          <w:rFonts w:hint="eastAsia"/>
        </w:rPr>
        <w:t>4.2预制构件制造能力等级评定及资源配置要求</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20"/>
      </w:pPr>
      <w:bookmarkStart w:id="90" w:name="_Toc10597"/>
      <w:bookmarkStart w:id="91" w:name="_Toc9746"/>
      <w:bookmarkStart w:id="92" w:name="_Toc9478"/>
      <w:bookmarkStart w:id="93" w:name="_Toc16674"/>
      <w:r>
        <w:rPr>
          <w:rFonts w:hint="eastAsia"/>
          <w:b/>
          <w:bCs/>
        </w:rPr>
        <w:t xml:space="preserve">4.2.1 </w:t>
      </w:r>
      <w:r>
        <w:rPr>
          <w:rFonts w:hint="eastAsia"/>
        </w:rPr>
        <w:t>预制构件生产企业按场地与设施条件、综合运营与标准化管理水平、产品质量与研发、生产安全与环境等进行制造能力等级评定，评定等级按星级分级。</w:t>
      </w:r>
    </w:p>
    <w:p>
      <w:pPr>
        <w:pStyle w:val="20"/>
      </w:pPr>
      <w:r>
        <w:rPr>
          <w:rFonts w:hint="eastAsia"/>
          <w:b/>
          <w:bCs/>
        </w:rPr>
        <w:t xml:space="preserve">4.2.2 </w:t>
      </w:r>
      <w:r>
        <w:rPr>
          <w:rFonts w:hint="eastAsia"/>
        </w:rPr>
        <w:t>申请制造能力等级评定的预制构件生产企业应满足以下基本条件：①注册地应在海南；②企业应已连续生产满两年；③工厂厂区总占地面积不得少于20000平方米；④企业近2年混凝土构件累计生产超过2万立方米。当申请评价的企业在评价审核过程中存在以下情况中的任意一项时，终止评定：</w:t>
      </w:r>
    </w:p>
    <w:p>
      <w:pPr>
        <w:pStyle w:val="22"/>
        <w:ind w:firstLine="482"/>
      </w:pPr>
      <w:r>
        <w:rPr>
          <w:rFonts w:hint="eastAsia"/>
          <w:b/>
          <w:bCs/>
        </w:rPr>
        <w:t xml:space="preserve">1 </w:t>
      </w:r>
      <w:r>
        <w:rPr>
          <w:rFonts w:hint="eastAsia"/>
        </w:rPr>
        <w:t>生产车间建筑面积少于10000平方米；</w:t>
      </w:r>
    </w:p>
    <w:p>
      <w:pPr>
        <w:pStyle w:val="22"/>
        <w:ind w:firstLine="482"/>
        <w:rPr>
          <w:b/>
          <w:bCs/>
        </w:rPr>
      </w:pPr>
      <w:r>
        <w:rPr>
          <w:rFonts w:hint="eastAsia"/>
          <w:b/>
          <w:bCs/>
        </w:rPr>
        <w:t xml:space="preserve">2 </w:t>
      </w:r>
      <w:r>
        <w:rPr>
          <w:rFonts w:hint="eastAsia"/>
        </w:rPr>
        <w:t>营业执照等证书不齐或失效；</w:t>
      </w:r>
    </w:p>
    <w:p>
      <w:pPr>
        <w:pStyle w:val="22"/>
        <w:ind w:firstLine="482"/>
        <w:rPr>
          <w:b/>
          <w:bCs/>
        </w:rPr>
      </w:pPr>
      <w:r>
        <w:rPr>
          <w:rFonts w:hint="eastAsia"/>
          <w:b/>
          <w:bCs/>
        </w:rPr>
        <w:t xml:space="preserve">3 </w:t>
      </w:r>
      <w:r>
        <w:rPr>
          <w:rFonts w:hint="eastAsia"/>
        </w:rPr>
        <w:t>企业管理体系、企业管理制度缺失；</w:t>
      </w:r>
    </w:p>
    <w:p>
      <w:pPr>
        <w:pStyle w:val="22"/>
        <w:ind w:firstLine="482"/>
      </w:pPr>
      <w:r>
        <w:rPr>
          <w:rFonts w:hint="eastAsia"/>
          <w:b/>
          <w:bCs/>
        </w:rPr>
        <w:t xml:space="preserve">4 </w:t>
      </w:r>
      <w:r>
        <w:rPr>
          <w:rFonts w:hint="eastAsia"/>
        </w:rPr>
        <w:t>未配备具有相应资格的特种作业人员；</w:t>
      </w:r>
    </w:p>
    <w:p>
      <w:pPr>
        <w:pStyle w:val="22"/>
        <w:ind w:firstLine="482"/>
      </w:pPr>
      <w:r>
        <w:rPr>
          <w:rFonts w:hint="eastAsia"/>
          <w:b/>
          <w:bCs/>
        </w:rPr>
        <w:t xml:space="preserve">5 </w:t>
      </w:r>
      <w:r>
        <w:rPr>
          <w:rFonts w:hint="eastAsia"/>
        </w:rPr>
        <w:t>不能提供预制构件生产过程质量验收记录，或现场抽检情况与隐蔽验收资料不符，或抽检时有严重缺陷；</w:t>
      </w:r>
    </w:p>
    <w:p>
      <w:pPr>
        <w:pStyle w:val="22"/>
        <w:ind w:firstLine="482"/>
      </w:pPr>
      <w:r>
        <w:rPr>
          <w:rFonts w:hint="eastAsia"/>
          <w:b/>
          <w:bCs/>
        </w:rPr>
        <w:t xml:space="preserve">6 </w:t>
      </w:r>
      <w:r>
        <w:rPr>
          <w:rFonts w:hint="eastAsia"/>
        </w:rPr>
        <w:t>成品验收资料与所对应成品不符，或不能提供成品质量验收记录，或两年内发生过一般及以上质量事故。</w:t>
      </w:r>
    </w:p>
    <w:p>
      <w:pPr>
        <w:pStyle w:val="20"/>
      </w:pPr>
      <w:r>
        <w:rPr>
          <w:rFonts w:hint="eastAsia"/>
          <w:b/>
          <w:bCs/>
        </w:rPr>
        <w:t xml:space="preserve">4.2.3 </w:t>
      </w:r>
      <w:r>
        <w:rPr>
          <w:rFonts w:hint="eastAsia"/>
        </w:rPr>
        <w:t>预制构件生产企业的星级评价指标体系由生产企业的场地与设施条件（Q</w:t>
      </w:r>
      <w:r>
        <w:rPr>
          <w:rFonts w:hint="eastAsia"/>
          <w:vertAlign w:val="subscript"/>
        </w:rPr>
        <w:t>1</w:t>
      </w:r>
      <w:r>
        <w:rPr>
          <w:rFonts w:hint="eastAsia"/>
        </w:rPr>
        <w:t>）、综合运营与标准化管理水平（Q</w:t>
      </w:r>
      <w:r>
        <w:rPr>
          <w:rFonts w:hint="eastAsia"/>
          <w:vertAlign w:val="subscript"/>
        </w:rPr>
        <w:t>2</w:t>
      </w:r>
      <w:r>
        <w:rPr>
          <w:rFonts w:hint="eastAsia"/>
        </w:rPr>
        <w:t>）、产品质量与研发（Q</w:t>
      </w:r>
      <w:r>
        <w:rPr>
          <w:rFonts w:hint="eastAsia"/>
          <w:vertAlign w:val="subscript"/>
        </w:rPr>
        <w:t>3</w:t>
      </w:r>
      <w:r>
        <w:rPr>
          <w:rFonts w:hint="eastAsia"/>
        </w:rPr>
        <w:t>）、生产安全与环境（Q</w:t>
      </w:r>
      <w:r>
        <w:rPr>
          <w:rFonts w:hint="eastAsia"/>
          <w:vertAlign w:val="subscript"/>
        </w:rPr>
        <w:t>4</w:t>
      </w:r>
      <w:r>
        <w:rPr>
          <w:rFonts w:hint="eastAsia"/>
        </w:rPr>
        <w:t>）4类指标组成。每类评价指标均包括了评分项，部分评价指标还设置加分项及终止项。评分项和加分项评价结果为分值，终止项评价结果为满足或不满足。</w:t>
      </w:r>
    </w:p>
    <w:p>
      <w:pPr>
        <w:pStyle w:val="20"/>
      </w:pPr>
      <w:r>
        <w:rPr>
          <w:rFonts w:hint="eastAsia"/>
          <w:b/>
          <w:bCs/>
        </w:rPr>
        <w:t xml:space="preserve">4.2.4 </w:t>
      </w:r>
      <w:r>
        <w:rPr>
          <w:rFonts w:hint="eastAsia"/>
        </w:rPr>
        <w:t>评价指标体系中每类指标的总得分为评分项得分及加分项得分之和，评分项分值均为100分，加分项分值不等。四类指标各自的总得分Q</w:t>
      </w:r>
      <w:r>
        <w:rPr>
          <w:rFonts w:hint="eastAsia"/>
          <w:vertAlign w:val="subscript"/>
        </w:rPr>
        <w:t>1</w:t>
      </w:r>
      <w:r>
        <w:rPr>
          <w:rFonts w:hint="eastAsia"/>
        </w:rPr>
        <w:t>、Q</w:t>
      </w:r>
      <w:r>
        <w:rPr>
          <w:rFonts w:hint="eastAsia"/>
          <w:vertAlign w:val="subscript"/>
        </w:rPr>
        <w:t>2</w:t>
      </w:r>
      <w:r>
        <w:rPr>
          <w:rFonts w:hint="eastAsia"/>
        </w:rPr>
        <w:t>、Q</w:t>
      </w:r>
      <w:r>
        <w:rPr>
          <w:rFonts w:hint="eastAsia"/>
          <w:vertAlign w:val="subscript"/>
        </w:rPr>
        <w:t>3</w:t>
      </w:r>
      <w:r>
        <w:rPr>
          <w:rFonts w:hint="eastAsia"/>
        </w:rPr>
        <w:t>、Q</w:t>
      </w:r>
      <w:r>
        <w:rPr>
          <w:rFonts w:hint="eastAsia"/>
          <w:vertAlign w:val="subscript"/>
        </w:rPr>
        <w:t>4</w:t>
      </w:r>
      <w:r>
        <w:rPr>
          <w:rFonts w:hint="eastAsia"/>
        </w:rPr>
        <w:t>按参评企业该类指标的实际得分值确定，总得分超过100分则按100分计。预制混凝土构件生产企业星级的综合评价得分按下式进行计算，其中评价指标体系四类指标总得分的权重w</w:t>
      </w:r>
      <w:r>
        <w:rPr>
          <w:rFonts w:hint="eastAsia"/>
          <w:vertAlign w:val="subscript"/>
        </w:rPr>
        <w:t>1</w:t>
      </w:r>
      <w:r>
        <w:rPr>
          <w:rFonts w:hint="eastAsia"/>
        </w:rPr>
        <w:t>~w</w:t>
      </w:r>
      <w:r>
        <w:rPr>
          <w:rFonts w:hint="eastAsia"/>
          <w:vertAlign w:val="subscript"/>
        </w:rPr>
        <w:t>4</w:t>
      </w:r>
      <w:r>
        <w:rPr>
          <w:rFonts w:hint="eastAsia"/>
        </w:rPr>
        <w:t>按表4.2.4取值。</w:t>
      </w:r>
    </w:p>
    <w:p>
      <w:pPr>
        <w:widowControl/>
        <w:spacing w:line="480" w:lineRule="auto"/>
        <w:jc w:val="center"/>
        <w:rPr>
          <w:rFonts w:ascii="Times New Roman" w:hAnsi="Times New Roman" w:eastAsia="宋体"/>
          <w:sz w:val="24"/>
          <w:szCs w:val="21"/>
        </w:rPr>
      </w:pPr>
      <w:r>
        <w:rPr>
          <w:rFonts w:hint="eastAsia" w:ascii="Times New Roman" w:hAnsi="Times New Roman" w:eastAsia="宋体"/>
          <w:sz w:val="24"/>
          <w:szCs w:val="21"/>
        </w:rPr>
        <w:t>∑Q=w</w:t>
      </w:r>
      <w:r>
        <w:rPr>
          <w:rFonts w:hint="eastAsia" w:ascii="Times New Roman" w:hAnsi="Times New Roman" w:eastAsia="宋体"/>
          <w:sz w:val="24"/>
          <w:szCs w:val="21"/>
          <w:vertAlign w:val="subscript"/>
        </w:rPr>
        <w:t>1</w:t>
      </w:r>
      <w:r>
        <w:rPr>
          <w:rFonts w:hint="eastAsia" w:ascii="Times New Roman" w:hAnsi="Times New Roman" w:eastAsia="宋体"/>
          <w:sz w:val="24"/>
          <w:szCs w:val="21"/>
        </w:rPr>
        <w:t>Q</w:t>
      </w:r>
      <w:r>
        <w:rPr>
          <w:rFonts w:hint="eastAsia" w:ascii="Times New Roman" w:hAnsi="Times New Roman" w:eastAsia="宋体"/>
          <w:sz w:val="24"/>
          <w:szCs w:val="21"/>
          <w:vertAlign w:val="subscript"/>
        </w:rPr>
        <w:t>1</w:t>
      </w:r>
      <w:r>
        <w:rPr>
          <w:rFonts w:hint="eastAsia" w:ascii="Times New Roman" w:hAnsi="Times New Roman" w:eastAsia="宋体"/>
          <w:sz w:val="24"/>
          <w:szCs w:val="21"/>
        </w:rPr>
        <w:t>+w</w:t>
      </w:r>
      <w:r>
        <w:rPr>
          <w:rFonts w:hint="eastAsia" w:ascii="Times New Roman" w:hAnsi="Times New Roman" w:eastAsia="宋体"/>
          <w:sz w:val="24"/>
          <w:szCs w:val="21"/>
          <w:vertAlign w:val="subscript"/>
        </w:rPr>
        <w:t>2</w:t>
      </w:r>
      <w:r>
        <w:rPr>
          <w:rFonts w:hint="eastAsia" w:ascii="Times New Roman" w:hAnsi="Times New Roman" w:eastAsia="宋体"/>
          <w:sz w:val="24"/>
          <w:szCs w:val="21"/>
        </w:rPr>
        <w:t>Q</w:t>
      </w:r>
      <w:r>
        <w:rPr>
          <w:rFonts w:hint="eastAsia" w:ascii="Times New Roman" w:hAnsi="Times New Roman" w:eastAsia="宋体"/>
          <w:sz w:val="24"/>
          <w:szCs w:val="21"/>
          <w:vertAlign w:val="subscript"/>
        </w:rPr>
        <w:t>2</w:t>
      </w:r>
      <w:r>
        <w:rPr>
          <w:rFonts w:hint="eastAsia" w:ascii="Times New Roman" w:hAnsi="Times New Roman" w:eastAsia="宋体"/>
          <w:sz w:val="24"/>
          <w:szCs w:val="21"/>
        </w:rPr>
        <w:t>+w</w:t>
      </w:r>
      <w:r>
        <w:rPr>
          <w:rFonts w:hint="eastAsia" w:ascii="Times New Roman" w:hAnsi="Times New Roman" w:eastAsia="宋体"/>
          <w:sz w:val="24"/>
          <w:szCs w:val="21"/>
          <w:vertAlign w:val="subscript"/>
        </w:rPr>
        <w:t>3</w:t>
      </w:r>
      <w:r>
        <w:rPr>
          <w:rFonts w:hint="eastAsia" w:ascii="Times New Roman" w:hAnsi="Times New Roman" w:eastAsia="宋体"/>
          <w:sz w:val="24"/>
          <w:szCs w:val="21"/>
        </w:rPr>
        <w:t>Q</w:t>
      </w:r>
      <w:r>
        <w:rPr>
          <w:rFonts w:hint="eastAsia" w:ascii="Times New Roman" w:hAnsi="Times New Roman" w:eastAsia="宋体"/>
          <w:sz w:val="24"/>
          <w:szCs w:val="21"/>
          <w:vertAlign w:val="subscript"/>
        </w:rPr>
        <w:t>3</w:t>
      </w:r>
      <w:r>
        <w:rPr>
          <w:rFonts w:hint="eastAsia" w:ascii="Times New Roman" w:hAnsi="Times New Roman" w:eastAsia="宋体"/>
          <w:sz w:val="24"/>
          <w:szCs w:val="21"/>
        </w:rPr>
        <w:t>+w</w:t>
      </w:r>
      <w:r>
        <w:rPr>
          <w:rFonts w:hint="eastAsia" w:ascii="Times New Roman" w:hAnsi="Times New Roman" w:eastAsia="宋体"/>
          <w:sz w:val="24"/>
          <w:szCs w:val="21"/>
          <w:vertAlign w:val="subscript"/>
        </w:rPr>
        <w:t>4</w:t>
      </w:r>
      <w:r>
        <w:rPr>
          <w:rFonts w:hint="eastAsia" w:ascii="Times New Roman" w:hAnsi="Times New Roman" w:eastAsia="宋体"/>
          <w:sz w:val="24"/>
          <w:szCs w:val="21"/>
        </w:rPr>
        <w:t>Q</w:t>
      </w:r>
      <w:r>
        <w:rPr>
          <w:rFonts w:hint="eastAsia" w:ascii="Times New Roman" w:hAnsi="Times New Roman" w:eastAsia="宋体"/>
          <w:sz w:val="24"/>
          <w:szCs w:val="21"/>
          <w:vertAlign w:val="subscript"/>
        </w:rPr>
        <w:t>4</w:t>
      </w:r>
    </w:p>
    <w:p>
      <w:pPr>
        <w:pStyle w:val="23"/>
        <w:rPr>
          <w:rFonts w:ascii="黑体" w:hAnsi="黑体" w:eastAsia="黑体" w:cs="黑体"/>
          <w:szCs w:val="24"/>
        </w:rPr>
      </w:pPr>
      <w:r>
        <w:rPr>
          <w:rFonts w:hint="eastAsia"/>
        </w:rPr>
        <w:t>表 4.2.4 各类评价指标的权重</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3"/>
        <w:gridCol w:w="2264"/>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49" w:type="pct"/>
            <w:vAlign w:val="center"/>
          </w:tcPr>
          <w:p>
            <w:pPr>
              <w:pStyle w:val="23"/>
            </w:pPr>
            <w:r>
              <w:rPr>
                <w:rFonts w:hint="eastAsia"/>
              </w:rPr>
              <w:t>场地与设施条件</w:t>
            </w:r>
          </w:p>
          <w:p>
            <w:pPr>
              <w:pStyle w:val="23"/>
            </w:pPr>
            <w:r>
              <w:rPr>
                <w:rFonts w:hint="eastAsia"/>
              </w:rPr>
              <w:t>w</w:t>
            </w:r>
            <w:r>
              <w:rPr>
                <w:rFonts w:hint="eastAsia"/>
                <w:vertAlign w:val="subscript"/>
              </w:rPr>
              <w:t>1</w:t>
            </w:r>
          </w:p>
        </w:tc>
        <w:tc>
          <w:tcPr>
            <w:tcW w:w="1249" w:type="pct"/>
            <w:vAlign w:val="center"/>
          </w:tcPr>
          <w:p>
            <w:pPr>
              <w:pStyle w:val="23"/>
            </w:pPr>
            <w:r>
              <w:rPr>
                <w:rFonts w:hint="eastAsia"/>
              </w:rPr>
              <w:t>综合运营与标准化管理水平w</w:t>
            </w:r>
            <w:r>
              <w:rPr>
                <w:rFonts w:hint="eastAsia"/>
                <w:vertAlign w:val="subscript"/>
              </w:rPr>
              <w:t>2</w:t>
            </w:r>
          </w:p>
        </w:tc>
        <w:tc>
          <w:tcPr>
            <w:tcW w:w="1249" w:type="pct"/>
            <w:vAlign w:val="center"/>
          </w:tcPr>
          <w:p>
            <w:pPr>
              <w:pStyle w:val="23"/>
            </w:pPr>
            <w:r>
              <w:rPr>
                <w:rFonts w:hint="eastAsia"/>
              </w:rPr>
              <w:t>产品质量与研发</w:t>
            </w:r>
          </w:p>
          <w:p>
            <w:pPr>
              <w:pStyle w:val="23"/>
            </w:pPr>
            <w:r>
              <w:rPr>
                <w:rFonts w:hint="eastAsia"/>
              </w:rPr>
              <w:t>w</w:t>
            </w:r>
            <w:r>
              <w:rPr>
                <w:rFonts w:hint="eastAsia"/>
                <w:vertAlign w:val="subscript"/>
              </w:rPr>
              <w:t>3</w:t>
            </w:r>
          </w:p>
        </w:tc>
        <w:tc>
          <w:tcPr>
            <w:tcW w:w="1250" w:type="pct"/>
            <w:vAlign w:val="center"/>
          </w:tcPr>
          <w:p>
            <w:pPr>
              <w:pStyle w:val="23"/>
            </w:pPr>
            <w:r>
              <w:rPr>
                <w:rFonts w:hint="eastAsia"/>
              </w:rPr>
              <w:t>生产安全与环境</w:t>
            </w:r>
          </w:p>
          <w:p>
            <w:pPr>
              <w:pStyle w:val="23"/>
            </w:pPr>
            <w:r>
              <w:rPr>
                <w:rFonts w:hint="eastAsia"/>
              </w:rPr>
              <w:t>w</w:t>
            </w:r>
            <w:r>
              <w:rPr>
                <w:rFonts w:hint="eastAsia"/>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249" w:type="pct"/>
            <w:vAlign w:val="center"/>
          </w:tcPr>
          <w:p>
            <w:pPr>
              <w:pStyle w:val="23"/>
            </w:pPr>
            <w:r>
              <w:rPr>
                <w:rFonts w:hint="eastAsia"/>
              </w:rPr>
              <w:t>0.20</w:t>
            </w:r>
          </w:p>
        </w:tc>
        <w:tc>
          <w:tcPr>
            <w:tcW w:w="1249" w:type="pct"/>
            <w:vAlign w:val="center"/>
          </w:tcPr>
          <w:p>
            <w:pPr>
              <w:pStyle w:val="23"/>
            </w:pPr>
            <w:r>
              <w:rPr>
                <w:rFonts w:hint="eastAsia"/>
              </w:rPr>
              <w:t>0.25</w:t>
            </w:r>
          </w:p>
        </w:tc>
        <w:tc>
          <w:tcPr>
            <w:tcW w:w="1249" w:type="pct"/>
            <w:vAlign w:val="center"/>
          </w:tcPr>
          <w:p>
            <w:pPr>
              <w:pStyle w:val="23"/>
            </w:pPr>
            <w:r>
              <w:rPr>
                <w:rFonts w:hint="eastAsia"/>
              </w:rPr>
              <w:t>0.45</w:t>
            </w:r>
          </w:p>
        </w:tc>
        <w:tc>
          <w:tcPr>
            <w:tcW w:w="1250" w:type="pct"/>
            <w:vAlign w:val="center"/>
          </w:tcPr>
          <w:p>
            <w:pPr>
              <w:pStyle w:val="23"/>
            </w:pPr>
            <w:r>
              <w:rPr>
                <w:rFonts w:hint="eastAsia"/>
              </w:rPr>
              <w:t>0.10</w:t>
            </w:r>
          </w:p>
        </w:tc>
      </w:tr>
    </w:tbl>
    <w:p>
      <w:pPr>
        <w:pStyle w:val="20"/>
      </w:pPr>
      <w:r>
        <w:rPr>
          <w:rFonts w:hint="eastAsia"/>
          <w:b/>
          <w:bCs/>
        </w:rPr>
        <w:t xml:space="preserve">4.2.5 </w:t>
      </w:r>
      <w:r>
        <w:rPr>
          <w:rFonts w:hint="eastAsia"/>
        </w:rPr>
        <w:t>预制混凝土构件生产企业星级共分为三星级、二星级、一星级3个等级。申报企业在不触发本标准所有终止项，且每类指标的总得分不应低于规定的最低分值要求的前提下，对应的星级评价标准为：</w:t>
      </w:r>
    </w:p>
    <w:p>
      <w:pPr>
        <w:pStyle w:val="22"/>
        <w:ind w:firstLine="482"/>
      </w:pPr>
      <w:r>
        <w:rPr>
          <w:rFonts w:hint="eastAsia"/>
          <w:b/>
          <w:bCs/>
        </w:rPr>
        <w:t>1</w:t>
      </w:r>
      <w:r>
        <w:rPr>
          <w:rFonts w:hint="eastAsia"/>
        </w:rPr>
        <w:t xml:space="preserve"> 综合评价得分＜70时，无星级；</w:t>
      </w:r>
    </w:p>
    <w:p>
      <w:pPr>
        <w:pStyle w:val="22"/>
        <w:ind w:firstLine="482"/>
        <w:rPr>
          <w:b/>
          <w:bCs/>
        </w:rPr>
      </w:pPr>
      <w:r>
        <w:rPr>
          <w:rFonts w:hint="eastAsia"/>
          <w:b/>
          <w:bCs/>
        </w:rPr>
        <w:t>2</w:t>
      </w:r>
      <w:r>
        <w:rPr>
          <w:rFonts w:hint="eastAsia"/>
        </w:rPr>
        <w:t xml:space="preserve"> 当70≤综合评价得分＜80时，评价为一星级；</w:t>
      </w:r>
    </w:p>
    <w:p>
      <w:pPr>
        <w:pStyle w:val="22"/>
        <w:ind w:firstLine="482"/>
        <w:rPr>
          <w:b/>
          <w:bCs/>
        </w:rPr>
      </w:pPr>
      <w:r>
        <w:rPr>
          <w:rFonts w:hint="eastAsia"/>
          <w:b/>
          <w:bCs/>
        </w:rPr>
        <w:t>3</w:t>
      </w:r>
      <w:r>
        <w:rPr>
          <w:rFonts w:hint="eastAsia"/>
        </w:rPr>
        <w:t xml:space="preserve"> 当80≤综合评价得分＜90时，评价为二星级；</w:t>
      </w:r>
    </w:p>
    <w:p>
      <w:pPr>
        <w:pStyle w:val="22"/>
        <w:ind w:firstLine="482"/>
        <w:rPr>
          <w:b/>
          <w:bCs/>
        </w:rPr>
      </w:pPr>
      <w:r>
        <w:rPr>
          <w:rFonts w:hint="eastAsia"/>
          <w:b/>
          <w:bCs/>
        </w:rPr>
        <w:t>4</w:t>
      </w:r>
      <w:r>
        <w:rPr>
          <w:rFonts w:hint="eastAsia"/>
        </w:rPr>
        <w:t xml:space="preserve"> 当90≤综合评价得分</w:t>
      </w:r>
      <w:r>
        <w:rPr>
          <w:rFonts w:hint="eastAsia" w:ascii="东文宋体" w:hAnsi="东文宋体" w:eastAsia="东文宋体" w:cs="东文宋体"/>
        </w:rPr>
        <w:t>≤</w:t>
      </w:r>
      <w:r>
        <w:rPr>
          <w:rFonts w:hint="eastAsia"/>
        </w:rPr>
        <w:t>100时，评价为三星级。</w:t>
      </w:r>
    </w:p>
    <w:p>
      <w:pPr>
        <w:pStyle w:val="20"/>
      </w:pPr>
      <w:r>
        <w:rPr>
          <w:rFonts w:hint="eastAsia"/>
          <w:b/>
          <w:bCs/>
        </w:rPr>
        <w:t xml:space="preserve">4.2.6 </w:t>
      </w:r>
      <w:r>
        <w:rPr>
          <w:rFonts w:hint="eastAsia"/>
        </w:rPr>
        <w:t>预制构件生产企业应拥有自主的厂区厂房及自主的生产设备，相关场地、设施应满足国家和地方标准相关要求。场地与设施条件评分详见表4.2.6，包括评分项和加分项评分。评分项分值为100分，加分项分值为9分，总得分超过100分则按100分计。场地与设施条件评分总得分低于60分时，终止评价。</w:t>
      </w:r>
    </w:p>
    <w:p>
      <w:pPr>
        <w:pStyle w:val="23"/>
      </w:pPr>
      <w:bookmarkStart w:id="94" w:name="_Toc20883"/>
      <w:bookmarkStart w:id="95" w:name="_Toc3706"/>
      <w:bookmarkStart w:id="96" w:name="_Toc22206"/>
      <w:bookmarkStart w:id="97" w:name="_Toc7582"/>
      <w:bookmarkStart w:id="98" w:name="_Toc15487"/>
      <w:bookmarkStart w:id="99" w:name="_Toc7470"/>
      <w:bookmarkStart w:id="100" w:name="_Toc13570"/>
      <w:bookmarkStart w:id="101" w:name="_Toc10470"/>
      <w:r>
        <w:rPr>
          <w:rFonts w:hint="eastAsia"/>
        </w:rPr>
        <w:t>表4.2.6 场地与设施条件评分表（</w:t>
      </w:r>
      <w:r>
        <w:rPr>
          <w:rFonts w:hint="eastAsia"/>
          <w:sz w:val="24"/>
          <w:szCs w:val="21"/>
        </w:rPr>
        <w:t>Q</w:t>
      </w:r>
      <w:r>
        <w:rPr>
          <w:rFonts w:hint="eastAsia"/>
          <w:sz w:val="24"/>
          <w:szCs w:val="21"/>
          <w:vertAlign w:val="subscript"/>
        </w:rPr>
        <w:t>1</w:t>
      </w:r>
      <w:r>
        <w:rPr>
          <w:rFonts w:hint="eastAsia"/>
        </w:rPr>
        <w:t>）</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199"/>
        <w:gridCol w:w="4298"/>
        <w:gridCol w:w="1212"/>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pPr>
              <w:pStyle w:val="23"/>
            </w:pPr>
            <w:r>
              <w:rPr>
                <w:rFonts w:hint="eastAsia"/>
              </w:rPr>
              <w:t>序号</w:t>
            </w:r>
          </w:p>
        </w:tc>
        <w:tc>
          <w:tcPr>
            <w:tcW w:w="3035" w:type="pct"/>
            <w:gridSpan w:val="2"/>
            <w:vAlign w:val="center"/>
          </w:tcPr>
          <w:p>
            <w:pPr>
              <w:pStyle w:val="23"/>
            </w:pPr>
            <w:r>
              <w:rPr>
                <w:rFonts w:hint="eastAsia"/>
              </w:rPr>
              <w:t>评分项</w:t>
            </w:r>
          </w:p>
        </w:tc>
        <w:tc>
          <w:tcPr>
            <w:tcW w:w="669" w:type="pct"/>
            <w:vAlign w:val="center"/>
          </w:tcPr>
          <w:p>
            <w:pPr>
              <w:pStyle w:val="23"/>
            </w:pPr>
            <w:r>
              <w:rPr>
                <w:rFonts w:hint="eastAsia"/>
              </w:rPr>
              <w:t>评价分值</w:t>
            </w:r>
          </w:p>
        </w:tc>
        <w:tc>
          <w:tcPr>
            <w:tcW w:w="852" w:type="pct"/>
            <w:vAlign w:val="center"/>
          </w:tcPr>
          <w:p>
            <w:pPr>
              <w:pStyle w:val="23"/>
            </w:pPr>
            <w:r>
              <w:rPr>
                <w:rFonts w:hint="eastAsia"/>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pPr>
              <w:pStyle w:val="23"/>
            </w:pPr>
            <w:r>
              <w:rPr>
                <w:rFonts w:hint="eastAsia"/>
              </w:rPr>
              <w:t>1</w:t>
            </w:r>
          </w:p>
        </w:tc>
        <w:tc>
          <w:tcPr>
            <w:tcW w:w="3035" w:type="pct"/>
            <w:gridSpan w:val="2"/>
            <w:vAlign w:val="center"/>
          </w:tcPr>
          <w:p>
            <w:pPr>
              <w:pStyle w:val="23"/>
            </w:pPr>
            <w:r>
              <w:rPr>
                <w:rFonts w:hint="eastAsia"/>
              </w:rPr>
              <w:t>生产场地规模</w:t>
            </w:r>
          </w:p>
        </w:tc>
        <w:tc>
          <w:tcPr>
            <w:tcW w:w="669" w:type="pct"/>
            <w:vAlign w:val="center"/>
          </w:tcPr>
          <w:p>
            <w:pPr>
              <w:pStyle w:val="23"/>
            </w:pPr>
            <w:r>
              <w:rPr>
                <w:rFonts w:hint="eastAsia"/>
              </w:rPr>
              <w:t>30</w:t>
            </w:r>
          </w:p>
        </w:tc>
        <w:tc>
          <w:tcPr>
            <w:tcW w:w="852" w:type="pct"/>
            <w:vMerge w:val="restart"/>
            <w:vAlign w:val="center"/>
          </w:tcPr>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r>
              <w:rPr>
                <w:rFonts w:hint="eastAsia"/>
              </w:rPr>
              <w:t>核查资产证明等相关书面资料，现场查看相关设备、生产车间、场地布置图等。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pPr>
              <w:pStyle w:val="23"/>
            </w:pPr>
            <w:r>
              <w:rPr>
                <w:rFonts w:hint="eastAsia"/>
              </w:rPr>
              <w:t>1.1</w:t>
            </w:r>
          </w:p>
        </w:tc>
        <w:tc>
          <w:tcPr>
            <w:tcW w:w="3035" w:type="pct"/>
            <w:gridSpan w:val="2"/>
            <w:vAlign w:val="center"/>
          </w:tcPr>
          <w:p>
            <w:pPr>
              <w:pStyle w:val="23"/>
            </w:pPr>
            <w:r>
              <w:rPr>
                <w:rFonts w:hint="eastAsia"/>
              </w:rPr>
              <w:t>具有20000平方米以上的生产车间</w:t>
            </w:r>
          </w:p>
        </w:tc>
        <w:tc>
          <w:tcPr>
            <w:tcW w:w="669" w:type="pct"/>
            <w:vAlign w:val="center"/>
          </w:tcPr>
          <w:p>
            <w:pPr>
              <w:pStyle w:val="23"/>
            </w:pPr>
            <w:r>
              <w:rPr>
                <w:rFonts w:hint="eastAsia"/>
              </w:rPr>
              <w:t>30</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3" w:type="pct"/>
            <w:vAlign w:val="center"/>
          </w:tcPr>
          <w:p>
            <w:pPr>
              <w:pStyle w:val="23"/>
            </w:pPr>
            <w:r>
              <w:rPr>
                <w:rFonts w:hint="eastAsia"/>
              </w:rPr>
              <w:t>1.2</w:t>
            </w:r>
          </w:p>
        </w:tc>
        <w:tc>
          <w:tcPr>
            <w:tcW w:w="3035" w:type="pct"/>
            <w:gridSpan w:val="2"/>
            <w:vAlign w:val="center"/>
          </w:tcPr>
          <w:p>
            <w:pPr>
              <w:pStyle w:val="23"/>
            </w:pPr>
            <w:r>
              <w:rPr>
                <w:rFonts w:hint="eastAsia"/>
              </w:rPr>
              <w:t>具有15000平方米-20000平方米的生产车间</w:t>
            </w:r>
          </w:p>
        </w:tc>
        <w:tc>
          <w:tcPr>
            <w:tcW w:w="669" w:type="pct"/>
            <w:vAlign w:val="center"/>
          </w:tcPr>
          <w:p>
            <w:pPr>
              <w:pStyle w:val="23"/>
            </w:pPr>
            <w:r>
              <w:rPr>
                <w:rFonts w:hint="eastAsia"/>
              </w:rPr>
              <w:t>20-30</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pPr>
              <w:pStyle w:val="23"/>
            </w:pPr>
            <w:r>
              <w:rPr>
                <w:rFonts w:hint="eastAsia"/>
              </w:rPr>
              <w:t>1.3</w:t>
            </w:r>
          </w:p>
        </w:tc>
        <w:tc>
          <w:tcPr>
            <w:tcW w:w="3035" w:type="pct"/>
            <w:gridSpan w:val="2"/>
            <w:vAlign w:val="center"/>
          </w:tcPr>
          <w:p>
            <w:pPr>
              <w:pStyle w:val="23"/>
            </w:pPr>
            <w:r>
              <w:rPr>
                <w:rFonts w:hint="eastAsia"/>
              </w:rPr>
              <w:t>具有10000平方米-15000平方米的生产车间</w:t>
            </w:r>
          </w:p>
        </w:tc>
        <w:tc>
          <w:tcPr>
            <w:tcW w:w="669" w:type="pct"/>
            <w:vAlign w:val="center"/>
          </w:tcPr>
          <w:p>
            <w:pPr>
              <w:pStyle w:val="23"/>
            </w:pPr>
            <w:r>
              <w:rPr>
                <w:rFonts w:hint="eastAsia"/>
              </w:rPr>
              <w:t>10-20</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pPr>
              <w:pStyle w:val="23"/>
            </w:pPr>
            <w:r>
              <w:rPr>
                <w:rFonts w:hint="eastAsia"/>
              </w:rPr>
              <w:t>1.4</w:t>
            </w:r>
          </w:p>
        </w:tc>
        <w:tc>
          <w:tcPr>
            <w:tcW w:w="3035" w:type="pct"/>
            <w:gridSpan w:val="2"/>
            <w:vAlign w:val="center"/>
          </w:tcPr>
          <w:p>
            <w:pPr>
              <w:pStyle w:val="23"/>
            </w:pPr>
            <w:r>
              <w:rPr>
                <w:rFonts w:hint="eastAsia"/>
              </w:rPr>
              <w:t>具有少于10000平方米的生产车间</w:t>
            </w:r>
          </w:p>
        </w:tc>
        <w:tc>
          <w:tcPr>
            <w:tcW w:w="669" w:type="pct"/>
            <w:vAlign w:val="center"/>
          </w:tcPr>
          <w:p>
            <w:pPr>
              <w:pStyle w:val="23"/>
            </w:pPr>
            <w:r>
              <w:rPr>
                <w:rFonts w:hint="eastAsia"/>
              </w:rPr>
              <w:t>终止评价</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shd w:val="clear" w:color="auto" w:fill="auto"/>
            <w:vAlign w:val="center"/>
          </w:tcPr>
          <w:p>
            <w:pPr>
              <w:pStyle w:val="23"/>
            </w:pPr>
            <w:r>
              <w:rPr>
                <w:rFonts w:hint="eastAsia"/>
              </w:rPr>
              <w:t>2</w:t>
            </w:r>
          </w:p>
        </w:tc>
        <w:tc>
          <w:tcPr>
            <w:tcW w:w="3035" w:type="pct"/>
            <w:gridSpan w:val="2"/>
            <w:shd w:val="clear" w:color="auto" w:fill="auto"/>
            <w:vAlign w:val="center"/>
          </w:tcPr>
          <w:p>
            <w:pPr>
              <w:pStyle w:val="23"/>
            </w:pPr>
            <w:r>
              <w:rPr>
                <w:rFonts w:hint="eastAsia"/>
              </w:rPr>
              <w:t>堆场规模</w:t>
            </w:r>
          </w:p>
        </w:tc>
        <w:tc>
          <w:tcPr>
            <w:tcW w:w="669" w:type="pct"/>
            <w:shd w:val="clear" w:color="auto" w:fill="auto"/>
            <w:vAlign w:val="center"/>
          </w:tcPr>
          <w:p>
            <w:pPr>
              <w:pStyle w:val="23"/>
            </w:pPr>
            <w:r>
              <w:rPr>
                <w:rFonts w:hint="eastAsia"/>
              </w:rPr>
              <w:t>10</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3" w:type="pct"/>
            <w:shd w:val="clear" w:color="auto" w:fill="auto"/>
            <w:vAlign w:val="center"/>
          </w:tcPr>
          <w:p>
            <w:pPr>
              <w:pStyle w:val="23"/>
            </w:pPr>
            <w:r>
              <w:rPr>
                <w:rFonts w:hint="eastAsia"/>
              </w:rPr>
              <w:t>2.1</w:t>
            </w:r>
          </w:p>
        </w:tc>
        <w:tc>
          <w:tcPr>
            <w:tcW w:w="3035" w:type="pct"/>
            <w:gridSpan w:val="2"/>
            <w:shd w:val="clear" w:color="auto" w:fill="auto"/>
            <w:vAlign w:val="center"/>
          </w:tcPr>
          <w:p>
            <w:pPr>
              <w:pStyle w:val="23"/>
            </w:pPr>
            <w:r>
              <w:rPr>
                <w:rFonts w:hint="eastAsia"/>
              </w:rPr>
              <w:t>构件堆场面积与生产车间面积比例不小于0.8</w:t>
            </w:r>
          </w:p>
        </w:tc>
        <w:tc>
          <w:tcPr>
            <w:tcW w:w="669" w:type="pct"/>
            <w:shd w:val="clear" w:color="auto" w:fill="auto"/>
            <w:vAlign w:val="center"/>
          </w:tcPr>
          <w:p>
            <w:pPr>
              <w:pStyle w:val="23"/>
            </w:pPr>
            <w:r>
              <w:rPr>
                <w:rFonts w:hint="eastAsia"/>
              </w:rPr>
              <w:t>10</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shd w:val="clear" w:color="auto" w:fill="auto"/>
            <w:vAlign w:val="center"/>
          </w:tcPr>
          <w:p>
            <w:pPr>
              <w:pStyle w:val="23"/>
            </w:pPr>
            <w:r>
              <w:rPr>
                <w:rFonts w:hint="eastAsia"/>
              </w:rPr>
              <w:t>2.2</w:t>
            </w:r>
          </w:p>
        </w:tc>
        <w:tc>
          <w:tcPr>
            <w:tcW w:w="3035" w:type="pct"/>
            <w:gridSpan w:val="2"/>
            <w:shd w:val="clear" w:color="auto" w:fill="auto"/>
            <w:vAlign w:val="center"/>
          </w:tcPr>
          <w:p>
            <w:pPr>
              <w:pStyle w:val="23"/>
            </w:pPr>
            <w:r>
              <w:rPr>
                <w:rFonts w:hint="eastAsia"/>
              </w:rPr>
              <w:t>构件堆场面积与生产车间面积比例为0.6-0.8</w:t>
            </w:r>
          </w:p>
        </w:tc>
        <w:tc>
          <w:tcPr>
            <w:tcW w:w="669" w:type="pct"/>
            <w:shd w:val="clear" w:color="auto" w:fill="auto"/>
            <w:vAlign w:val="center"/>
          </w:tcPr>
          <w:p>
            <w:pPr>
              <w:pStyle w:val="23"/>
            </w:pPr>
            <w:r>
              <w:rPr>
                <w:rFonts w:hint="eastAsia"/>
              </w:rPr>
              <w:t>5-10</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shd w:val="clear" w:color="auto" w:fill="auto"/>
            <w:vAlign w:val="center"/>
          </w:tcPr>
          <w:p>
            <w:pPr>
              <w:pStyle w:val="23"/>
            </w:pPr>
            <w:r>
              <w:rPr>
                <w:rFonts w:hint="eastAsia"/>
              </w:rPr>
              <w:t>2.3</w:t>
            </w:r>
          </w:p>
        </w:tc>
        <w:tc>
          <w:tcPr>
            <w:tcW w:w="3035" w:type="pct"/>
            <w:gridSpan w:val="2"/>
            <w:shd w:val="clear" w:color="auto" w:fill="auto"/>
            <w:vAlign w:val="center"/>
          </w:tcPr>
          <w:p>
            <w:pPr>
              <w:pStyle w:val="23"/>
            </w:pPr>
            <w:r>
              <w:rPr>
                <w:rFonts w:hint="eastAsia"/>
              </w:rPr>
              <w:t>构件堆场面积与生产车间面积比例为0.3-0.6</w:t>
            </w:r>
          </w:p>
        </w:tc>
        <w:tc>
          <w:tcPr>
            <w:tcW w:w="669" w:type="pct"/>
            <w:shd w:val="clear" w:color="auto" w:fill="auto"/>
            <w:vAlign w:val="center"/>
          </w:tcPr>
          <w:p>
            <w:pPr>
              <w:pStyle w:val="23"/>
            </w:pPr>
            <w:r>
              <w:rPr>
                <w:rFonts w:hint="eastAsia"/>
              </w:rPr>
              <w:t>0-5</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pPr>
              <w:pStyle w:val="23"/>
            </w:pPr>
            <w:r>
              <w:rPr>
                <w:rFonts w:hint="eastAsia"/>
              </w:rPr>
              <w:t>3</w:t>
            </w:r>
          </w:p>
        </w:tc>
        <w:tc>
          <w:tcPr>
            <w:tcW w:w="3035" w:type="pct"/>
            <w:gridSpan w:val="2"/>
            <w:vAlign w:val="center"/>
          </w:tcPr>
          <w:p>
            <w:pPr>
              <w:pStyle w:val="23"/>
            </w:pPr>
            <w:r>
              <w:rPr>
                <w:rFonts w:hint="eastAsia"/>
              </w:rPr>
              <w:t>生产设备</w:t>
            </w:r>
          </w:p>
        </w:tc>
        <w:tc>
          <w:tcPr>
            <w:tcW w:w="669" w:type="pct"/>
            <w:vAlign w:val="center"/>
          </w:tcPr>
          <w:p>
            <w:pPr>
              <w:pStyle w:val="23"/>
            </w:pPr>
            <w:r>
              <w:rPr>
                <w:rFonts w:hint="eastAsia"/>
              </w:rPr>
              <w:t>46</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3" w:type="pct"/>
            <w:vMerge w:val="restart"/>
            <w:vAlign w:val="center"/>
          </w:tcPr>
          <w:p>
            <w:pPr>
              <w:pStyle w:val="23"/>
            </w:pPr>
            <w:r>
              <w:rPr>
                <w:rFonts w:hint="eastAsia"/>
              </w:rPr>
              <w:t>3.1</w:t>
            </w:r>
          </w:p>
        </w:tc>
        <w:tc>
          <w:tcPr>
            <w:tcW w:w="662" w:type="pct"/>
            <w:vMerge w:val="restart"/>
            <w:vAlign w:val="center"/>
          </w:tcPr>
          <w:p>
            <w:pPr>
              <w:pStyle w:val="23"/>
            </w:pPr>
            <w:r>
              <w:rPr>
                <w:rFonts w:hint="eastAsia"/>
              </w:rPr>
              <w:t>混凝土加工设备</w:t>
            </w:r>
          </w:p>
        </w:tc>
        <w:tc>
          <w:tcPr>
            <w:tcW w:w="2373" w:type="pct"/>
            <w:vAlign w:val="center"/>
          </w:tcPr>
          <w:p>
            <w:pPr>
              <w:pStyle w:val="23"/>
            </w:pPr>
            <w:r>
              <w:rPr>
                <w:rFonts w:hint="eastAsia"/>
              </w:rPr>
              <w:t>120型及以上混凝土搅拌站成套设备</w:t>
            </w:r>
          </w:p>
        </w:tc>
        <w:tc>
          <w:tcPr>
            <w:tcW w:w="669" w:type="pct"/>
            <w:vAlign w:val="center"/>
          </w:tcPr>
          <w:p>
            <w:pPr>
              <w:pStyle w:val="23"/>
            </w:pPr>
            <w:r>
              <w:rPr>
                <w:rFonts w:hint="eastAsia"/>
              </w:rPr>
              <w:t>15</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Merge w:val="continue"/>
            <w:vAlign w:val="center"/>
          </w:tcPr>
          <w:p>
            <w:pPr>
              <w:pStyle w:val="23"/>
            </w:pPr>
          </w:p>
        </w:tc>
        <w:tc>
          <w:tcPr>
            <w:tcW w:w="662" w:type="pct"/>
            <w:vMerge w:val="continue"/>
            <w:vAlign w:val="center"/>
          </w:tcPr>
          <w:p>
            <w:pPr>
              <w:pStyle w:val="23"/>
            </w:pPr>
          </w:p>
        </w:tc>
        <w:tc>
          <w:tcPr>
            <w:tcW w:w="2373" w:type="pct"/>
            <w:vAlign w:val="center"/>
          </w:tcPr>
          <w:p>
            <w:pPr>
              <w:pStyle w:val="23"/>
            </w:pPr>
            <w:r>
              <w:rPr>
                <w:rFonts w:hint="eastAsia"/>
              </w:rPr>
              <w:t>90型-120型（不含）混凝土搅拌站成套设备</w:t>
            </w:r>
          </w:p>
        </w:tc>
        <w:tc>
          <w:tcPr>
            <w:tcW w:w="669" w:type="pct"/>
            <w:vAlign w:val="center"/>
          </w:tcPr>
          <w:p>
            <w:pPr>
              <w:pStyle w:val="23"/>
            </w:pPr>
            <w:r>
              <w:rPr>
                <w:rFonts w:hint="eastAsia"/>
              </w:rPr>
              <w:t>10</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Merge w:val="continue"/>
            <w:vAlign w:val="center"/>
          </w:tcPr>
          <w:p>
            <w:pPr>
              <w:pStyle w:val="23"/>
            </w:pPr>
          </w:p>
        </w:tc>
        <w:tc>
          <w:tcPr>
            <w:tcW w:w="662" w:type="pct"/>
            <w:vMerge w:val="continue"/>
            <w:vAlign w:val="center"/>
          </w:tcPr>
          <w:p>
            <w:pPr>
              <w:pStyle w:val="23"/>
            </w:pPr>
          </w:p>
        </w:tc>
        <w:tc>
          <w:tcPr>
            <w:tcW w:w="2373" w:type="pct"/>
            <w:vAlign w:val="center"/>
          </w:tcPr>
          <w:p>
            <w:pPr>
              <w:pStyle w:val="23"/>
            </w:pPr>
            <w:r>
              <w:rPr>
                <w:rFonts w:hint="eastAsia"/>
              </w:rPr>
              <w:t>60型-90型（不含）混凝土搅拌站成套设备</w:t>
            </w:r>
          </w:p>
        </w:tc>
        <w:tc>
          <w:tcPr>
            <w:tcW w:w="669" w:type="pct"/>
            <w:vAlign w:val="center"/>
          </w:tcPr>
          <w:p>
            <w:pPr>
              <w:pStyle w:val="23"/>
            </w:pPr>
            <w:r>
              <w:rPr>
                <w:rFonts w:hint="eastAsia"/>
              </w:rPr>
              <w:t>5</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Merge w:val="restart"/>
            <w:vAlign w:val="center"/>
          </w:tcPr>
          <w:p>
            <w:pPr>
              <w:pStyle w:val="23"/>
            </w:pPr>
            <w:r>
              <w:rPr>
                <w:rFonts w:hint="eastAsia"/>
              </w:rPr>
              <w:t>3.2</w:t>
            </w:r>
          </w:p>
        </w:tc>
        <w:tc>
          <w:tcPr>
            <w:tcW w:w="662" w:type="pct"/>
            <w:vMerge w:val="restart"/>
            <w:vAlign w:val="center"/>
          </w:tcPr>
          <w:p>
            <w:pPr>
              <w:pStyle w:val="23"/>
            </w:pPr>
            <w:r>
              <w:rPr>
                <w:rFonts w:hint="eastAsia"/>
              </w:rPr>
              <w:t>起装设备</w:t>
            </w:r>
          </w:p>
        </w:tc>
        <w:tc>
          <w:tcPr>
            <w:tcW w:w="2373" w:type="pct"/>
            <w:vAlign w:val="center"/>
          </w:tcPr>
          <w:p>
            <w:pPr>
              <w:pStyle w:val="23"/>
            </w:pPr>
            <w:r>
              <w:rPr>
                <w:rFonts w:hint="eastAsia"/>
              </w:rPr>
              <w:t>起装设备不少于14台，或起吊总吨位120吨及以上</w:t>
            </w:r>
          </w:p>
        </w:tc>
        <w:tc>
          <w:tcPr>
            <w:tcW w:w="669" w:type="pct"/>
            <w:vAlign w:val="center"/>
          </w:tcPr>
          <w:p>
            <w:pPr>
              <w:pStyle w:val="23"/>
            </w:pPr>
            <w:r>
              <w:rPr>
                <w:rFonts w:hint="eastAsia"/>
              </w:rPr>
              <w:t>15</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3" w:type="pct"/>
            <w:vMerge w:val="continue"/>
            <w:vAlign w:val="center"/>
          </w:tcPr>
          <w:p>
            <w:pPr>
              <w:pStyle w:val="23"/>
            </w:pPr>
          </w:p>
        </w:tc>
        <w:tc>
          <w:tcPr>
            <w:tcW w:w="662" w:type="pct"/>
            <w:vMerge w:val="continue"/>
            <w:vAlign w:val="center"/>
          </w:tcPr>
          <w:p>
            <w:pPr>
              <w:pStyle w:val="23"/>
            </w:pPr>
          </w:p>
        </w:tc>
        <w:tc>
          <w:tcPr>
            <w:tcW w:w="2373" w:type="pct"/>
            <w:vAlign w:val="center"/>
          </w:tcPr>
          <w:p>
            <w:pPr>
              <w:pStyle w:val="23"/>
            </w:pPr>
            <w:r>
              <w:rPr>
                <w:rFonts w:hint="eastAsia"/>
              </w:rPr>
              <w:t>起装设备10台-13台，或起吊总吨位80吨-119吨</w:t>
            </w:r>
          </w:p>
        </w:tc>
        <w:tc>
          <w:tcPr>
            <w:tcW w:w="669" w:type="pct"/>
            <w:vAlign w:val="center"/>
          </w:tcPr>
          <w:p>
            <w:pPr>
              <w:pStyle w:val="23"/>
            </w:pPr>
            <w:r>
              <w:rPr>
                <w:rFonts w:hint="eastAsia"/>
              </w:rPr>
              <w:t>11-14</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Merge w:val="continue"/>
            <w:vAlign w:val="center"/>
          </w:tcPr>
          <w:p>
            <w:pPr>
              <w:pStyle w:val="23"/>
            </w:pPr>
          </w:p>
        </w:tc>
        <w:tc>
          <w:tcPr>
            <w:tcW w:w="662" w:type="pct"/>
            <w:vMerge w:val="continue"/>
            <w:vAlign w:val="center"/>
          </w:tcPr>
          <w:p>
            <w:pPr>
              <w:pStyle w:val="23"/>
            </w:pPr>
          </w:p>
        </w:tc>
        <w:tc>
          <w:tcPr>
            <w:tcW w:w="2373" w:type="pct"/>
            <w:vAlign w:val="center"/>
          </w:tcPr>
          <w:p>
            <w:pPr>
              <w:pStyle w:val="23"/>
            </w:pPr>
            <w:r>
              <w:rPr>
                <w:rFonts w:hint="eastAsia"/>
              </w:rPr>
              <w:t>起装设备6台-9台，或起吊总吨位60吨-79吨</w:t>
            </w:r>
          </w:p>
        </w:tc>
        <w:tc>
          <w:tcPr>
            <w:tcW w:w="669" w:type="pct"/>
            <w:vAlign w:val="center"/>
          </w:tcPr>
          <w:p>
            <w:pPr>
              <w:pStyle w:val="23"/>
            </w:pPr>
            <w:r>
              <w:rPr>
                <w:rFonts w:hint="eastAsia"/>
              </w:rPr>
              <w:t>5-10</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Merge w:val="restart"/>
            <w:vAlign w:val="center"/>
          </w:tcPr>
          <w:p>
            <w:pPr>
              <w:pStyle w:val="23"/>
            </w:pPr>
            <w:r>
              <w:rPr>
                <w:rFonts w:hint="eastAsia"/>
              </w:rPr>
              <w:t>3.3</w:t>
            </w:r>
          </w:p>
        </w:tc>
        <w:tc>
          <w:tcPr>
            <w:tcW w:w="662" w:type="pct"/>
            <w:vMerge w:val="restart"/>
            <w:vAlign w:val="center"/>
          </w:tcPr>
          <w:p>
            <w:pPr>
              <w:pStyle w:val="23"/>
            </w:pPr>
            <w:r>
              <w:rPr>
                <w:rFonts w:hint="eastAsia"/>
              </w:rPr>
              <w:t>钢筋加工设备</w:t>
            </w:r>
          </w:p>
        </w:tc>
        <w:tc>
          <w:tcPr>
            <w:tcW w:w="2373" w:type="pct"/>
            <w:vAlign w:val="center"/>
          </w:tcPr>
          <w:p>
            <w:pPr>
              <w:pStyle w:val="23"/>
            </w:pPr>
            <w:r>
              <w:rPr>
                <w:rFonts w:hint="eastAsia"/>
              </w:rPr>
              <w:t>全部采用数控钢筋加工设备</w:t>
            </w:r>
          </w:p>
        </w:tc>
        <w:tc>
          <w:tcPr>
            <w:tcW w:w="669" w:type="pct"/>
            <w:vAlign w:val="center"/>
          </w:tcPr>
          <w:p>
            <w:pPr>
              <w:pStyle w:val="23"/>
            </w:pPr>
            <w:r>
              <w:rPr>
                <w:rFonts w:hint="eastAsia"/>
              </w:rPr>
              <w:t>10</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Merge w:val="continue"/>
            <w:vAlign w:val="center"/>
          </w:tcPr>
          <w:p>
            <w:pPr>
              <w:pStyle w:val="23"/>
            </w:pPr>
          </w:p>
        </w:tc>
        <w:tc>
          <w:tcPr>
            <w:tcW w:w="662" w:type="pct"/>
            <w:vMerge w:val="continue"/>
            <w:vAlign w:val="center"/>
          </w:tcPr>
          <w:p>
            <w:pPr>
              <w:pStyle w:val="23"/>
            </w:pPr>
          </w:p>
        </w:tc>
        <w:tc>
          <w:tcPr>
            <w:tcW w:w="2373" w:type="pct"/>
            <w:vAlign w:val="center"/>
          </w:tcPr>
          <w:p>
            <w:pPr>
              <w:pStyle w:val="23"/>
            </w:pPr>
            <w:r>
              <w:rPr>
                <w:rFonts w:hint="eastAsia"/>
              </w:rPr>
              <w:t>数控钢筋加工设备1-2台，或机械钢筋加工设备3-5台</w:t>
            </w:r>
          </w:p>
        </w:tc>
        <w:tc>
          <w:tcPr>
            <w:tcW w:w="669" w:type="pct"/>
            <w:vAlign w:val="center"/>
          </w:tcPr>
          <w:p>
            <w:pPr>
              <w:pStyle w:val="23"/>
            </w:pPr>
            <w:r>
              <w:rPr>
                <w:rFonts w:hint="eastAsia"/>
              </w:rPr>
              <w:t>5-9</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3" w:type="pct"/>
            <w:vMerge w:val="continue"/>
            <w:vAlign w:val="center"/>
          </w:tcPr>
          <w:p>
            <w:pPr>
              <w:pStyle w:val="23"/>
            </w:pPr>
          </w:p>
        </w:tc>
        <w:tc>
          <w:tcPr>
            <w:tcW w:w="662" w:type="pct"/>
            <w:vMerge w:val="continue"/>
            <w:vAlign w:val="center"/>
          </w:tcPr>
          <w:p>
            <w:pPr>
              <w:pStyle w:val="23"/>
            </w:pPr>
          </w:p>
        </w:tc>
        <w:tc>
          <w:tcPr>
            <w:tcW w:w="2373" w:type="pct"/>
            <w:vAlign w:val="center"/>
          </w:tcPr>
          <w:p>
            <w:pPr>
              <w:pStyle w:val="23"/>
            </w:pPr>
            <w:r>
              <w:rPr>
                <w:rFonts w:hint="eastAsia"/>
              </w:rPr>
              <w:t>无钢筋加工设备</w:t>
            </w:r>
          </w:p>
        </w:tc>
        <w:tc>
          <w:tcPr>
            <w:tcW w:w="669" w:type="pct"/>
            <w:vAlign w:val="center"/>
          </w:tcPr>
          <w:p>
            <w:pPr>
              <w:pStyle w:val="23"/>
            </w:pPr>
            <w:r>
              <w:rPr>
                <w:rFonts w:hint="eastAsia"/>
              </w:rPr>
              <w:t>0</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Merge w:val="restart"/>
            <w:vAlign w:val="center"/>
          </w:tcPr>
          <w:p>
            <w:pPr>
              <w:pStyle w:val="23"/>
            </w:pPr>
            <w:r>
              <w:rPr>
                <w:rFonts w:hint="eastAsia"/>
              </w:rPr>
              <w:t>3.4</w:t>
            </w:r>
          </w:p>
        </w:tc>
        <w:tc>
          <w:tcPr>
            <w:tcW w:w="662" w:type="pct"/>
            <w:vMerge w:val="restart"/>
            <w:vAlign w:val="center"/>
          </w:tcPr>
          <w:p>
            <w:pPr>
              <w:pStyle w:val="23"/>
            </w:pPr>
            <w:r>
              <w:rPr>
                <w:rFonts w:hint="eastAsia"/>
              </w:rPr>
              <w:t>加分项</w:t>
            </w:r>
          </w:p>
        </w:tc>
        <w:tc>
          <w:tcPr>
            <w:tcW w:w="2373" w:type="pct"/>
            <w:vAlign w:val="center"/>
          </w:tcPr>
          <w:p>
            <w:pPr>
              <w:pStyle w:val="23"/>
            </w:pPr>
            <w:r>
              <w:rPr>
                <w:rFonts w:hint="eastAsia"/>
              </w:rPr>
              <w:t>自动化流水线设备1条及以上</w:t>
            </w:r>
          </w:p>
        </w:tc>
        <w:tc>
          <w:tcPr>
            <w:tcW w:w="669" w:type="pct"/>
            <w:vAlign w:val="center"/>
          </w:tcPr>
          <w:p>
            <w:pPr>
              <w:pStyle w:val="23"/>
            </w:pPr>
            <w:r>
              <w:rPr>
                <w:rFonts w:hint="eastAsia"/>
              </w:rPr>
              <w:t>2</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Merge w:val="continue"/>
            <w:vAlign w:val="center"/>
          </w:tcPr>
          <w:p>
            <w:pPr>
              <w:pStyle w:val="23"/>
            </w:pPr>
          </w:p>
        </w:tc>
        <w:tc>
          <w:tcPr>
            <w:tcW w:w="662" w:type="pct"/>
            <w:vMerge w:val="continue"/>
            <w:vAlign w:val="center"/>
          </w:tcPr>
          <w:p>
            <w:pPr>
              <w:pStyle w:val="23"/>
            </w:pPr>
          </w:p>
        </w:tc>
        <w:tc>
          <w:tcPr>
            <w:tcW w:w="2373" w:type="pct"/>
            <w:vAlign w:val="center"/>
          </w:tcPr>
          <w:p>
            <w:pPr>
              <w:pStyle w:val="23"/>
            </w:pPr>
            <w:r>
              <w:rPr>
                <w:rFonts w:hint="eastAsia"/>
              </w:rPr>
              <w:t>模具加工设备1套及以上</w:t>
            </w:r>
          </w:p>
        </w:tc>
        <w:tc>
          <w:tcPr>
            <w:tcW w:w="669" w:type="pct"/>
            <w:vAlign w:val="center"/>
          </w:tcPr>
          <w:p>
            <w:pPr>
              <w:pStyle w:val="23"/>
            </w:pPr>
            <w:r>
              <w:rPr>
                <w:rFonts w:hint="eastAsia"/>
              </w:rPr>
              <w:t>2</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Merge w:val="continue"/>
            <w:vAlign w:val="center"/>
          </w:tcPr>
          <w:p>
            <w:pPr>
              <w:pStyle w:val="23"/>
            </w:pPr>
          </w:p>
        </w:tc>
        <w:tc>
          <w:tcPr>
            <w:tcW w:w="662" w:type="pct"/>
            <w:vMerge w:val="continue"/>
            <w:vAlign w:val="center"/>
          </w:tcPr>
          <w:p>
            <w:pPr>
              <w:pStyle w:val="23"/>
            </w:pPr>
          </w:p>
        </w:tc>
        <w:tc>
          <w:tcPr>
            <w:tcW w:w="2373" w:type="pct"/>
            <w:vAlign w:val="center"/>
          </w:tcPr>
          <w:p>
            <w:pPr>
              <w:pStyle w:val="23"/>
            </w:pPr>
            <w:r>
              <w:rPr>
                <w:rFonts w:hint="eastAsia"/>
              </w:rPr>
              <w:t>预应力构件生产设备1套及以上</w:t>
            </w:r>
          </w:p>
        </w:tc>
        <w:tc>
          <w:tcPr>
            <w:tcW w:w="669" w:type="pct"/>
            <w:vAlign w:val="center"/>
          </w:tcPr>
          <w:p>
            <w:pPr>
              <w:pStyle w:val="23"/>
            </w:pPr>
            <w:r>
              <w:rPr>
                <w:rFonts w:hint="eastAsia"/>
              </w:rPr>
              <w:t>2</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3" w:type="pct"/>
            <w:vAlign w:val="center"/>
          </w:tcPr>
          <w:p>
            <w:pPr>
              <w:pStyle w:val="23"/>
            </w:pPr>
            <w:r>
              <w:rPr>
                <w:rFonts w:hint="eastAsia"/>
              </w:rPr>
              <w:t>4</w:t>
            </w:r>
          </w:p>
        </w:tc>
        <w:tc>
          <w:tcPr>
            <w:tcW w:w="3035" w:type="pct"/>
            <w:gridSpan w:val="2"/>
            <w:vAlign w:val="center"/>
          </w:tcPr>
          <w:p>
            <w:pPr>
              <w:pStyle w:val="23"/>
            </w:pPr>
            <w:r>
              <w:rPr>
                <w:rFonts w:hint="eastAsia"/>
              </w:rPr>
              <w:t>检测设备（试验室）</w:t>
            </w:r>
          </w:p>
        </w:tc>
        <w:tc>
          <w:tcPr>
            <w:tcW w:w="669" w:type="pct"/>
            <w:vAlign w:val="center"/>
          </w:tcPr>
          <w:p>
            <w:pPr>
              <w:pStyle w:val="23"/>
            </w:pPr>
            <w:r>
              <w:rPr>
                <w:rFonts w:hint="eastAsia"/>
              </w:rPr>
              <w:t>22</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pPr>
              <w:pStyle w:val="23"/>
            </w:pPr>
            <w:r>
              <w:rPr>
                <w:rFonts w:hint="eastAsia"/>
              </w:rPr>
              <w:t>4.1</w:t>
            </w:r>
          </w:p>
        </w:tc>
        <w:tc>
          <w:tcPr>
            <w:tcW w:w="3035" w:type="pct"/>
            <w:gridSpan w:val="2"/>
            <w:vAlign w:val="center"/>
          </w:tcPr>
          <w:p>
            <w:pPr>
              <w:pStyle w:val="23"/>
            </w:pPr>
            <w:r>
              <w:rPr>
                <w:rFonts w:hint="eastAsia"/>
              </w:rPr>
              <w:t>原材料检测成套设备：砂石、水泥、钢筋、外加剂、粉煤灰等</w:t>
            </w:r>
          </w:p>
        </w:tc>
        <w:tc>
          <w:tcPr>
            <w:tcW w:w="669" w:type="pct"/>
            <w:vAlign w:val="center"/>
          </w:tcPr>
          <w:p>
            <w:pPr>
              <w:pStyle w:val="23"/>
            </w:pPr>
            <w:r>
              <w:rPr>
                <w:rFonts w:hint="eastAsia"/>
              </w:rPr>
              <w:t>12</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Align w:val="center"/>
          </w:tcPr>
          <w:p>
            <w:pPr>
              <w:pStyle w:val="23"/>
            </w:pPr>
            <w:r>
              <w:rPr>
                <w:rFonts w:hint="eastAsia"/>
              </w:rPr>
              <w:t>4.2</w:t>
            </w:r>
          </w:p>
        </w:tc>
        <w:tc>
          <w:tcPr>
            <w:tcW w:w="3035" w:type="pct"/>
            <w:gridSpan w:val="2"/>
            <w:vAlign w:val="center"/>
          </w:tcPr>
          <w:p>
            <w:pPr>
              <w:pStyle w:val="23"/>
            </w:pPr>
            <w:r>
              <w:rPr>
                <w:rFonts w:hint="eastAsia"/>
              </w:rPr>
              <w:t>配合比设计成套设备</w:t>
            </w:r>
          </w:p>
        </w:tc>
        <w:tc>
          <w:tcPr>
            <w:tcW w:w="669" w:type="pct"/>
            <w:vAlign w:val="center"/>
          </w:tcPr>
          <w:p>
            <w:pPr>
              <w:pStyle w:val="23"/>
            </w:pPr>
            <w:r>
              <w:rPr>
                <w:rFonts w:hint="eastAsia"/>
              </w:rPr>
              <w:t>8</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 w:type="pct"/>
            <w:vMerge w:val="restart"/>
            <w:vAlign w:val="center"/>
          </w:tcPr>
          <w:p>
            <w:pPr>
              <w:pStyle w:val="23"/>
            </w:pPr>
            <w:r>
              <w:rPr>
                <w:rFonts w:hint="eastAsia"/>
              </w:rPr>
              <w:t>4.3</w:t>
            </w:r>
          </w:p>
        </w:tc>
        <w:tc>
          <w:tcPr>
            <w:tcW w:w="662" w:type="pct"/>
            <w:vMerge w:val="restart"/>
            <w:vAlign w:val="center"/>
          </w:tcPr>
          <w:p>
            <w:pPr>
              <w:pStyle w:val="23"/>
            </w:pPr>
            <w:r>
              <w:rPr>
                <w:rFonts w:hint="eastAsia"/>
              </w:rPr>
              <w:t>加分项</w:t>
            </w:r>
          </w:p>
        </w:tc>
        <w:tc>
          <w:tcPr>
            <w:tcW w:w="2373" w:type="pct"/>
            <w:vAlign w:val="center"/>
          </w:tcPr>
          <w:p>
            <w:pPr>
              <w:pStyle w:val="23"/>
            </w:pPr>
            <w:r>
              <w:rPr>
                <w:rFonts w:hint="eastAsia"/>
              </w:rPr>
              <w:t>试验室具备检测资质</w:t>
            </w:r>
          </w:p>
        </w:tc>
        <w:tc>
          <w:tcPr>
            <w:tcW w:w="669" w:type="pct"/>
            <w:vAlign w:val="center"/>
          </w:tcPr>
          <w:p>
            <w:pPr>
              <w:pStyle w:val="23"/>
            </w:pPr>
            <w:r>
              <w:rPr>
                <w:rFonts w:hint="eastAsia"/>
              </w:rPr>
              <w:t>1</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3" w:type="pct"/>
            <w:vMerge w:val="continue"/>
            <w:vAlign w:val="center"/>
          </w:tcPr>
          <w:p>
            <w:pPr>
              <w:pStyle w:val="23"/>
            </w:pPr>
          </w:p>
        </w:tc>
        <w:tc>
          <w:tcPr>
            <w:tcW w:w="662" w:type="pct"/>
            <w:vMerge w:val="continue"/>
            <w:vAlign w:val="center"/>
          </w:tcPr>
          <w:p>
            <w:pPr>
              <w:pStyle w:val="23"/>
            </w:pPr>
          </w:p>
        </w:tc>
        <w:tc>
          <w:tcPr>
            <w:tcW w:w="2373" w:type="pct"/>
            <w:vAlign w:val="center"/>
          </w:tcPr>
          <w:p>
            <w:pPr>
              <w:pStyle w:val="23"/>
            </w:pPr>
            <w:r>
              <w:rPr>
                <w:rFonts w:hint="eastAsia"/>
              </w:rPr>
              <w:t>试验室具备构件性能检验设备</w:t>
            </w:r>
          </w:p>
        </w:tc>
        <w:tc>
          <w:tcPr>
            <w:tcW w:w="669" w:type="pct"/>
            <w:vAlign w:val="center"/>
          </w:tcPr>
          <w:p>
            <w:pPr>
              <w:pStyle w:val="23"/>
            </w:pPr>
            <w:r>
              <w:rPr>
                <w:rFonts w:hint="eastAsia"/>
              </w:rPr>
              <w:t>1</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8" w:type="pct"/>
            <w:gridSpan w:val="3"/>
            <w:vAlign w:val="center"/>
          </w:tcPr>
          <w:p>
            <w:pPr>
              <w:pStyle w:val="23"/>
            </w:pPr>
            <w:r>
              <w:rPr>
                <w:rFonts w:hint="eastAsia"/>
              </w:rPr>
              <w:t>合计</w:t>
            </w:r>
          </w:p>
        </w:tc>
        <w:tc>
          <w:tcPr>
            <w:tcW w:w="669" w:type="pct"/>
            <w:vAlign w:val="center"/>
          </w:tcPr>
          <w:p>
            <w:pPr>
              <w:pStyle w:val="23"/>
            </w:pPr>
            <w:r>
              <w:rPr>
                <w:rFonts w:hint="eastAsia"/>
              </w:rPr>
              <w:t>100</w:t>
            </w:r>
          </w:p>
        </w:tc>
        <w:tc>
          <w:tcPr>
            <w:tcW w:w="852"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23"/>
              <w:jc w:val="left"/>
            </w:pPr>
            <w:r>
              <w:rPr>
                <w:rFonts w:hint="eastAsia"/>
              </w:rPr>
              <w:t>注：对于区间得分的评分项，按线性内插法得分，精确到小数点后1位。</w:t>
            </w:r>
          </w:p>
        </w:tc>
      </w:tr>
    </w:tbl>
    <w:p>
      <w:pPr>
        <w:pStyle w:val="20"/>
      </w:pPr>
      <w:r>
        <w:rPr>
          <w:rFonts w:hint="eastAsia"/>
          <w:b/>
          <w:bCs/>
        </w:rPr>
        <w:t xml:space="preserve">4.2.7 </w:t>
      </w:r>
      <w:r>
        <w:rPr>
          <w:rFonts w:hint="eastAsia"/>
        </w:rPr>
        <w:t>预制构件生产企业应具备一定的综合运营能力及良好的标准化管理水平，建立完整的管理组织架构，拥有营业相关证书、企业标准化管理程序、产品标准化管理程序及生产技术人员。综合运营与标准化管理水平评分详见表4.2.7，评分项分值为 100 分，加分项分值为2分，总得分超过100分则按100分计。综合运营与标准化管理水平评分总得分低于60分时，终止评价。</w:t>
      </w:r>
    </w:p>
    <w:p>
      <w:pPr>
        <w:pStyle w:val="23"/>
        <w:spacing w:before="156" w:beforeLines="50"/>
      </w:pPr>
      <w:r>
        <w:rPr>
          <w:rFonts w:hint="eastAsia"/>
        </w:rPr>
        <w:t>表4.2.7 综合运营与标准化管理水平评分表（</w:t>
      </w:r>
      <w:r>
        <w:rPr>
          <w:rFonts w:hint="eastAsia"/>
          <w:sz w:val="24"/>
          <w:szCs w:val="21"/>
        </w:rPr>
        <w:t>Q</w:t>
      </w:r>
      <w:r>
        <w:rPr>
          <w:rFonts w:hint="eastAsia"/>
          <w:sz w:val="24"/>
          <w:szCs w:val="21"/>
          <w:vertAlign w:val="subscript"/>
        </w:rPr>
        <w:t>2</w:t>
      </w:r>
      <w:r>
        <w:rPr>
          <w:rFonts w:hint="eastAsia"/>
        </w:rPr>
        <w:t>）</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373"/>
        <w:gridCol w:w="4127"/>
        <w:gridCol w:w="119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序号</w:t>
            </w:r>
          </w:p>
        </w:tc>
        <w:tc>
          <w:tcPr>
            <w:tcW w:w="3036" w:type="pct"/>
            <w:gridSpan w:val="2"/>
            <w:vAlign w:val="center"/>
          </w:tcPr>
          <w:p>
            <w:pPr>
              <w:pStyle w:val="23"/>
            </w:pPr>
            <w:r>
              <w:rPr>
                <w:rFonts w:hint="eastAsia"/>
              </w:rPr>
              <w:t>评分项</w:t>
            </w:r>
          </w:p>
        </w:tc>
        <w:tc>
          <w:tcPr>
            <w:tcW w:w="658" w:type="pct"/>
            <w:vAlign w:val="center"/>
          </w:tcPr>
          <w:p>
            <w:pPr>
              <w:pStyle w:val="23"/>
            </w:pPr>
            <w:r>
              <w:rPr>
                <w:rFonts w:hint="eastAsia"/>
              </w:rPr>
              <w:t>评价分值</w:t>
            </w:r>
          </w:p>
        </w:tc>
        <w:tc>
          <w:tcPr>
            <w:tcW w:w="853" w:type="pct"/>
            <w:vAlign w:val="center"/>
          </w:tcPr>
          <w:p>
            <w:pPr>
              <w:pStyle w:val="23"/>
            </w:pPr>
            <w:r>
              <w:rPr>
                <w:rFonts w:hint="eastAsia"/>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1</w:t>
            </w:r>
          </w:p>
        </w:tc>
        <w:tc>
          <w:tcPr>
            <w:tcW w:w="3036" w:type="pct"/>
            <w:gridSpan w:val="2"/>
            <w:vAlign w:val="center"/>
          </w:tcPr>
          <w:p>
            <w:pPr>
              <w:pStyle w:val="23"/>
            </w:pPr>
            <w:r>
              <w:rPr>
                <w:rFonts w:hint="eastAsia"/>
              </w:rPr>
              <w:t>组织架构与营业相关证书</w:t>
            </w:r>
          </w:p>
        </w:tc>
        <w:tc>
          <w:tcPr>
            <w:tcW w:w="658" w:type="pct"/>
            <w:vAlign w:val="center"/>
          </w:tcPr>
          <w:p>
            <w:pPr>
              <w:pStyle w:val="23"/>
            </w:pPr>
            <w:r>
              <w:rPr>
                <w:rFonts w:hint="eastAsia"/>
              </w:rPr>
              <w:t>10</w:t>
            </w:r>
          </w:p>
        </w:tc>
        <w:tc>
          <w:tcPr>
            <w:tcW w:w="853" w:type="pct"/>
            <w:vMerge w:val="restart"/>
            <w:vAlign w:val="center"/>
          </w:tcPr>
          <w:p>
            <w:pPr>
              <w:pStyle w:val="23"/>
              <w:jc w:val="left"/>
            </w:pPr>
            <w:r>
              <w:rPr>
                <w:rFonts w:hint="eastAsia"/>
              </w:rPr>
              <w:t>检查企业组织架构营业执照、管理体系等文件；检查相关人员的职业资格证书、工作履历、劳动合同及社会保险、培训证书等材料。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1.1</w:t>
            </w:r>
          </w:p>
        </w:tc>
        <w:tc>
          <w:tcPr>
            <w:tcW w:w="3036" w:type="pct"/>
            <w:gridSpan w:val="2"/>
            <w:vAlign w:val="center"/>
          </w:tcPr>
          <w:p>
            <w:pPr>
              <w:pStyle w:val="23"/>
            </w:pPr>
            <w:r>
              <w:rPr>
                <w:rFonts w:hint="eastAsia"/>
              </w:rPr>
              <w:t>拥有完善的组织架构维持工厂运作，营业</w:t>
            </w:r>
          </w:p>
          <w:p>
            <w:pPr>
              <w:pStyle w:val="23"/>
            </w:pPr>
            <w:r>
              <w:rPr>
                <w:rFonts w:hint="eastAsia"/>
              </w:rPr>
              <w:t>执照等证书齐全有效</w:t>
            </w:r>
          </w:p>
        </w:tc>
        <w:tc>
          <w:tcPr>
            <w:tcW w:w="658" w:type="pct"/>
            <w:vAlign w:val="center"/>
          </w:tcPr>
          <w:p>
            <w:pPr>
              <w:pStyle w:val="23"/>
            </w:pPr>
            <w:r>
              <w:rPr>
                <w:rFonts w:hint="eastAsia"/>
              </w:rPr>
              <w:t>10</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pct"/>
            <w:vAlign w:val="center"/>
          </w:tcPr>
          <w:p>
            <w:pPr>
              <w:pStyle w:val="23"/>
            </w:pPr>
            <w:r>
              <w:rPr>
                <w:rFonts w:hint="eastAsia"/>
              </w:rPr>
              <w:t>1.2</w:t>
            </w:r>
          </w:p>
        </w:tc>
        <w:tc>
          <w:tcPr>
            <w:tcW w:w="3036" w:type="pct"/>
            <w:gridSpan w:val="2"/>
            <w:vAlign w:val="center"/>
          </w:tcPr>
          <w:p>
            <w:pPr>
              <w:pStyle w:val="23"/>
            </w:pPr>
            <w:r>
              <w:rPr>
                <w:rFonts w:hint="eastAsia"/>
              </w:rPr>
              <w:t>营业执照等证书不齐或失效</w:t>
            </w:r>
          </w:p>
        </w:tc>
        <w:tc>
          <w:tcPr>
            <w:tcW w:w="658" w:type="pct"/>
            <w:vAlign w:val="center"/>
          </w:tcPr>
          <w:p>
            <w:pPr>
              <w:pStyle w:val="23"/>
            </w:pPr>
            <w:r>
              <w:rPr>
                <w:rFonts w:hint="eastAsia"/>
              </w:rPr>
              <w:t>终止评价</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2</w:t>
            </w:r>
          </w:p>
        </w:tc>
        <w:tc>
          <w:tcPr>
            <w:tcW w:w="3036" w:type="pct"/>
            <w:gridSpan w:val="2"/>
            <w:vAlign w:val="center"/>
          </w:tcPr>
          <w:p>
            <w:pPr>
              <w:pStyle w:val="23"/>
            </w:pPr>
            <w:r>
              <w:rPr>
                <w:rFonts w:hint="eastAsia"/>
              </w:rPr>
              <w:t>企业标准化管理</w:t>
            </w:r>
          </w:p>
        </w:tc>
        <w:tc>
          <w:tcPr>
            <w:tcW w:w="658" w:type="pct"/>
            <w:vAlign w:val="center"/>
          </w:tcPr>
          <w:p>
            <w:pPr>
              <w:pStyle w:val="23"/>
            </w:pPr>
            <w:r>
              <w:rPr>
                <w:rFonts w:hint="eastAsia"/>
              </w:rPr>
              <w:t>20</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2.1</w:t>
            </w:r>
          </w:p>
        </w:tc>
        <w:tc>
          <w:tcPr>
            <w:tcW w:w="3036" w:type="pct"/>
            <w:gridSpan w:val="2"/>
            <w:vAlign w:val="center"/>
          </w:tcPr>
          <w:p>
            <w:pPr>
              <w:pStyle w:val="23"/>
            </w:pPr>
            <w:r>
              <w:rPr>
                <w:rFonts w:hint="eastAsia"/>
              </w:rPr>
              <w:t>通过 ISO 质量管理体系的第三方认证</w:t>
            </w:r>
          </w:p>
        </w:tc>
        <w:tc>
          <w:tcPr>
            <w:tcW w:w="658" w:type="pct"/>
            <w:vAlign w:val="center"/>
          </w:tcPr>
          <w:p>
            <w:pPr>
              <w:pStyle w:val="23"/>
            </w:pPr>
            <w:r>
              <w:rPr>
                <w:rFonts w:hint="eastAsia"/>
              </w:rPr>
              <w:t>10</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2.2</w:t>
            </w:r>
          </w:p>
        </w:tc>
        <w:tc>
          <w:tcPr>
            <w:tcW w:w="3036" w:type="pct"/>
            <w:gridSpan w:val="2"/>
            <w:vAlign w:val="center"/>
          </w:tcPr>
          <w:p>
            <w:pPr>
              <w:pStyle w:val="23"/>
            </w:pPr>
            <w:r>
              <w:rPr>
                <w:rFonts w:hint="eastAsia"/>
              </w:rPr>
              <w:t>企业自身拥有完善的管理体系，各种管理</w:t>
            </w:r>
          </w:p>
          <w:p>
            <w:pPr>
              <w:pStyle w:val="23"/>
            </w:pPr>
            <w:r>
              <w:rPr>
                <w:rFonts w:hint="eastAsia"/>
              </w:rPr>
              <w:t>制度完善、齐全、有效</w:t>
            </w:r>
          </w:p>
        </w:tc>
        <w:tc>
          <w:tcPr>
            <w:tcW w:w="658" w:type="pct"/>
            <w:vAlign w:val="center"/>
          </w:tcPr>
          <w:p>
            <w:pPr>
              <w:pStyle w:val="23"/>
            </w:pPr>
            <w:r>
              <w:rPr>
                <w:rFonts w:hint="eastAsia"/>
              </w:rPr>
              <w:t>0-10</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pct"/>
            <w:vAlign w:val="center"/>
          </w:tcPr>
          <w:p>
            <w:pPr>
              <w:pStyle w:val="23"/>
            </w:pPr>
            <w:r>
              <w:rPr>
                <w:rFonts w:hint="eastAsia"/>
              </w:rPr>
              <w:t>2.3</w:t>
            </w:r>
          </w:p>
        </w:tc>
        <w:tc>
          <w:tcPr>
            <w:tcW w:w="3036" w:type="pct"/>
            <w:gridSpan w:val="2"/>
            <w:vAlign w:val="center"/>
          </w:tcPr>
          <w:p>
            <w:pPr>
              <w:pStyle w:val="23"/>
            </w:pPr>
            <w:r>
              <w:rPr>
                <w:rFonts w:hint="eastAsia"/>
              </w:rPr>
              <w:t>企业管理体系、企业管理制度缺失</w:t>
            </w:r>
          </w:p>
        </w:tc>
        <w:tc>
          <w:tcPr>
            <w:tcW w:w="658" w:type="pct"/>
            <w:vAlign w:val="center"/>
          </w:tcPr>
          <w:p>
            <w:pPr>
              <w:pStyle w:val="23"/>
            </w:pPr>
            <w:r>
              <w:rPr>
                <w:rFonts w:hint="eastAsia"/>
              </w:rPr>
              <w:t>终止评价</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3</w:t>
            </w:r>
          </w:p>
        </w:tc>
        <w:tc>
          <w:tcPr>
            <w:tcW w:w="3036" w:type="pct"/>
            <w:gridSpan w:val="2"/>
            <w:vAlign w:val="center"/>
          </w:tcPr>
          <w:p>
            <w:pPr>
              <w:pStyle w:val="23"/>
            </w:pPr>
            <w:r>
              <w:rPr>
                <w:rFonts w:hint="eastAsia"/>
              </w:rPr>
              <w:t>产品标准化管理</w:t>
            </w:r>
          </w:p>
        </w:tc>
        <w:tc>
          <w:tcPr>
            <w:tcW w:w="658" w:type="pct"/>
            <w:vAlign w:val="center"/>
          </w:tcPr>
          <w:p>
            <w:pPr>
              <w:pStyle w:val="23"/>
            </w:pPr>
            <w:r>
              <w:rPr>
                <w:rFonts w:hint="eastAsia"/>
              </w:rPr>
              <w:t>32</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3.1</w:t>
            </w:r>
          </w:p>
        </w:tc>
        <w:tc>
          <w:tcPr>
            <w:tcW w:w="3036" w:type="pct"/>
            <w:gridSpan w:val="2"/>
            <w:vAlign w:val="center"/>
          </w:tcPr>
          <w:p>
            <w:pPr>
              <w:pStyle w:val="23"/>
            </w:pPr>
            <w:r>
              <w:rPr>
                <w:rFonts w:hint="eastAsia"/>
              </w:rPr>
              <w:t>产品生产标准化流程管理</w:t>
            </w:r>
          </w:p>
        </w:tc>
        <w:tc>
          <w:tcPr>
            <w:tcW w:w="658" w:type="pct"/>
            <w:vAlign w:val="center"/>
          </w:tcPr>
          <w:p>
            <w:pPr>
              <w:pStyle w:val="23"/>
            </w:pPr>
            <w:r>
              <w:rPr>
                <w:rFonts w:hint="eastAsia"/>
              </w:rPr>
              <w:t>10</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3.2</w:t>
            </w:r>
          </w:p>
        </w:tc>
        <w:tc>
          <w:tcPr>
            <w:tcW w:w="3036" w:type="pct"/>
            <w:gridSpan w:val="2"/>
            <w:vAlign w:val="center"/>
          </w:tcPr>
          <w:p>
            <w:pPr>
              <w:pStyle w:val="23"/>
            </w:pPr>
            <w:r>
              <w:rPr>
                <w:rFonts w:hint="eastAsia"/>
              </w:rPr>
              <w:t>产品信息化的平台管理</w:t>
            </w:r>
          </w:p>
        </w:tc>
        <w:tc>
          <w:tcPr>
            <w:tcW w:w="658" w:type="pct"/>
            <w:vAlign w:val="center"/>
          </w:tcPr>
          <w:p>
            <w:pPr>
              <w:pStyle w:val="23"/>
            </w:pPr>
            <w:r>
              <w:rPr>
                <w:rFonts w:hint="eastAsia"/>
              </w:rPr>
              <w:t>10</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pct"/>
            <w:vAlign w:val="center"/>
          </w:tcPr>
          <w:p>
            <w:pPr>
              <w:pStyle w:val="23"/>
            </w:pPr>
            <w:r>
              <w:rPr>
                <w:rFonts w:hint="eastAsia"/>
              </w:rPr>
              <w:t>3.3</w:t>
            </w:r>
          </w:p>
        </w:tc>
        <w:tc>
          <w:tcPr>
            <w:tcW w:w="3036" w:type="pct"/>
            <w:gridSpan w:val="2"/>
            <w:vAlign w:val="center"/>
          </w:tcPr>
          <w:p>
            <w:pPr>
              <w:pStyle w:val="23"/>
            </w:pPr>
            <w:r>
              <w:rPr>
                <w:rFonts w:hint="eastAsia"/>
              </w:rPr>
              <w:t>企业具备深化设计能力</w:t>
            </w:r>
          </w:p>
        </w:tc>
        <w:tc>
          <w:tcPr>
            <w:tcW w:w="658" w:type="pct"/>
            <w:vAlign w:val="center"/>
          </w:tcPr>
          <w:p>
            <w:pPr>
              <w:pStyle w:val="23"/>
            </w:pPr>
            <w:r>
              <w:rPr>
                <w:rFonts w:hint="eastAsia"/>
              </w:rPr>
              <w:t>5</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3.4</w:t>
            </w:r>
          </w:p>
        </w:tc>
        <w:tc>
          <w:tcPr>
            <w:tcW w:w="3036" w:type="pct"/>
            <w:gridSpan w:val="2"/>
            <w:vAlign w:val="center"/>
          </w:tcPr>
          <w:p>
            <w:pPr>
              <w:pStyle w:val="23"/>
            </w:pPr>
            <w:r>
              <w:rPr>
                <w:rFonts w:hint="eastAsia"/>
              </w:rPr>
              <w:t>产品及其原材料具有可追溯性</w:t>
            </w:r>
          </w:p>
        </w:tc>
        <w:tc>
          <w:tcPr>
            <w:tcW w:w="658" w:type="pct"/>
            <w:vAlign w:val="center"/>
          </w:tcPr>
          <w:p>
            <w:pPr>
              <w:pStyle w:val="23"/>
            </w:pPr>
            <w:r>
              <w:rPr>
                <w:rFonts w:hint="eastAsia"/>
              </w:rPr>
              <w:t>5</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3.5</w:t>
            </w:r>
          </w:p>
        </w:tc>
        <w:tc>
          <w:tcPr>
            <w:tcW w:w="758" w:type="pct"/>
            <w:vAlign w:val="center"/>
          </w:tcPr>
          <w:p>
            <w:pPr>
              <w:pStyle w:val="23"/>
            </w:pPr>
            <w:r>
              <w:rPr>
                <w:rFonts w:hint="eastAsia"/>
              </w:rPr>
              <w:t>加分项</w:t>
            </w:r>
          </w:p>
        </w:tc>
        <w:tc>
          <w:tcPr>
            <w:tcW w:w="2278" w:type="pct"/>
            <w:vAlign w:val="center"/>
          </w:tcPr>
          <w:p>
            <w:pPr>
              <w:pStyle w:val="23"/>
            </w:pPr>
            <w:r>
              <w:rPr>
                <w:rFonts w:hint="eastAsia"/>
              </w:rPr>
              <w:t>深化过程中使用BIM技术</w:t>
            </w:r>
          </w:p>
        </w:tc>
        <w:tc>
          <w:tcPr>
            <w:tcW w:w="658" w:type="pct"/>
            <w:vAlign w:val="center"/>
          </w:tcPr>
          <w:p>
            <w:pPr>
              <w:pStyle w:val="23"/>
            </w:pPr>
            <w:r>
              <w:rPr>
                <w:rFonts w:hint="eastAsia"/>
              </w:rPr>
              <w:t>2</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4</w:t>
            </w:r>
          </w:p>
        </w:tc>
        <w:tc>
          <w:tcPr>
            <w:tcW w:w="3036" w:type="pct"/>
            <w:gridSpan w:val="2"/>
            <w:vAlign w:val="center"/>
          </w:tcPr>
          <w:p>
            <w:pPr>
              <w:pStyle w:val="23"/>
            </w:pPr>
            <w:r>
              <w:rPr>
                <w:rFonts w:hint="eastAsia"/>
              </w:rPr>
              <w:t>人员配备情况</w:t>
            </w:r>
          </w:p>
        </w:tc>
        <w:tc>
          <w:tcPr>
            <w:tcW w:w="658" w:type="pct"/>
            <w:vAlign w:val="center"/>
          </w:tcPr>
          <w:p>
            <w:pPr>
              <w:pStyle w:val="23"/>
            </w:pPr>
            <w:r>
              <w:rPr>
                <w:rFonts w:hint="eastAsia"/>
              </w:rPr>
              <w:t>40</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pct"/>
            <w:vMerge w:val="restart"/>
            <w:vAlign w:val="center"/>
          </w:tcPr>
          <w:p>
            <w:pPr>
              <w:pStyle w:val="23"/>
            </w:pPr>
            <w:r>
              <w:rPr>
                <w:rFonts w:hint="eastAsia"/>
              </w:rPr>
              <w:t>4.1</w:t>
            </w:r>
          </w:p>
        </w:tc>
        <w:tc>
          <w:tcPr>
            <w:tcW w:w="758" w:type="pct"/>
            <w:vMerge w:val="restart"/>
            <w:vAlign w:val="center"/>
          </w:tcPr>
          <w:p>
            <w:pPr>
              <w:pStyle w:val="23"/>
            </w:pPr>
            <w:r>
              <w:rPr>
                <w:rFonts w:hint="eastAsia"/>
              </w:rPr>
              <w:t>关键岗位负责人装配式建筑相关工作经验</w:t>
            </w:r>
          </w:p>
        </w:tc>
        <w:tc>
          <w:tcPr>
            <w:tcW w:w="2278" w:type="pct"/>
            <w:vAlign w:val="center"/>
          </w:tcPr>
          <w:p>
            <w:pPr>
              <w:pStyle w:val="23"/>
            </w:pPr>
            <w:r>
              <w:rPr>
                <w:rFonts w:hint="eastAsia"/>
              </w:rPr>
              <w:t>5年以上工作经验负责人占比50%以上</w:t>
            </w:r>
          </w:p>
        </w:tc>
        <w:tc>
          <w:tcPr>
            <w:tcW w:w="658" w:type="pct"/>
            <w:vAlign w:val="center"/>
          </w:tcPr>
          <w:p>
            <w:pPr>
              <w:pStyle w:val="23"/>
            </w:pPr>
            <w:r>
              <w:rPr>
                <w:rFonts w:hint="eastAsia"/>
              </w:rPr>
              <w:t>15</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Merge w:val="continue"/>
            <w:vAlign w:val="center"/>
          </w:tcPr>
          <w:p>
            <w:pPr>
              <w:pStyle w:val="23"/>
            </w:pPr>
          </w:p>
        </w:tc>
        <w:tc>
          <w:tcPr>
            <w:tcW w:w="758" w:type="pct"/>
            <w:vMerge w:val="continue"/>
            <w:vAlign w:val="center"/>
          </w:tcPr>
          <w:p>
            <w:pPr>
              <w:pStyle w:val="23"/>
            </w:pPr>
          </w:p>
        </w:tc>
        <w:tc>
          <w:tcPr>
            <w:tcW w:w="2278" w:type="pct"/>
            <w:vAlign w:val="center"/>
          </w:tcPr>
          <w:p>
            <w:pPr>
              <w:pStyle w:val="23"/>
              <w:rPr>
                <w:highlight w:val="yellow"/>
              </w:rPr>
            </w:pPr>
            <w:r>
              <w:rPr>
                <w:rFonts w:hint="eastAsia"/>
              </w:rPr>
              <w:t>3年以上工作经验负责人占比30%-50%</w:t>
            </w:r>
          </w:p>
        </w:tc>
        <w:tc>
          <w:tcPr>
            <w:tcW w:w="658" w:type="pct"/>
            <w:vAlign w:val="center"/>
          </w:tcPr>
          <w:p>
            <w:pPr>
              <w:pStyle w:val="23"/>
            </w:pPr>
            <w:r>
              <w:rPr>
                <w:rFonts w:hint="eastAsia"/>
              </w:rPr>
              <w:t>10-14</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Merge w:val="continue"/>
            <w:vAlign w:val="center"/>
          </w:tcPr>
          <w:p>
            <w:pPr>
              <w:pStyle w:val="23"/>
            </w:pPr>
          </w:p>
        </w:tc>
        <w:tc>
          <w:tcPr>
            <w:tcW w:w="758" w:type="pct"/>
            <w:vMerge w:val="continue"/>
            <w:vAlign w:val="center"/>
          </w:tcPr>
          <w:p>
            <w:pPr>
              <w:pStyle w:val="23"/>
            </w:pPr>
          </w:p>
        </w:tc>
        <w:tc>
          <w:tcPr>
            <w:tcW w:w="2278" w:type="pct"/>
            <w:vAlign w:val="center"/>
          </w:tcPr>
          <w:p>
            <w:pPr>
              <w:pStyle w:val="23"/>
            </w:pPr>
            <w:r>
              <w:rPr>
                <w:rFonts w:hint="eastAsia"/>
              </w:rPr>
              <w:t>2年以上工作经验负责人占比20%-50%</w:t>
            </w:r>
          </w:p>
        </w:tc>
        <w:tc>
          <w:tcPr>
            <w:tcW w:w="658" w:type="pct"/>
            <w:vAlign w:val="center"/>
          </w:tcPr>
          <w:p>
            <w:pPr>
              <w:pStyle w:val="23"/>
            </w:pPr>
            <w:r>
              <w:rPr>
                <w:rFonts w:hint="eastAsia"/>
              </w:rPr>
              <w:t>5-9</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Merge w:val="restart"/>
            <w:vAlign w:val="center"/>
          </w:tcPr>
          <w:p>
            <w:pPr>
              <w:pStyle w:val="23"/>
            </w:pPr>
            <w:r>
              <w:rPr>
                <w:rFonts w:hint="eastAsia"/>
              </w:rPr>
              <w:t>4.2</w:t>
            </w:r>
          </w:p>
        </w:tc>
        <w:tc>
          <w:tcPr>
            <w:tcW w:w="758" w:type="pct"/>
            <w:vMerge w:val="restart"/>
            <w:vAlign w:val="center"/>
          </w:tcPr>
          <w:p>
            <w:pPr>
              <w:pStyle w:val="23"/>
            </w:pPr>
            <w:r>
              <w:rPr>
                <w:rFonts w:hint="eastAsia"/>
              </w:rPr>
              <w:t>参加行业或协会培训情况</w:t>
            </w:r>
          </w:p>
        </w:tc>
        <w:tc>
          <w:tcPr>
            <w:tcW w:w="2278" w:type="pct"/>
            <w:vAlign w:val="center"/>
          </w:tcPr>
          <w:p>
            <w:pPr>
              <w:pStyle w:val="23"/>
            </w:pPr>
            <w:r>
              <w:rPr>
                <w:rFonts w:hint="eastAsia"/>
              </w:rPr>
              <w:t>占全体技术人员比例80%及以上</w:t>
            </w:r>
          </w:p>
        </w:tc>
        <w:tc>
          <w:tcPr>
            <w:tcW w:w="658" w:type="pct"/>
            <w:vAlign w:val="center"/>
          </w:tcPr>
          <w:p>
            <w:pPr>
              <w:pStyle w:val="23"/>
            </w:pPr>
            <w:r>
              <w:rPr>
                <w:rFonts w:hint="eastAsia"/>
              </w:rPr>
              <w:t>10</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pct"/>
            <w:vMerge w:val="continue"/>
            <w:vAlign w:val="center"/>
          </w:tcPr>
          <w:p>
            <w:pPr>
              <w:pStyle w:val="23"/>
            </w:pPr>
          </w:p>
        </w:tc>
        <w:tc>
          <w:tcPr>
            <w:tcW w:w="758" w:type="pct"/>
            <w:vMerge w:val="continue"/>
            <w:vAlign w:val="center"/>
          </w:tcPr>
          <w:p>
            <w:pPr>
              <w:pStyle w:val="23"/>
            </w:pPr>
          </w:p>
        </w:tc>
        <w:tc>
          <w:tcPr>
            <w:tcW w:w="2278" w:type="pct"/>
            <w:vAlign w:val="center"/>
          </w:tcPr>
          <w:p>
            <w:pPr>
              <w:pStyle w:val="23"/>
            </w:pPr>
            <w:r>
              <w:rPr>
                <w:rFonts w:hint="eastAsia"/>
              </w:rPr>
              <w:t>占全体技术人员比例50%-80%（不含）</w:t>
            </w:r>
          </w:p>
        </w:tc>
        <w:tc>
          <w:tcPr>
            <w:tcW w:w="658" w:type="pct"/>
            <w:vAlign w:val="center"/>
          </w:tcPr>
          <w:p>
            <w:pPr>
              <w:pStyle w:val="23"/>
            </w:pPr>
            <w:r>
              <w:rPr>
                <w:rFonts w:hint="eastAsia"/>
              </w:rPr>
              <w:t>6-9</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Merge w:val="continue"/>
            <w:vAlign w:val="center"/>
          </w:tcPr>
          <w:p>
            <w:pPr>
              <w:pStyle w:val="23"/>
            </w:pPr>
          </w:p>
        </w:tc>
        <w:tc>
          <w:tcPr>
            <w:tcW w:w="758" w:type="pct"/>
            <w:vMerge w:val="continue"/>
            <w:vAlign w:val="center"/>
          </w:tcPr>
          <w:p>
            <w:pPr>
              <w:pStyle w:val="23"/>
            </w:pPr>
          </w:p>
        </w:tc>
        <w:tc>
          <w:tcPr>
            <w:tcW w:w="2278" w:type="pct"/>
            <w:vAlign w:val="center"/>
          </w:tcPr>
          <w:p>
            <w:pPr>
              <w:pStyle w:val="23"/>
            </w:pPr>
            <w:r>
              <w:rPr>
                <w:rFonts w:hint="eastAsia"/>
              </w:rPr>
              <w:t>占全体技术人员比例30%-50%（不含）</w:t>
            </w:r>
          </w:p>
        </w:tc>
        <w:tc>
          <w:tcPr>
            <w:tcW w:w="658" w:type="pct"/>
            <w:vAlign w:val="center"/>
          </w:tcPr>
          <w:p>
            <w:pPr>
              <w:pStyle w:val="23"/>
            </w:pPr>
            <w:r>
              <w:rPr>
                <w:rFonts w:hint="eastAsia"/>
              </w:rPr>
              <w:t>2-5</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Merge w:val="restart"/>
            <w:vAlign w:val="center"/>
          </w:tcPr>
          <w:p>
            <w:pPr>
              <w:pStyle w:val="23"/>
            </w:pPr>
            <w:r>
              <w:rPr>
                <w:rFonts w:hint="eastAsia"/>
              </w:rPr>
              <w:t>4.3</w:t>
            </w:r>
          </w:p>
        </w:tc>
        <w:tc>
          <w:tcPr>
            <w:tcW w:w="758" w:type="pct"/>
            <w:vMerge w:val="restart"/>
            <w:vAlign w:val="center"/>
          </w:tcPr>
          <w:p>
            <w:pPr>
              <w:pStyle w:val="23"/>
            </w:pPr>
            <w:r>
              <w:rPr>
                <w:rFonts w:hint="eastAsia"/>
              </w:rPr>
              <w:t>技术工人从业经验</w:t>
            </w:r>
          </w:p>
        </w:tc>
        <w:tc>
          <w:tcPr>
            <w:tcW w:w="2278" w:type="pct"/>
            <w:vAlign w:val="center"/>
          </w:tcPr>
          <w:p>
            <w:pPr>
              <w:pStyle w:val="23"/>
            </w:pPr>
            <w:r>
              <w:rPr>
                <w:rFonts w:hint="eastAsia"/>
              </w:rPr>
              <w:t>5年以上相关工种从业人员占比10%以上</w:t>
            </w:r>
          </w:p>
        </w:tc>
        <w:tc>
          <w:tcPr>
            <w:tcW w:w="658" w:type="pct"/>
            <w:vAlign w:val="center"/>
          </w:tcPr>
          <w:p>
            <w:pPr>
              <w:pStyle w:val="23"/>
            </w:pPr>
            <w:r>
              <w:rPr>
                <w:rFonts w:hint="eastAsia"/>
              </w:rPr>
              <w:t>15</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Merge w:val="continue"/>
            <w:vAlign w:val="center"/>
          </w:tcPr>
          <w:p>
            <w:pPr>
              <w:pStyle w:val="23"/>
            </w:pPr>
          </w:p>
        </w:tc>
        <w:tc>
          <w:tcPr>
            <w:tcW w:w="758" w:type="pct"/>
            <w:vMerge w:val="continue"/>
            <w:vAlign w:val="center"/>
          </w:tcPr>
          <w:p>
            <w:pPr>
              <w:pStyle w:val="23"/>
            </w:pPr>
          </w:p>
        </w:tc>
        <w:tc>
          <w:tcPr>
            <w:tcW w:w="2278" w:type="pct"/>
            <w:vAlign w:val="center"/>
          </w:tcPr>
          <w:p>
            <w:pPr>
              <w:pStyle w:val="23"/>
            </w:pPr>
            <w:r>
              <w:rPr>
                <w:rFonts w:hint="eastAsia"/>
              </w:rPr>
              <w:t>3年以上相关工种从业人员占比20%-30%</w:t>
            </w:r>
          </w:p>
        </w:tc>
        <w:tc>
          <w:tcPr>
            <w:tcW w:w="658" w:type="pct"/>
            <w:vAlign w:val="center"/>
          </w:tcPr>
          <w:p>
            <w:pPr>
              <w:pStyle w:val="23"/>
            </w:pPr>
            <w:r>
              <w:rPr>
                <w:rFonts w:hint="eastAsia"/>
              </w:rPr>
              <w:t>10-14</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1" w:type="pct"/>
            <w:vMerge w:val="continue"/>
            <w:vAlign w:val="center"/>
          </w:tcPr>
          <w:p>
            <w:pPr>
              <w:pStyle w:val="23"/>
            </w:pPr>
          </w:p>
        </w:tc>
        <w:tc>
          <w:tcPr>
            <w:tcW w:w="758" w:type="pct"/>
            <w:vMerge w:val="continue"/>
            <w:vAlign w:val="center"/>
          </w:tcPr>
          <w:p>
            <w:pPr>
              <w:pStyle w:val="23"/>
            </w:pPr>
          </w:p>
        </w:tc>
        <w:tc>
          <w:tcPr>
            <w:tcW w:w="2278" w:type="pct"/>
            <w:vAlign w:val="center"/>
          </w:tcPr>
          <w:p>
            <w:pPr>
              <w:pStyle w:val="23"/>
            </w:pPr>
            <w:r>
              <w:rPr>
                <w:rFonts w:hint="eastAsia"/>
              </w:rPr>
              <w:t>1年以上相关工种从业人员占比30%-50%</w:t>
            </w:r>
          </w:p>
        </w:tc>
        <w:tc>
          <w:tcPr>
            <w:tcW w:w="658" w:type="pct"/>
            <w:vAlign w:val="center"/>
          </w:tcPr>
          <w:p>
            <w:pPr>
              <w:pStyle w:val="23"/>
            </w:pPr>
            <w:r>
              <w:rPr>
                <w:rFonts w:hint="eastAsia"/>
              </w:rPr>
              <w:t>5-9</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pPr>
              <w:pStyle w:val="23"/>
            </w:pPr>
            <w:r>
              <w:rPr>
                <w:rFonts w:hint="eastAsia"/>
              </w:rPr>
              <w:t>4.4</w:t>
            </w:r>
          </w:p>
        </w:tc>
        <w:tc>
          <w:tcPr>
            <w:tcW w:w="3036" w:type="pct"/>
            <w:gridSpan w:val="2"/>
            <w:vAlign w:val="center"/>
          </w:tcPr>
          <w:p>
            <w:pPr>
              <w:pStyle w:val="23"/>
            </w:pPr>
            <w:r>
              <w:rPr>
                <w:rFonts w:hint="eastAsia"/>
              </w:rPr>
              <w:t>未配备具有相应资格的特种作业人员</w:t>
            </w:r>
          </w:p>
        </w:tc>
        <w:tc>
          <w:tcPr>
            <w:tcW w:w="658" w:type="pct"/>
            <w:vAlign w:val="center"/>
          </w:tcPr>
          <w:p>
            <w:pPr>
              <w:pStyle w:val="23"/>
            </w:pPr>
            <w:r>
              <w:rPr>
                <w:rFonts w:hint="eastAsia"/>
              </w:rPr>
              <w:t>终止评价</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8" w:type="pct"/>
            <w:gridSpan w:val="3"/>
            <w:vAlign w:val="center"/>
          </w:tcPr>
          <w:p>
            <w:pPr>
              <w:pStyle w:val="23"/>
            </w:pPr>
            <w:r>
              <w:rPr>
                <w:rFonts w:hint="eastAsia"/>
              </w:rPr>
              <w:t>合计</w:t>
            </w:r>
          </w:p>
        </w:tc>
        <w:tc>
          <w:tcPr>
            <w:tcW w:w="658" w:type="pct"/>
            <w:vAlign w:val="center"/>
          </w:tcPr>
          <w:p>
            <w:pPr>
              <w:pStyle w:val="23"/>
            </w:pPr>
            <w:r>
              <w:rPr>
                <w:rFonts w:hint="eastAsia"/>
              </w:rPr>
              <w:t>100</w:t>
            </w:r>
          </w:p>
        </w:tc>
        <w:tc>
          <w:tcPr>
            <w:tcW w:w="853"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23"/>
              <w:jc w:val="left"/>
            </w:pPr>
            <w:r>
              <w:rPr>
                <w:rFonts w:hint="eastAsia"/>
              </w:rPr>
              <w:t>注：</w:t>
            </w:r>
          </w:p>
          <w:p>
            <w:pPr>
              <w:pStyle w:val="23"/>
              <w:jc w:val="left"/>
            </w:pPr>
            <w:r>
              <w:rPr>
                <w:rFonts w:hint="eastAsia"/>
              </w:rPr>
              <w:t>a 对于区间得分的评分项，按线性内插法得分，精确到小数点后1位。</w:t>
            </w:r>
          </w:p>
          <w:p>
            <w:pPr>
              <w:pStyle w:val="23"/>
              <w:jc w:val="left"/>
            </w:pPr>
            <w:r>
              <w:rPr>
                <w:rFonts w:hint="eastAsia"/>
              </w:rPr>
              <w:t>b 关键岗位包括厂长（经理）、技术负责人（总工）、试验室主任、设计负责人、质检负责人、钢筋负责人、模具负责人、安全负责人、车间主任。</w:t>
            </w:r>
          </w:p>
          <w:p>
            <w:pPr>
              <w:pStyle w:val="23"/>
              <w:jc w:val="left"/>
            </w:pPr>
            <w:r>
              <w:rPr>
                <w:rFonts w:hint="eastAsia"/>
              </w:rPr>
              <w:t>c 技术人员指具有住房和城乡建设领域建设工程专业技术资格（含勘察设计类、施工类、管理服务类、建筑材料类四个专业类别）及具有注册职业资格的相关技术人员。</w:t>
            </w:r>
          </w:p>
          <w:p>
            <w:pPr>
              <w:pStyle w:val="23"/>
              <w:jc w:val="left"/>
            </w:pPr>
            <w:r>
              <w:rPr>
                <w:rFonts w:hint="eastAsia"/>
              </w:rPr>
              <w:t>d 行业或协会培训包含行业专业技术人员继续教育培训及建设行业协会组织的技术类培训。</w:t>
            </w:r>
          </w:p>
          <w:p>
            <w:pPr>
              <w:pStyle w:val="23"/>
              <w:jc w:val="left"/>
            </w:pPr>
            <w:r>
              <w:rPr>
                <w:rFonts w:hint="eastAsia"/>
              </w:rPr>
              <w:t>e 特种作业人员是指从事容易发生人员伤亡事故，对操作者本人、他人的生命健康及周围设施的安全可能造成重大危害的作业人员。预制构件生产企业特种作业人员应符合国务院应急管理部门的相关管理要求，预制构件施工企业特种作业人员应符合国务院住房和城乡建设部的相关管理要求。</w:t>
            </w:r>
          </w:p>
        </w:tc>
      </w:tr>
    </w:tbl>
    <w:p>
      <w:pPr>
        <w:pStyle w:val="20"/>
      </w:pPr>
      <w:r>
        <w:rPr>
          <w:rFonts w:hint="eastAsia"/>
          <w:b/>
          <w:bCs/>
        </w:rPr>
        <w:t xml:space="preserve">4.2.8 </w:t>
      </w:r>
      <w:r>
        <w:rPr>
          <w:rFonts w:hint="eastAsia"/>
        </w:rPr>
        <w:t>预制构件生产企业应具备保持产品质量及研发的能力，企业的原材料质量控制、生产过程质量控制、成品质量控制等体系应保持正常运行。产品质量与研发评分表详见表4.2.8，评分包括评分项和加分项评分。评分项分值为100分，加分项分值为2分，总得分超过100分则按100分计。产品质量与研发评分总得分低于70分时，终止评价。</w:t>
      </w:r>
    </w:p>
    <w:p>
      <w:pPr>
        <w:pStyle w:val="23"/>
      </w:pPr>
      <w:r>
        <w:rPr>
          <w:rFonts w:hint="eastAsia"/>
        </w:rPr>
        <w:t>表 4.2.8 产品质量与研发评分表（</w:t>
      </w:r>
      <w:r>
        <w:rPr>
          <w:rFonts w:hint="eastAsia"/>
          <w:sz w:val="24"/>
          <w:szCs w:val="21"/>
        </w:rPr>
        <w:t>Q</w:t>
      </w:r>
      <w:r>
        <w:rPr>
          <w:rFonts w:hint="eastAsia"/>
          <w:sz w:val="24"/>
          <w:szCs w:val="21"/>
          <w:vertAlign w:val="subscript"/>
        </w:rPr>
        <w:t>3</w:t>
      </w:r>
      <w:r>
        <w:rPr>
          <w:rFonts w:hint="eastAsia"/>
        </w:rPr>
        <w:t>）</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862"/>
        <w:gridCol w:w="3467"/>
        <w:gridCol w:w="1329"/>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序号</w:t>
            </w:r>
          </w:p>
        </w:tc>
        <w:tc>
          <w:tcPr>
            <w:tcW w:w="2942" w:type="pct"/>
            <w:gridSpan w:val="2"/>
            <w:vAlign w:val="center"/>
          </w:tcPr>
          <w:p>
            <w:pPr>
              <w:pStyle w:val="23"/>
            </w:pPr>
            <w:r>
              <w:rPr>
                <w:rFonts w:hint="eastAsia"/>
              </w:rPr>
              <w:t>评分项</w:t>
            </w:r>
          </w:p>
        </w:tc>
        <w:tc>
          <w:tcPr>
            <w:tcW w:w="734" w:type="pct"/>
            <w:vAlign w:val="center"/>
          </w:tcPr>
          <w:p>
            <w:pPr>
              <w:pStyle w:val="23"/>
            </w:pPr>
            <w:r>
              <w:rPr>
                <w:rFonts w:hint="eastAsia"/>
              </w:rPr>
              <w:t>评价分值</w:t>
            </w:r>
          </w:p>
        </w:tc>
        <w:tc>
          <w:tcPr>
            <w:tcW w:w="844" w:type="pct"/>
            <w:vAlign w:val="center"/>
          </w:tcPr>
          <w:p>
            <w:pPr>
              <w:pStyle w:val="23"/>
            </w:pPr>
            <w:r>
              <w:rPr>
                <w:rFonts w:hint="eastAsia"/>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8" w:type="pct"/>
            <w:vAlign w:val="center"/>
          </w:tcPr>
          <w:p>
            <w:pPr>
              <w:pStyle w:val="23"/>
            </w:pPr>
            <w:r>
              <w:rPr>
                <w:rFonts w:hint="eastAsia"/>
              </w:rPr>
              <w:t>1</w:t>
            </w:r>
          </w:p>
        </w:tc>
        <w:tc>
          <w:tcPr>
            <w:tcW w:w="2942" w:type="pct"/>
            <w:gridSpan w:val="2"/>
            <w:vAlign w:val="center"/>
          </w:tcPr>
          <w:p>
            <w:pPr>
              <w:pStyle w:val="23"/>
            </w:pPr>
            <w:r>
              <w:rPr>
                <w:rFonts w:hint="eastAsia"/>
              </w:rPr>
              <w:t>品质管理体系完备</w:t>
            </w:r>
          </w:p>
        </w:tc>
        <w:tc>
          <w:tcPr>
            <w:tcW w:w="734" w:type="pct"/>
            <w:vAlign w:val="center"/>
          </w:tcPr>
          <w:p>
            <w:pPr>
              <w:pStyle w:val="23"/>
            </w:pPr>
            <w:r>
              <w:rPr>
                <w:rFonts w:hint="eastAsia"/>
              </w:rPr>
              <w:t>5</w:t>
            </w:r>
          </w:p>
        </w:tc>
        <w:tc>
          <w:tcPr>
            <w:tcW w:w="844" w:type="pct"/>
            <w:vMerge w:val="restart"/>
            <w:vAlign w:val="center"/>
          </w:tcPr>
          <w:p>
            <w:pPr>
              <w:pStyle w:val="23"/>
            </w:pPr>
            <w:r>
              <w:rPr>
                <w:rFonts w:hint="eastAsia"/>
              </w:rPr>
              <w:t>检查制度文件、生产记录等文件，抽样检查、实地检查。</w:t>
            </w:r>
          </w:p>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1.1</w:t>
            </w:r>
          </w:p>
        </w:tc>
        <w:tc>
          <w:tcPr>
            <w:tcW w:w="2942" w:type="pct"/>
            <w:gridSpan w:val="2"/>
            <w:vAlign w:val="center"/>
          </w:tcPr>
          <w:p>
            <w:pPr>
              <w:pStyle w:val="23"/>
            </w:pPr>
            <w:r>
              <w:rPr>
                <w:rFonts w:hint="eastAsia"/>
              </w:rPr>
              <w:t>完整的质量管理组织架构</w:t>
            </w:r>
          </w:p>
        </w:tc>
        <w:tc>
          <w:tcPr>
            <w:tcW w:w="734" w:type="pct"/>
            <w:vAlign w:val="center"/>
          </w:tcPr>
          <w:p>
            <w:pPr>
              <w:pStyle w:val="23"/>
            </w:pPr>
            <w:r>
              <w:rPr>
                <w:rFonts w:hint="eastAsia"/>
              </w:rPr>
              <w:t>3</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1.2</w:t>
            </w:r>
          </w:p>
        </w:tc>
        <w:tc>
          <w:tcPr>
            <w:tcW w:w="2942" w:type="pct"/>
            <w:gridSpan w:val="2"/>
            <w:vAlign w:val="center"/>
          </w:tcPr>
          <w:p>
            <w:pPr>
              <w:pStyle w:val="23"/>
            </w:pPr>
            <w:r>
              <w:rPr>
                <w:rFonts w:hint="eastAsia"/>
              </w:rPr>
              <w:t>完整的质量管理制度</w:t>
            </w:r>
          </w:p>
        </w:tc>
        <w:tc>
          <w:tcPr>
            <w:tcW w:w="734" w:type="pct"/>
            <w:vAlign w:val="center"/>
          </w:tcPr>
          <w:p>
            <w:pPr>
              <w:pStyle w:val="23"/>
            </w:pPr>
            <w:r>
              <w:rPr>
                <w:rFonts w:hint="eastAsia"/>
              </w:rPr>
              <w:t>2</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2</w:t>
            </w:r>
          </w:p>
        </w:tc>
        <w:tc>
          <w:tcPr>
            <w:tcW w:w="2942" w:type="pct"/>
            <w:gridSpan w:val="2"/>
            <w:vAlign w:val="center"/>
          </w:tcPr>
          <w:p>
            <w:pPr>
              <w:pStyle w:val="23"/>
            </w:pPr>
            <w:r>
              <w:rPr>
                <w:rFonts w:hint="eastAsia"/>
              </w:rPr>
              <w:t>原材料质量控制</w:t>
            </w:r>
          </w:p>
        </w:tc>
        <w:tc>
          <w:tcPr>
            <w:tcW w:w="734" w:type="pct"/>
            <w:vAlign w:val="center"/>
          </w:tcPr>
          <w:p>
            <w:pPr>
              <w:pStyle w:val="23"/>
            </w:pPr>
            <w:r>
              <w:rPr>
                <w:rFonts w:hint="eastAsia"/>
              </w:rPr>
              <w:t>20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2.1</w:t>
            </w:r>
          </w:p>
        </w:tc>
        <w:tc>
          <w:tcPr>
            <w:tcW w:w="2942" w:type="pct"/>
            <w:gridSpan w:val="2"/>
            <w:vAlign w:val="center"/>
          </w:tcPr>
          <w:p>
            <w:pPr>
              <w:pStyle w:val="23"/>
            </w:pPr>
            <w:r>
              <w:rPr>
                <w:rFonts w:hint="eastAsia"/>
              </w:rPr>
              <w:t>原材料质量保证资料真实完整</w:t>
            </w:r>
          </w:p>
        </w:tc>
        <w:tc>
          <w:tcPr>
            <w:tcW w:w="734" w:type="pct"/>
            <w:vAlign w:val="center"/>
          </w:tcPr>
          <w:p>
            <w:pPr>
              <w:pStyle w:val="23"/>
            </w:pPr>
            <w:r>
              <w:rPr>
                <w:rFonts w:hint="eastAsia"/>
              </w:rPr>
              <w:t>10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2.2</w:t>
            </w:r>
          </w:p>
        </w:tc>
        <w:tc>
          <w:tcPr>
            <w:tcW w:w="2942" w:type="pct"/>
            <w:gridSpan w:val="2"/>
            <w:vAlign w:val="center"/>
          </w:tcPr>
          <w:p>
            <w:pPr>
              <w:pStyle w:val="23"/>
            </w:pPr>
            <w:r>
              <w:rPr>
                <w:rFonts w:hint="eastAsia"/>
              </w:rPr>
              <w:t>原材料复检报告真实完整</w:t>
            </w:r>
          </w:p>
        </w:tc>
        <w:tc>
          <w:tcPr>
            <w:tcW w:w="734" w:type="pct"/>
            <w:vAlign w:val="center"/>
          </w:tcPr>
          <w:p>
            <w:pPr>
              <w:pStyle w:val="23"/>
            </w:pPr>
            <w:r>
              <w:rPr>
                <w:rFonts w:hint="eastAsia"/>
              </w:rPr>
              <w:t>10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3</w:t>
            </w:r>
          </w:p>
        </w:tc>
        <w:tc>
          <w:tcPr>
            <w:tcW w:w="2942" w:type="pct"/>
            <w:gridSpan w:val="2"/>
            <w:vAlign w:val="center"/>
          </w:tcPr>
          <w:p>
            <w:pPr>
              <w:pStyle w:val="23"/>
            </w:pPr>
            <w:r>
              <w:rPr>
                <w:rFonts w:hint="eastAsia"/>
              </w:rPr>
              <w:t>生产过程质量控制</w:t>
            </w:r>
          </w:p>
        </w:tc>
        <w:tc>
          <w:tcPr>
            <w:tcW w:w="734" w:type="pct"/>
            <w:vAlign w:val="center"/>
          </w:tcPr>
          <w:p>
            <w:pPr>
              <w:pStyle w:val="23"/>
            </w:pPr>
            <w:r>
              <w:rPr>
                <w:rFonts w:hint="eastAsia"/>
              </w:rPr>
              <w:t>30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3.1</w:t>
            </w:r>
          </w:p>
        </w:tc>
        <w:tc>
          <w:tcPr>
            <w:tcW w:w="2942" w:type="pct"/>
            <w:gridSpan w:val="2"/>
            <w:vAlign w:val="center"/>
          </w:tcPr>
          <w:p>
            <w:pPr>
              <w:pStyle w:val="23"/>
            </w:pPr>
            <w:r>
              <w:rPr>
                <w:rFonts w:hint="eastAsia"/>
              </w:rPr>
              <w:t>各工序隐蔽验收资料真实完整</w:t>
            </w:r>
          </w:p>
        </w:tc>
        <w:tc>
          <w:tcPr>
            <w:tcW w:w="734" w:type="pct"/>
            <w:vAlign w:val="center"/>
          </w:tcPr>
          <w:p>
            <w:pPr>
              <w:pStyle w:val="23"/>
            </w:pPr>
            <w:r>
              <w:rPr>
                <w:rFonts w:hint="eastAsia"/>
              </w:rPr>
              <w:t>10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3.2</w:t>
            </w:r>
          </w:p>
        </w:tc>
        <w:tc>
          <w:tcPr>
            <w:tcW w:w="2942" w:type="pct"/>
            <w:gridSpan w:val="2"/>
            <w:vAlign w:val="center"/>
          </w:tcPr>
          <w:p>
            <w:pPr>
              <w:pStyle w:val="23"/>
            </w:pPr>
            <w:r>
              <w:rPr>
                <w:rFonts w:hint="eastAsia"/>
              </w:rPr>
              <w:t>生产过程质量控制抽查</w:t>
            </w:r>
          </w:p>
        </w:tc>
        <w:tc>
          <w:tcPr>
            <w:tcW w:w="734" w:type="pct"/>
            <w:vAlign w:val="center"/>
          </w:tcPr>
          <w:p>
            <w:pPr>
              <w:pStyle w:val="23"/>
            </w:pPr>
            <w:r>
              <w:rPr>
                <w:rFonts w:hint="eastAsia"/>
              </w:rPr>
              <w:t>20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restart"/>
            <w:vAlign w:val="center"/>
          </w:tcPr>
          <w:p>
            <w:pPr>
              <w:pStyle w:val="23"/>
            </w:pPr>
            <w:r>
              <w:rPr>
                <w:rFonts w:hint="eastAsia"/>
              </w:rPr>
              <w:t>3.2.1</w:t>
            </w:r>
          </w:p>
        </w:tc>
        <w:tc>
          <w:tcPr>
            <w:tcW w:w="1028" w:type="pct"/>
            <w:vMerge w:val="restart"/>
            <w:vAlign w:val="center"/>
          </w:tcPr>
          <w:p>
            <w:pPr>
              <w:pStyle w:val="23"/>
            </w:pPr>
            <w:r>
              <w:rPr>
                <w:rFonts w:hint="eastAsia"/>
              </w:rPr>
              <w:t>模具组装</w:t>
            </w:r>
          </w:p>
        </w:tc>
        <w:tc>
          <w:tcPr>
            <w:tcW w:w="1913" w:type="pct"/>
            <w:vAlign w:val="center"/>
          </w:tcPr>
          <w:p>
            <w:pPr>
              <w:pStyle w:val="23"/>
            </w:pPr>
            <w:r>
              <w:rPr>
                <w:rFonts w:hint="eastAsia"/>
              </w:rPr>
              <w:t>合格率95%及以上</w:t>
            </w:r>
          </w:p>
        </w:tc>
        <w:tc>
          <w:tcPr>
            <w:tcW w:w="734" w:type="pct"/>
            <w:vAlign w:val="center"/>
          </w:tcPr>
          <w:p>
            <w:pPr>
              <w:pStyle w:val="23"/>
            </w:pPr>
            <w:r>
              <w:rPr>
                <w:rFonts w:hint="eastAsia"/>
              </w:rPr>
              <w:t>5</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3"/>
            </w:pPr>
          </w:p>
        </w:tc>
        <w:tc>
          <w:tcPr>
            <w:tcW w:w="1028" w:type="pct"/>
            <w:vMerge w:val="continue"/>
            <w:vAlign w:val="center"/>
          </w:tcPr>
          <w:p>
            <w:pPr>
              <w:pStyle w:val="23"/>
            </w:pPr>
          </w:p>
        </w:tc>
        <w:tc>
          <w:tcPr>
            <w:tcW w:w="1913" w:type="pct"/>
            <w:vAlign w:val="center"/>
          </w:tcPr>
          <w:p>
            <w:pPr>
              <w:pStyle w:val="23"/>
            </w:pPr>
            <w:r>
              <w:rPr>
                <w:rFonts w:hint="eastAsia"/>
              </w:rPr>
              <w:t>合格率90%-95%（不含）</w:t>
            </w:r>
          </w:p>
        </w:tc>
        <w:tc>
          <w:tcPr>
            <w:tcW w:w="734" w:type="pct"/>
            <w:vAlign w:val="center"/>
          </w:tcPr>
          <w:p>
            <w:pPr>
              <w:pStyle w:val="23"/>
            </w:pPr>
            <w:r>
              <w:rPr>
                <w:rFonts w:hint="eastAsia"/>
              </w:rPr>
              <w:t>3-4</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3"/>
            </w:pPr>
          </w:p>
        </w:tc>
        <w:tc>
          <w:tcPr>
            <w:tcW w:w="1028" w:type="pct"/>
            <w:vMerge w:val="continue"/>
            <w:vAlign w:val="center"/>
          </w:tcPr>
          <w:p>
            <w:pPr>
              <w:pStyle w:val="23"/>
            </w:pPr>
          </w:p>
        </w:tc>
        <w:tc>
          <w:tcPr>
            <w:tcW w:w="1913" w:type="pct"/>
            <w:vAlign w:val="center"/>
          </w:tcPr>
          <w:p>
            <w:pPr>
              <w:pStyle w:val="23"/>
            </w:pPr>
            <w:r>
              <w:rPr>
                <w:rFonts w:hint="eastAsia"/>
              </w:rPr>
              <w:t>合格率85%-90%（不含）</w:t>
            </w:r>
          </w:p>
        </w:tc>
        <w:tc>
          <w:tcPr>
            <w:tcW w:w="734" w:type="pct"/>
            <w:vAlign w:val="center"/>
          </w:tcPr>
          <w:p>
            <w:pPr>
              <w:pStyle w:val="23"/>
            </w:pPr>
            <w:r>
              <w:rPr>
                <w:rFonts w:hint="eastAsia"/>
              </w:rPr>
              <w:t>1-2</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restart"/>
            <w:vAlign w:val="center"/>
          </w:tcPr>
          <w:p>
            <w:pPr>
              <w:pStyle w:val="23"/>
            </w:pPr>
            <w:r>
              <w:rPr>
                <w:rFonts w:hint="eastAsia"/>
              </w:rPr>
              <w:t>3.2.2</w:t>
            </w:r>
          </w:p>
        </w:tc>
        <w:tc>
          <w:tcPr>
            <w:tcW w:w="1028" w:type="pct"/>
            <w:vMerge w:val="restart"/>
            <w:vAlign w:val="center"/>
          </w:tcPr>
          <w:p>
            <w:pPr>
              <w:pStyle w:val="23"/>
            </w:pPr>
            <w:r>
              <w:rPr>
                <w:rFonts w:hint="eastAsia"/>
              </w:rPr>
              <w:t>钢筋加工</w:t>
            </w:r>
          </w:p>
        </w:tc>
        <w:tc>
          <w:tcPr>
            <w:tcW w:w="3467" w:type="dxa"/>
            <w:vAlign w:val="center"/>
          </w:tcPr>
          <w:p>
            <w:pPr>
              <w:pStyle w:val="23"/>
            </w:pPr>
            <w:r>
              <w:rPr>
                <w:rFonts w:hint="eastAsia"/>
              </w:rPr>
              <w:t>合格率95%及以上</w:t>
            </w:r>
          </w:p>
        </w:tc>
        <w:tc>
          <w:tcPr>
            <w:tcW w:w="734" w:type="pct"/>
            <w:vAlign w:val="center"/>
          </w:tcPr>
          <w:p>
            <w:pPr>
              <w:pStyle w:val="23"/>
            </w:pPr>
            <w:r>
              <w:rPr>
                <w:rFonts w:hint="eastAsia"/>
              </w:rPr>
              <w:t>5</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3"/>
            </w:pPr>
          </w:p>
        </w:tc>
        <w:tc>
          <w:tcPr>
            <w:tcW w:w="1028" w:type="pct"/>
            <w:vMerge w:val="continue"/>
            <w:vAlign w:val="center"/>
          </w:tcPr>
          <w:p>
            <w:pPr>
              <w:pStyle w:val="23"/>
            </w:pPr>
          </w:p>
        </w:tc>
        <w:tc>
          <w:tcPr>
            <w:tcW w:w="3467" w:type="dxa"/>
            <w:vAlign w:val="center"/>
          </w:tcPr>
          <w:p>
            <w:pPr>
              <w:pStyle w:val="23"/>
            </w:pPr>
            <w:r>
              <w:rPr>
                <w:rFonts w:hint="eastAsia"/>
              </w:rPr>
              <w:t>合格率90%-95%（不含）</w:t>
            </w:r>
          </w:p>
        </w:tc>
        <w:tc>
          <w:tcPr>
            <w:tcW w:w="734" w:type="pct"/>
            <w:vAlign w:val="center"/>
          </w:tcPr>
          <w:p>
            <w:pPr>
              <w:pStyle w:val="23"/>
            </w:pPr>
            <w:r>
              <w:rPr>
                <w:rFonts w:hint="eastAsia"/>
              </w:rPr>
              <w:t>3-4</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3"/>
            </w:pPr>
          </w:p>
        </w:tc>
        <w:tc>
          <w:tcPr>
            <w:tcW w:w="1028" w:type="pct"/>
            <w:vMerge w:val="continue"/>
            <w:vAlign w:val="center"/>
          </w:tcPr>
          <w:p>
            <w:pPr>
              <w:pStyle w:val="23"/>
            </w:pPr>
          </w:p>
        </w:tc>
        <w:tc>
          <w:tcPr>
            <w:tcW w:w="3467" w:type="dxa"/>
            <w:vAlign w:val="center"/>
          </w:tcPr>
          <w:p>
            <w:pPr>
              <w:pStyle w:val="23"/>
            </w:pPr>
            <w:r>
              <w:rPr>
                <w:rFonts w:hint="eastAsia"/>
              </w:rPr>
              <w:t>合格率85%-90%（不含）</w:t>
            </w:r>
          </w:p>
        </w:tc>
        <w:tc>
          <w:tcPr>
            <w:tcW w:w="734" w:type="pct"/>
            <w:vAlign w:val="center"/>
          </w:tcPr>
          <w:p>
            <w:pPr>
              <w:pStyle w:val="23"/>
            </w:pPr>
            <w:r>
              <w:rPr>
                <w:rFonts w:hint="eastAsia"/>
              </w:rPr>
              <w:t>1-2</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restart"/>
            <w:vAlign w:val="center"/>
          </w:tcPr>
          <w:p>
            <w:pPr>
              <w:pStyle w:val="23"/>
            </w:pPr>
            <w:r>
              <w:rPr>
                <w:rFonts w:hint="eastAsia"/>
              </w:rPr>
              <w:t>3.2.3</w:t>
            </w:r>
          </w:p>
        </w:tc>
        <w:tc>
          <w:tcPr>
            <w:tcW w:w="1028" w:type="pct"/>
            <w:vMerge w:val="restart"/>
            <w:vAlign w:val="center"/>
          </w:tcPr>
          <w:p>
            <w:pPr>
              <w:pStyle w:val="23"/>
            </w:pPr>
            <w:r>
              <w:rPr>
                <w:rFonts w:hint="eastAsia"/>
              </w:rPr>
              <w:t>混凝土作业</w:t>
            </w:r>
          </w:p>
        </w:tc>
        <w:tc>
          <w:tcPr>
            <w:tcW w:w="3467" w:type="dxa"/>
            <w:vAlign w:val="center"/>
          </w:tcPr>
          <w:p>
            <w:pPr>
              <w:pStyle w:val="23"/>
            </w:pPr>
            <w:r>
              <w:rPr>
                <w:rFonts w:hint="eastAsia"/>
              </w:rPr>
              <w:t>合格率95%及以上</w:t>
            </w:r>
          </w:p>
        </w:tc>
        <w:tc>
          <w:tcPr>
            <w:tcW w:w="734" w:type="pct"/>
            <w:vAlign w:val="center"/>
          </w:tcPr>
          <w:p>
            <w:pPr>
              <w:pStyle w:val="23"/>
            </w:pPr>
            <w:r>
              <w:rPr>
                <w:rFonts w:hint="eastAsia"/>
              </w:rPr>
              <w:t>5</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3"/>
            </w:pPr>
          </w:p>
        </w:tc>
        <w:tc>
          <w:tcPr>
            <w:tcW w:w="1028" w:type="pct"/>
            <w:vMerge w:val="continue"/>
            <w:vAlign w:val="center"/>
          </w:tcPr>
          <w:p>
            <w:pPr>
              <w:pStyle w:val="23"/>
            </w:pPr>
          </w:p>
        </w:tc>
        <w:tc>
          <w:tcPr>
            <w:tcW w:w="3467" w:type="dxa"/>
            <w:vAlign w:val="center"/>
          </w:tcPr>
          <w:p>
            <w:pPr>
              <w:pStyle w:val="23"/>
            </w:pPr>
            <w:r>
              <w:rPr>
                <w:rFonts w:hint="eastAsia"/>
              </w:rPr>
              <w:t>合格率90%-95%（不含）</w:t>
            </w:r>
          </w:p>
        </w:tc>
        <w:tc>
          <w:tcPr>
            <w:tcW w:w="734" w:type="pct"/>
            <w:vAlign w:val="center"/>
          </w:tcPr>
          <w:p>
            <w:pPr>
              <w:pStyle w:val="23"/>
            </w:pPr>
            <w:r>
              <w:rPr>
                <w:rFonts w:hint="eastAsia"/>
              </w:rPr>
              <w:t>3-4</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3"/>
            </w:pPr>
          </w:p>
        </w:tc>
        <w:tc>
          <w:tcPr>
            <w:tcW w:w="1028" w:type="pct"/>
            <w:vMerge w:val="continue"/>
            <w:vAlign w:val="center"/>
          </w:tcPr>
          <w:p>
            <w:pPr>
              <w:pStyle w:val="23"/>
            </w:pPr>
          </w:p>
        </w:tc>
        <w:tc>
          <w:tcPr>
            <w:tcW w:w="3467" w:type="dxa"/>
            <w:vAlign w:val="center"/>
          </w:tcPr>
          <w:p>
            <w:pPr>
              <w:pStyle w:val="23"/>
            </w:pPr>
            <w:r>
              <w:rPr>
                <w:rFonts w:hint="eastAsia"/>
              </w:rPr>
              <w:t>合格率85%-90%（不含）</w:t>
            </w:r>
          </w:p>
        </w:tc>
        <w:tc>
          <w:tcPr>
            <w:tcW w:w="734" w:type="pct"/>
            <w:vAlign w:val="center"/>
          </w:tcPr>
          <w:p>
            <w:pPr>
              <w:pStyle w:val="23"/>
            </w:pPr>
            <w:r>
              <w:rPr>
                <w:rFonts w:hint="eastAsia"/>
              </w:rPr>
              <w:t>1-2</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restart"/>
            <w:vAlign w:val="center"/>
          </w:tcPr>
          <w:p>
            <w:pPr>
              <w:pStyle w:val="23"/>
            </w:pPr>
            <w:r>
              <w:rPr>
                <w:rFonts w:hint="eastAsia"/>
              </w:rPr>
              <w:t>3.2.4</w:t>
            </w:r>
          </w:p>
        </w:tc>
        <w:tc>
          <w:tcPr>
            <w:tcW w:w="1028" w:type="pct"/>
            <w:vMerge w:val="restart"/>
            <w:vAlign w:val="center"/>
          </w:tcPr>
          <w:p>
            <w:pPr>
              <w:pStyle w:val="23"/>
            </w:pPr>
            <w:r>
              <w:rPr>
                <w:rFonts w:hint="eastAsia"/>
              </w:rPr>
              <w:t>预留预埋</w:t>
            </w:r>
          </w:p>
        </w:tc>
        <w:tc>
          <w:tcPr>
            <w:tcW w:w="3467" w:type="dxa"/>
            <w:vAlign w:val="center"/>
          </w:tcPr>
          <w:p>
            <w:pPr>
              <w:pStyle w:val="23"/>
            </w:pPr>
            <w:r>
              <w:rPr>
                <w:rFonts w:hint="eastAsia"/>
              </w:rPr>
              <w:t>合格率95%及以上</w:t>
            </w:r>
          </w:p>
        </w:tc>
        <w:tc>
          <w:tcPr>
            <w:tcW w:w="734" w:type="pct"/>
            <w:vAlign w:val="center"/>
          </w:tcPr>
          <w:p>
            <w:pPr>
              <w:pStyle w:val="23"/>
            </w:pPr>
            <w:r>
              <w:rPr>
                <w:rFonts w:hint="eastAsia"/>
              </w:rPr>
              <w:t>5</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3"/>
            </w:pPr>
          </w:p>
        </w:tc>
        <w:tc>
          <w:tcPr>
            <w:tcW w:w="1028" w:type="pct"/>
            <w:vMerge w:val="continue"/>
            <w:vAlign w:val="center"/>
          </w:tcPr>
          <w:p>
            <w:pPr>
              <w:pStyle w:val="23"/>
            </w:pPr>
          </w:p>
        </w:tc>
        <w:tc>
          <w:tcPr>
            <w:tcW w:w="3467" w:type="dxa"/>
            <w:vAlign w:val="center"/>
          </w:tcPr>
          <w:p>
            <w:pPr>
              <w:pStyle w:val="23"/>
            </w:pPr>
            <w:r>
              <w:rPr>
                <w:rFonts w:hint="eastAsia"/>
              </w:rPr>
              <w:t>合格率90%-95%（不含）</w:t>
            </w:r>
          </w:p>
        </w:tc>
        <w:tc>
          <w:tcPr>
            <w:tcW w:w="734" w:type="pct"/>
            <w:vAlign w:val="center"/>
          </w:tcPr>
          <w:p>
            <w:pPr>
              <w:pStyle w:val="23"/>
            </w:pPr>
            <w:r>
              <w:rPr>
                <w:rFonts w:hint="eastAsia"/>
              </w:rPr>
              <w:t>3-4</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3"/>
            </w:pPr>
          </w:p>
        </w:tc>
        <w:tc>
          <w:tcPr>
            <w:tcW w:w="1028" w:type="pct"/>
            <w:vMerge w:val="continue"/>
            <w:vAlign w:val="center"/>
          </w:tcPr>
          <w:p>
            <w:pPr>
              <w:pStyle w:val="23"/>
            </w:pPr>
          </w:p>
        </w:tc>
        <w:tc>
          <w:tcPr>
            <w:tcW w:w="3467" w:type="dxa"/>
            <w:vAlign w:val="center"/>
          </w:tcPr>
          <w:p>
            <w:pPr>
              <w:pStyle w:val="23"/>
            </w:pPr>
            <w:r>
              <w:rPr>
                <w:rFonts w:hint="eastAsia"/>
              </w:rPr>
              <w:t>合格率85%-90%（不含）</w:t>
            </w:r>
          </w:p>
        </w:tc>
        <w:tc>
          <w:tcPr>
            <w:tcW w:w="734" w:type="pct"/>
            <w:vAlign w:val="center"/>
          </w:tcPr>
          <w:p>
            <w:pPr>
              <w:pStyle w:val="23"/>
            </w:pPr>
            <w:r>
              <w:rPr>
                <w:rFonts w:hint="eastAsia"/>
              </w:rPr>
              <w:t>1-2</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3.3</w:t>
            </w:r>
          </w:p>
        </w:tc>
        <w:tc>
          <w:tcPr>
            <w:tcW w:w="2942" w:type="pct"/>
            <w:gridSpan w:val="2"/>
            <w:vAlign w:val="center"/>
          </w:tcPr>
          <w:p>
            <w:pPr>
              <w:pStyle w:val="23"/>
            </w:pPr>
            <w:r>
              <w:rPr>
                <w:rFonts w:hint="eastAsia"/>
              </w:rPr>
              <w:t>不能提供预制构件生产过程质量验收记录，或现场抽检情况与隐蔽验收资料不符，或抽检时有严重缺陷</w:t>
            </w:r>
          </w:p>
        </w:tc>
        <w:tc>
          <w:tcPr>
            <w:tcW w:w="734" w:type="pct"/>
            <w:vAlign w:val="center"/>
          </w:tcPr>
          <w:p>
            <w:pPr>
              <w:pStyle w:val="23"/>
            </w:pPr>
            <w:r>
              <w:rPr>
                <w:rFonts w:hint="eastAsia"/>
              </w:rPr>
              <w:t>终止评价</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4</w:t>
            </w:r>
          </w:p>
        </w:tc>
        <w:tc>
          <w:tcPr>
            <w:tcW w:w="2942" w:type="pct"/>
            <w:gridSpan w:val="2"/>
            <w:vAlign w:val="center"/>
          </w:tcPr>
          <w:p>
            <w:pPr>
              <w:pStyle w:val="23"/>
            </w:pPr>
            <w:r>
              <w:rPr>
                <w:rFonts w:hint="eastAsia"/>
              </w:rPr>
              <w:t>成品质量控制</w:t>
            </w:r>
          </w:p>
        </w:tc>
        <w:tc>
          <w:tcPr>
            <w:tcW w:w="734" w:type="pct"/>
            <w:vAlign w:val="center"/>
          </w:tcPr>
          <w:p>
            <w:pPr>
              <w:pStyle w:val="23"/>
            </w:pPr>
            <w:r>
              <w:rPr>
                <w:rFonts w:hint="eastAsia"/>
              </w:rPr>
              <w:t>30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4.1</w:t>
            </w:r>
          </w:p>
        </w:tc>
        <w:tc>
          <w:tcPr>
            <w:tcW w:w="2942" w:type="pct"/>
            <w:gridSpan w:val="2"/>
            <w:vAlign w:val="center"/>
          </w:tcPr>
          <w:p>
            <w:pPr>
              <w:pStyle w:val="23"/>
            </w:pPr>
            <w:r>
              <w:rPr>
                <w:rFonts w:hint="eastAsia"/>
              </w:rPr>
              <w:t>成品验收资料真实完整</w:t>
            </w:r>
          </w:p>
        </w:tc>
        <w:tc>
          <w:tcPr>
            <w:tcW w:w="734" w:type="pct"/>
            <w:vAlign w:val="center"/>
          </w:tcPr>
          <w:p>
            <w:pPr>
              <w:pStyle w:val="23"/>
            </w:pPr>
            <w:r>
              <w:rPr>
                <w:rFonts w:hint="eastAsia"/>
              </w:rPr>
              <w:t>10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4.2</w:t>
            </w:r>
          </w:p>
        </w:tc>
        <w:tc>
          <w:tcPr>
            <w:tcW w:w="2942" w:type="pct"/>
            <w:gridSpan w:val="2"/>
            <w:vAlign w:val="center"/>
          </w:tcPr>
          <w:p>
            <w:pPr>
              <w:pStyle w:val="23"/>
            </w:pPr>
            <w:r>
              <w:rPr>
                <w:rFonts w:hint="eastAsia"/>
              </w:rPr>
              <w:t>成品质量抽查</w:t>
            </w:r>
          </w:p>
        </w:tc>
        <w:tc>
          <w:tcPr>
            <w:tcW w:w="734" w:type="pct"/>
            <w:vAlign w:val="center"/>
          </w:tcPr>
          <w:p>
            <w:pPr>
              <w:pStyle w:val="23"/>
            </w:pPr>
            <w:r>
              <w:rPr>
                <w:rFonts w:hint="eastAsia"/>
              </w:rPr>
              <w:t>20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4.2.1</w:t>
            </w:r>
          </w:p>
        </w:tc>
        <w:tc>
          <w:tcPr>
            <w:tcW w:w="1028" w:type="pct"/>
            <w:vMerge w:val="restart"/>
            <w:vAlign w:val="center"/>
          </w:tcPr>
          <w:p>
            <w:pPr>
              <w:pStyle w:val="23"/>
            </w:pPr>
            <w:r>
              <w:rPr>
                <w:rFonts w:hint="eastAsia"/>
              </w:rPr>
              <w:t>成品质量抽查内容包括：产品编号、观感、强度、尺寸、粗糙面等</w:t>
            </w:r>
          </w:p>
        </w:tc>
        <w:tc>
          <w:tcPr>
            <w:tcW w:w="3467" w:type="dxa"/>
            <w:vAlign w:val="center"/>
          </w:tcPr>
          <w:p>
            <w:pPr>
              <w:pStyle w:val="23"/>
            </w:pPr>
            <w:r>
              <w:rPr>
                <w:rFonts w:hint="eastAsia"/>
              </w:rPr>
              <w:t>合格率95%及以上</w:t>
            </w:r>
          </w:p>
        </w:tc>
        <w:tc>
          <w:tcPr>
            <w:tcW w:w="734" w:type="pct"/>
            <w:vAlign w:val="center"/>
          </w:tcPr>
          <w:p>
            <w:pPr>
              <w:pStyle w:val="23"/>
            </w:pPr>
            <w:r>
              <w:rPr>
                <w:rFonts w:hint="eastAsia"/>
              </w:rPr>
              <w:t>20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4.2.2</w:t>
            </w:r>
          </w:p>
        </w:tc>
        <w:tc>
          <w:tcPr>
            <w:tcW w:w="1028" w:type="pct"/>
            <w:vMerge w:val="continue"/>
            <w:vAlign w:val="center"/>
          </w:tcPr>
          <w:p>
            <w:pPr>
              <w:pStyle w:val="23"/>
            </w:pPr>
          </w:p>
        </w:tc>
        <w:tc>
          <w:tcPr>
            <w:tcW w:w="3467" w:type="dxa"/>
            <w:vAlign w:val="center"/>
          </w:tcPr>
          <w:p>
            <w:pPr>
              <w:pStyle w:val="23"/>
            </w:pPr>
            <w:r>
              <w:rPr>
                <w:rFonts w:hint="eastAsia"/>
              </w:rPr>
              <w:t>合格率90%-95%（不含）</w:t>
            </w:r>
          </w:p>
        </w:tc>
        <w:tc>
          <w:tcPr>
            <w:tcW w:w="734" w:type="pct"/>
            <w:vAlign w:val="center"/>
          </w:tcPr>
          <w:p>
            <w:pPr>
              <w:pStyle w:val="23"/>
            </w:pPr>
            <w:r>
              <w:rPr>
                <w:rFonts w:hint="eastAsia"/>
              </w:rPr>
              <w:t>11-19</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4.2.3</w:t>
            </w:r>
          </w:p>
        </w:tc>
        <w:tc>
          <w:tcPr>
            <w:tcW w:w="1028" w:type="pct"/>
            <w:vMerge w:val="continue"/>
            <w:vAlign w:val="center"/>
          </w:tcPr>
          <w:p>
            <w:pPr>
              <w:pStyle w:val="23"/>
            </w:pPr>
          </w:p>
        </w:tc>
        <w:tc>
          <w:tcPr>
            <w:tcW w:w="3467" w:type="dxa"/>
            <w:vAlign w:val="center"/>
          </w:tcPr>
          <w:p>
            <w:pPr>
              <w:pStyle w:val="23"/>
            </w:pPr>
            <w:r>
              <w:rPr>
                <w:rFonts w:hint="eastAsia"/>
              </w:rPr>
              <w:t>合格率85%-90%（不含）</w:t>
            </w:r>
          </w:p>
        </w:tc>
        <w:tc>
          <w:tcPr>
            <w:tcW w:w="734" w:type="pct"/>
            <w:vAlign w:val="center"/>
          </w:tcPr>
          <w:p>
            <w:pPr>
              <w:pStyle w:val="23"/>
            </w:pPr>
            <w:r>
              <w:rPr>
                <w:rFonts w:hint="eastAsia"/>
              </w:rPr>
              <w:t>8-10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4.3</w:t>
            </w:r>
          </w:p>
        </w:tc>
        <w:tc>
          <w:tcPr>
            <w:tcW w:w="2942" w:type="pct"/>
            <w:gridSpan w:val="2"/>
            <w:vAlign w:val="center"/>
          </w:tcPr>
          <w:p>
            <w:pPr>
              <w:pStyle w:val="23"/>
            </w:pPr>
            <w:r>
              <w:rPr>
                <w:rFonts w:hint="eastAsia"/>
              </w:rPr>
              <w:t>成品验收资料与所对应成品不符，或不能提供成品质量验收记录，或发生一般及以上质量事故</w:t>
            </w:r>
          </w:p>
        </w:tc>
        <w:tc>
          <w:tcPr>
            <w:tcW w:w="734" w:type="pct"/>
            <w:vAlign w:val="center"/>
          </w:tcPr>
          <w:p>
            <w:pPr>
              <w:pStyle w:val="23"/>
            </w:pPr>
            <w:r>
              <w:rPr>
                <w:rFonts w:hint="eastAsia"/>
              </w:rPr>
              <w:t>终止评价</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5</w:t>
            </w:r>
          </w:p>
        </w:tc>
        <w:tc>
          <w:tcPr>
            <w:tcW w:w="2942" w:type="pct"/>
            <w:gridSpan w:val="2"/>
            <w:vAlign w:val="center"/>
          </w:tcPr>
          <w:p>
            <w:pPr>
              <w:pStyle w:val="23"/>
            </w:pPr>
            <w:r>
              <w:rPr>
                <w:rFonts w:hint="eastAsia"/>
              </w:rPr>
              <w:t>产品研发</w:t>
            </w:r>
          </w:p>
        </w:tc>
        <w:tc>
          <w:tcPr>
            <w:tcW w:w="734" w:type="pct"/>
            <w:vAlign w:val="center"/>
          </w:tcPr>
          <w:p>
            <w:pPr>
              <w:pStyle w:val="23"/>
            </w:pPr>
            <w:r>
              <w:rPr>
                <w:rFonts w:hint="eastAsia"/>
              </w:rPr>
              <w:t>17</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restart"/>
            <w:vAlign w:val="center"/>
          </w:tcPr>
          <w:p>
            <w:pPr>
              <w:pStyle w:val="23"/>
            </w:pPr>
            <w:r>
              <w:rPr>
                <w:rFonts w:hint="eastAsia"/>
              </w:rPr>
              <w:t>5.1</w:t>
            </w:r>
          </w:p>
        </w:tc>
        <w:tc>
          <w:tcPr>
            <w:tcW w:w="1028" w:type="pct"/>
            <w:vMerge w:val="restart"/>
            <w:vAlign w:val="center"/>
          </w:tcPr>
          <w:p>
            <w:pPr>
              <w:pStyle w:val="23"/>
            </w:pPr>
            <w:r>
              <w:rPr>
                <w:rFonts w:hint="eastAsia"/>
              </w:rPr>
              <w:t>专职研发人员占全部职工比例</w:t>
            </w:r>
          </w:p>
        </w:tc>
        <w:tc>
          <w:tcPr>
            <w:tcW w:w="1913" w:type="pct"/>
            <w:vAlign w:val="center"/>
          </w:tcPr>
          <w:p>
            <w:pPr>
              <w:pStyle w:val="23"/>
            </w:pPr>
            <w:r>
              <w:rPr>
                <w:rFonts w:hint="eastAsia"/>
              </w:rPr>
              <w:t>5%以上且不少于10人</w:t>
            </w:r>
          </w:p>
        </w:tc>
        <w:tc>
          <w:tcPr>
            <w:tcW w:w="734" w:type="pct"/>
            <w:vAlign w:val="center"/>
          </w:tcPr>
          <w:p>
            <w:pPr>
              <w:pStyle w:val="23"/>
            </w:pPr>
            <w:r>
              <w:rPr>
                <w:rFonts w:hint="eastAsia"/>
              </w:rPr>
              <w:t>4</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3"/>
            </w:pPr>
          </w:p>
        </w:tc>
        <w:tc>
          <w:tcPr>
            <w:tcW w:w="1028" w:type="pct"/>
            <w:vMerge w:val="continue"/>
            <w:vAlign w:val="center"/>
          </w:tcPr>
          <w:p>
            <w:pPr>
              <w:pStyle w:val="23"/>
            </w:pPr>
          </w:p>
        </w:tc>
        <w:tc>
          <w:tcPr>
            <w:tcW w:w="1913" w:type="pct"/>
            <w:vAlign w:val="center"/>
          </w:tcPr>
          <w:p>
            <w:pPr>
              <w:pStyle w:val="23"/>
            </w:pPr>
            <w:r>
              <w:rPr>
                <w:rFonts w:hint="eastAsia"/>
              </w:rPr>
              <w:t>3%以上且不少于5人</w:t>
            </w:r>
          </w:p>
        </w:tc>
        <w:tc>
          <w:tcPr>
            <w:tcW w:w="734" w:type="pct"/>
            <w:vAlign w:val="center"/>
          </w:tcPr>
          <w:p>
            <w:pPr>
              <w:pStyle w:val="23"/>
            </w:pPr>
            <w:r>
              <w:rPr>
                <w:rFonts w:hint="eastAsia"/>
              </w:rPr>
              <w:t>3</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Merge w:val="continue"/>
            <w:vAlign w:val="center"/>
          </w:tcPr>
          <w:p>
            <w:pPr>
              <w:pStyle w:val="23"/>
            </w:pPr>
          </w:p>
        </w:tc>
        <w:tc>
          <w:tcPr>
            <w:tcW w:w="1028" w:type="pct"/>
            <w:vMerge w:val="continue"/>
            <w:vAlign w:val="center"/>
          </w:tcPr>
          <w:p>
            <w:pPr>
              <w:pStyle w:val="23"/>
            </w:pPr>
          </w:p>
        </w:tc>
        <w:tc>
          <w:tcPr>
            <w:tcW w:w="1913" w:type="pct"/>
            <w:vAlign w:val="center"/>
          </w:tcPr>
          <w:p>
            <w:pPr>
              <w:pStyle w:val="23"/>
            </w:pPr>
            <w:r>
              <w:rPr>
                <w:rFonts w:hint="eastAsia"/>
              </w:rPr>
              <w:t>2%以上且不少于3人</w:t>
            </w:r>
          </w:p>
        </w:tc>
        <w:tc>
          <w:tcPr>
            <w:tcW w:w="734" w:type="pct"/>
            <w:vAlign w:val="center"/>
          </w:tcPr>
          <w:p>
            <w:pPr>
              <w:pStyle w:val="23"/>
            </w:pPr>
            <w:r>
              <w:rPr>
                <w:rFonts w:hint="eastAsia"/>
              </w:rPr>
              <w:t>1</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5.2</w:t>
            </w:r>
          </w:p>
        </w:tc>
        <w:tc>
          <w:tcPr>
            <w:tcW w:w="2942" w:type="pct"/>
            <w:gridSpan w:val="2"/>
            <w:vAlign w:val="center"/>
          </w:tcPr>
          <w:p>
            <w:pPr>
              <w:pStyle w:val="23"/>
            </w:pPr>
            <w:r>
              <w:rPr>
                <w:rFonts w:hint="eastAsia"/>
              </w:rPr>
              <w:t>具有持续的研发经费投入</w:t>
            </w:r>
          </w:p>
        </w:tc>
        <w:tc>
          <w:tcPr>
            <w:tcW w:w="734" w:type="pct"/>
            <w:vAlign w:val="center"/>
          </w:tcPr>
          <w:p>
            <w:pPr>
              <w:pStyle w:val="23"/>
            </w:pPr>
            <w:r>
              <w:rPr>
                <w:rFonts w:hint="eastAsia"/>
              </w:rPr>
              <w:t>4</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5.3</w:t>
            </w:r>
          </w:p>
        </w:tc>
        <w:tc>
          <w:tcPr>
            <w:tcW w:w="2942" w:type="pct"/>
            <w:gridSpan w:val="2"/>
            <w:vAlign w:val="center"/>
          </w:tcPr>
          <w:p>
            <w:pPr>
              <w:pStyle w:val="23"/>
            </w:pPr>
            <w:r>
              <w:rPr>
                <w:rFonts w:hint="eastAsia"/>
              </w:rPr>
              <w:t>研发成果（专利、工法、发明专利及标准等）</w:t>
            </w:r>
          </w:p>
        </w:tc>
        <w:tc>
          <w:tcPr>
            <w:tcW w:w="734" w:type="pct"/>
            <w:vAlign w:val="center"/>
          </w:tcPr>
          <w:p>
            <w:pPr>
              <w:pStyle w:val="23"/>
            </w:pPr>
            <w:r>
              <w:rPr>
                <w:rFonts w:hint="eastAsia"/>
              </w:rPr>
              <w:t>1-7</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pStyle w:val="23"/>
            </w:pPr>
            <w:r>
              <w:rPr>
                <w:rFonts w:hint="eastAsia"/>
              </w:rPr>
              <w:t>5.4</w:t>
            </w:r>
          </w:p>
        </w:tc>
        <w:tc>
          <w:tcPr>
            <w:tcW w:w="1028" w:type="pct"/>
            <w:vAlign w:val="center"/>
          </w:tcPr>
          <w:p>
            <w:pPr>
              <w:pStyle w:val="23"/>
            </w:pPr>
            <w:r>
              <w:rPr>
                <w:rFonts w:hint="eastAsia"/>
              </w:rPr>
              <w:t>加分项</w:t>
            </w:r>
          </w:p>
        </w:tc>
        <w:tc>
          <w:tcPr>
            <w:tcW w:w="1913" w:type="pct"/>
            <w:vAlign w:val="center"/>
          </w:tcPr>
          <w:p>
            <w:pPr>
              <w:pStyle w:val="23"/>
            </w:pPr>
            <w:r>
              <w:rPr>
                <w:rFonts w:hint="eastAsia"/>
              </w:rPr>
              <w:t>高新企业</w:t>
            </w:r>
          </w:p>
        </w:tc>
        <w:tc>
          <w:tcPr>
            <w:tcW w:w="734" w:type="pct"/>
            <w:vAlign w:val="center"/>
          </w:tcPr>
          <w:p>
            <w:pPr>
              <w:pStyle w:val="23"/>
            </w:pPr>
            <w:r>
              <w:rPr>
                <w:rFonts w:hint="eastAsia"/>
              </w:rPr>
              <w:t>2</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pct"/>
            <w:gridSpan w:val="3"/>
            <w:vAlign w:val="center"/>
          </w:tcPr>
          <w:p>
            <w:pPr>
              <w:pStyle w:val="23"/>
            </w:pPr>
            <w:r>
              <w:rPr>
                <w:rFonts w:hint="eastAsia"/>
              </w:rPr>
              <w:t>合计</w:t>
            </w:r>
          </w:p>
        </w:tc>
        <w:tc>
          <w:tcPr>
            <w:tcW w:w="734" w:type="pct"/>
            <w:vAlign w:val="center"/>
          </w:tcPr>
          <w:p>
            <w:pPr>
              <w:pStyle w:val="23"/>
            </w:pPr>
            <w:r>
              <w:rPr>
                <w:rFonts w:hint="eastAsia"/>
              </w:rPr>
              <w:t>100</w:t>
            </w:r>
          </w:p>
        </w:tc>
        <w:tc>
          <w:tcPr>
            <w:tcW w:w="844"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23"/>
              <w:jc w:val="left"/>
            </w:pPr>
            <w:r>
              <w:rPr>
                <w:rFonts w:hint="eastAsia"/>
              </w:rPr>
              <w:t>注：</w:t>
            </w:r>
          </w:p>
          <w:p>
            <w:pPr>
              <w:pStyle w:val="23"/>
              <w:jc w:val="left"/>
            </w:pPr>
            <w:r>
              <w:rPr>
                <w:rFonts w:hint="eastAsia"/>
              </w:rPr>
              <w:t>a 对于区间得分的评分项，按线性内插法得分，精确到小数点后1位。</w:t>
            </w:r>
          </w:p>
          <w:p>
            <w:pPr>
              <w:pStyle w:val="23"/>
              <w:jc w:val="left"/>
            </w:pPr>
            <w:r>
              <w:rPr>
                <w:rFonts w:hint="eastAsia"/>
              </w:rPr>
              <w:t>b 过程及成品质量抽查依据国家、行业及地方标准、设计图集、设计图纸。</w:t>
            </w:r>
          </w:p>
          <w:p>
            <w:pPr>
              <w:pStyle w:val="23"/>
              <w:jc w:val="left"/>
            </w:pPr>
            <w:r>
              <w:rPr>
                <w:rFonts w:hint="eastAsia"/>
              </w:rPr>
              <w:t>c 合格率指专家随机抽查样品的合格率。抽样遵循随机原则（如抽签、摇号等），过程及成品抽样均选自生产企业的自检合格品。</w:t>
            </w:r>
          </w:p>
          <w:p>
            <w:pPr>
              <w:pStyle w:val="23"/>
              <w:jc w:val="left"/>
            </w:pPr>
            <w:r>
              <w:rPr>
                <w:rFonts w:hint="eastAsia"/>
              </w:rPr>
              <w:t>d 专职研发人员的认定参照高新技术企业认定管理办法认定，包括专业研发人员、试验室主任、实验人员以及总工。</w:t>
            </w:r>
          </w:p>
          <w:p>
            <w:pPr>
              <w:pStyle w:val="23"/>
              <w:jc w:val="left"/>
            </w:pPr>
            <w:r>
              <w:rPr>
                <w:rFonts w:hint="eastAsia"/>
              </w:rPr>
              <w:t>e 专利指由参与申报的预制混凝土构件生产企业研发的与装配式建筑、建筑产业化相关的专利、工法。</w:t>
            </w:r>
          </w:p>
          <w:p>
            <w:pPr>
              <w:pStyle w:val="23"/>
              <w:jc w:val="left"/>
            </w:pPr>
            <w:r>
              <w:rPr>
                <w:rFonts w:hint="eastAsia"/>
              </w:rPr>
              <w:t>f 质量事故评定标准参照住房和城乡建设部《关于做好房屋建筑和市政基础设施工程质量事故报告和调查处理工作的通知》进行判定。</w:t>
            </w:r>
          </w:p>
        </w:tc>
      </w:tr>
    </w:tbl>
    <w:p>
      <w:pPr>
        <w:pStyle w:val="20"/>
      </w:pPr>
      <w:r>
        <w:rPr>
          <w:rFonts w:hint="eastAsia"/>
          <w:b/>
          <w:bCs/>
        </w:rPr>
        <w:t xml:space="preserve">4.2.9 </w:t>
      </w:r>
      <w:r>
        <w:rPr>
          <w:rFonts w:hint="eastAsia"/>
        </w:rPr>
        <w:t>预制构件生产企业应建立完整的安全管理体系及安全培训制度，拥有完善的安全防护设施设备、具备满足生产质量要求的环境条件、建立符合环境保护要求的制度和工作机制。生产安全与环境评分表详见表4.2.9，评分项分值为100分。生产安全与环境评分总得分低于75分时，终止评价。</w:t>
      </w:r>
    </w:p>
    <w:p>
      <w:pPr>
        <w:pStyle w:val="23"/>
      </w:pPr>
      <w:r>
        <w:rPr>
          <w:rFonts w:hint="eastAsia"/>
        </w:rPr>
        <w:t>表4.2.9 生产安全与环境评分表（</w:t>
      </w:r>
      <w:r>
        <w:rPr>
          <w:rFonts w:hint="eastAsia"/>
          <w:sz w:val="24"/>
          <w:szCs w:val="21"/>
        </w:rPr>
        <w:t>Q</w:t>
      </w:r>
      <w:r>
        <w:rPr>
          <w:rFonts w:hint="eastAsia"/>
          <w:sz w:val="24"/>
          <w:szCs w:val="21"/>
          <w:vertAlign w:val="subscript"/>
        </w:rPr>
        <w:t>4</w:t>
      </w:r>
      <w:r>
        <w:rPr>
          <w:rFonts w:hint="eastAsia"/>
        </w:rPr>
        <w:t>）</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335"/>
        <w:gridCol w:w="134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序号</w:t>
            </w:r>
          </w:p>
        </w:tc>
        <w:tc>
          <w:tcPr>
            <w:tcW w:w="2945" w:type="pct"/>
            <w:vAlign w:val="center"/>
          </w:tcPr>
          <w:p>
            <w:pPr>
              <w:pStyle w:val="23"/>
            </w:pPr>
            <w:r>
              <w:rPr>
                <w:rFonts w:hint="eastAsia"/>
              </w:rPr>
              <w:t>评分项</w:t>
            </w:r>
          </w:p>
        </w:tc>
        <w:tc>
          <w:tcPr>
            <w:tcW w:w="744" w:type="pct"/>
            <w:vAlign w:val="center"/>
          </w:tcPr>
          <w:p>
            <w:pPr>
              <w:pStyle w:val="23"/>
            </w:pPr>
            <w:r>
              <w:rPr>
                <w:rFonts w:hint="eastAsia"/>
              </w:rPr>
              <w:t>评价分值</w:t>
            </w:r>
          </w:p>
        </w:tc>
        <w:tc>
          <w:tcPr>
            <w:tcW w:w="839" w:type="pct"/>
            <w:vAlign w:val="center"/>
          </w:tcPr>
          <w:p>
            <w:pPr>
              <w:pStyle w:val="23"/>
            </w:pPr>
            <w:r>
              <w:rPr>
                <w:rFonts w:hint="eastAsia"/>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1</w:t>
            </w:r>
          </w:p>
        </w:tc>
        <w:tc>
          <w:tcPr>
            <w:tcW w:w="2945" w:type="pct"/>
            <w:vAlign w:val="center"/>
          </w:tcPr>
          <w:p>
            <w:pPr>
              <w:pStyle w:val="23"/>
            </w:pPr>
            <w:r>
              <w:rPr>
                <w:rFonts w:hint="eastAsia"/>
              </w:rPr>
              <w:t>安全管理体系</w:t>
            </w:r>
          </w:p>
        </w:tc>
        <w:tc>
          <w:tcPr>
            <w:tcW w:w="744" w:type="pct"/>
            <w:vAlign w:val="center"/>
          </w:tcPr>
          <w:p>
            <w:pPr>
              <w:pStyle w:val="23"/>
            </w:pPr>
            <w:r>
              <w:rPr>
                <w:rFonts w:hint="eastAsia"/>
              </w:rPr>
              <w:t>20</w:t>
            </w:r>
          </w:p>
        </w:tc>
        <w:tc>
          <w:tcPr>
            <w:tcW w:w="839" w:type="pct"/>
            <w:vMerge w:val="restart"/>
            <w:vAlign w:val="center"/>
          </w:tcPr>
          <w:p>
            <w:pPr>
              <w:pStyle w:val="23"/>
            </w:pPr>
            <w:r>
              <w:rPr>
                <w:rFonts w:hint="eastAsia"/>
              </w:rPr>
              <w:t>检查记录、实地检查。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1.1</w:t>
            </w:r>
          </w:p>
        </w:tc>
        <w:tc>
          <w:tcPr>
            <w:tcW w:w="2945" w:type="pct"/>
            <w:vAlign w:val="center"/>
          </w:tcPr>
          <w:p>
            <w:pPr>
              <w:pStyle w:val="23"/>
            </w:pPr>
            <w:r>
              <w:rPr>
                <w:rFonts w:hint="eastAsia"/>
              </w:rPr>
              <w:t>完整的安全管理组织架构</w:t>
            </w:r>
          </w:p>
        </w:tc>
        <w:tc>
          <w:tcPr>
            <w:tcW w:w="744" w:type="pct"/>
            <w:vAlign w:val="center"/>
          </w:tcPr>
          <w:p>
            <w:pPr>
              <w:pStyle w:val="23"/>
            </w:pPr>
            <w:r>
              <w:rPr>
                <w:rFonts w:hint="eastAsia"/>
              </w:rPr>
              <w:t>2</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vAlign w:val="center"/>
          </w:tcPr>
          <w:p>
            <w:pPr>
              <w:pStyle w:val="23"/>
            </w:pPr>
            <w:r>
              <w:rPr>
                <w:rFonts w:hint="eastAsia"/>
              </w:rPr>
              <w:t>1.2</w:t>
            </w:r>
          </w:p>
        </w:tc>
        <w:tc>
          <w:tcPr>
            <w:tcW w:w="2945" w:type="pct"/>
            <w:vAlign w:val="center"/>
          </w:tcPr>
          <w:p>
            <w:pPr>
              <w:pStyle w:val="23"/>
            </w:pPr>
            <w:r>
              <w:rPr>
                <w:rFonts w:hint="eastAsia"/>
              </w:rPr>
              <w:t>完整的安全管理制度</w:t>
            </w:r>
          </w:p>
        </w:tc>
        <w:tc>
          <w:tcPr>
            <w:tcW w:w="744" w:type="pct"/>
            <w:vAlign w:val="center"/>
          </w:tcPr>
          <w:p>
            <w:pPr>
              <w:pStyle w:val="23"/>
            </w:pPr>
            <w:r>
              <w:rPr>
                <w:rFonts w:hint="eastAsia"/>
              </w:rPr>
              <w:t>3</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1.3</w:t>
            </w:r>
          </w:p>
        </w:tc>
        <w:tc>
          <w:tcPr>
            <w:tcW w:w="2945" w:type="pct"/>
            <w:vAlign w:val="center"/>
          </w:tcPr>
          <w:p>
            <w:pPr>
              <w:pStyle w:val="23"/>
            </w:pPr>
            <w:r>
              <w:rPr>
                <w:rFonts w:hint="eastAsia"/>
              </w:rPr>
              <w:t>完善的安全应急预案</w:t>
            </w:r>
          </w:p>
        </w:tc>
        <w:tc>
          <w:tcPr>
            <w:tcW w:w="744" w:type="pct"/>
            <w:vAlign w:val="center"/>
          </w:tcPr>
          <w:p>
            <w:pPr>
              <w:pStyle w:val="23"/>
            </w:pPr>
            <w:r>
              <w:rPr>
                <w:rFonts w:hint="eastAsia"/>
              </w:rPr>
              <w:t>3</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1.4</w:t>
            </w:r>
          </w:p>
        </w:tc>
        <w:tc>
          <w:tcPr>
            <w:tcW w:w="2945" w:type="pct"/>
            <w:vAlign w:val="center"/>
          </w:tcPr>
          <w:p>
            <w:pPr>
              <w:pStyle w:val="23"/>
            </w:pPr>
            <w:r>
              <w:rPr>
                <w:rFonts w:hint="eastAsia"/>
              </w:rPr>
              <w:t>按企业规模配置相应持证安全员</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1.5</w:t>
            </w:r>
          </w:p>
        </w:tc>
        <w:tc>
          <w:tcPr>
            <w:tcW w:w="2945" w:type="pct"/>
            <w:vAlign w:val="center"/>
          </w:tcPr>
          <w:p>
            <w:pPr>
              <w:pStyle w:val="23"/>
            </w:pPr>
            <w:r>
              <w:rPr>
                <w:rFonts w:hint="eastAsia"/>
              </w:rPr>
              <w:t>完善的设备操作规程</w:t>
            </w:r>
          </w:p>
        </w:tc>
        <w:tc>
          <w:tcPr>
            <w:tcW w:w="744" w:type="pct"/>
            <w:vAlign w:val="center"/>
          </w:tcPr>
          <w:p>
            <w:pPr>
              <w:pStyle w:val="23"/>
            </w:pPr>
            <w:r>
              <w:rPr>
                <w:rFonts w:hint="eastAsia"/>
              </w:rPr>
              <w:t>2</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1.6</w:t>
            </w:r>
          </w:p>
        </w:tc>
        <w:tc>
          <w:tcPr>
            <w:tcW w:w="2945" w:type="pct"/>
            <w:vAlign w:val="center"/>
          </w:tcPr>
          <w:p>
            <w:pPr>
              <w:pStyle w:val="23"/>
            </w:pPr>
            <w:r>
              <w:rPr>
                <w:rFonts w:hint="eastAsia"/>
              </w:rPr>
              <w:t>特种设备、危险品、用电、用火等安全专项指南</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2</w:t>
            </w:r>
          </w:p>
        </w:tc>
        <w:tc>
          <w:tcPr>
            <w:tcW w:w="2945" w:type="pct"/>
            <w:vAlign w:val="center"/>
          </w:tcPr>
          <w:p>
            <w:pPr>
              <w:pStyle w:val="23"/>
            </w:pPr>
            <w:r>
              <w:rPr>
                <w:rFonts w:hint="eastAsia"/>
              </w:rPr>
              <w:t>安全防护设施设备</w:t>
            </w:r>
          </w:p>
        </w:tc>
        <w:tc>
          <w:tcPr>
            <w:tcW w:w="744" w:type="pct"/>
            <w:vAlign w:val="center"/>
          </w:tcPr>
          <w:p>
            <w:pPr>
              <w:pStyle w:val="23"/>
            </w:pPr>
            <w:r>
              <w:rPr>
                <w:rFonts w:hint="eastAsia"/>
              </w:rPr>
              <w:t>20</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2.1</w:t>
            </w:r>
          </w:p>
        </w:tc>
        <w:tc>
          <w:tcPr>
            <w:tcW w:w="2945" w:type="pct"/>
            <w:vAlign w:val="center"/>
          </w:tcPr>
          <w:p>
            <w:pPr>
              <w:pStyle w:val="23"/>
            </w:pPr>
            <w:r>
              <w:rPr>
                <w:rFonts w:hint="eastAsia"/>
              </w:rPr>
              <w:t>防火、防风等防灾设施设备完善</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2.2</w:t>
            </w:r>
          </w:p>
        </w:tc>
        <w:tc>
          <w:tcPr>
            <w:tcW w:w="2945" w:type="pct"/>
            <w:vAlign w:val="center"/>
          </w:tcPr>
          <w:p>
            <w:pPr>
              <w:pStyle w:val="23"/>
            </w:pPr>
            <w:r>
              <w:rPr>
                <w:rFonts w:hint="eastAsia"/>
              </w:rPr>
              <w:t>特种设备及其他设备安全检验及维保</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2.3</w:t>
            </w:r>
          </w:p>
        </w:tc>
        <w:tc>
          <w:tcPr>
            <w:tcW w:w="2945" w:type="pct"/>
            <w:vAlign w:val="center"/>
          </w:tcPr>
          <w:p>
            <w:pPr>
              <w:pStyle w:val="23"/>
            </w:pPr>
            <w:r>
              <w:rPr>
                <w:rFonts w:hint="eastAsia"/>
              </w:rPr>
              <w:t>危险品存储、使用设施满足安全规范</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2.4</w:t>
            </w:r>
          </w:p>
        </w:tc>
        <w:tc>
          <w:tcPr>
            <w:tcW w:w="2945" w:type="pct"/>
            <w:vAlign w:val="center"/>
          </w:tcPr>
          <w:p>
            <w:pPr>
              <w:pStyle w:val="23"/>
            </w:pPr>
            <w:r>
              <w:rPr>
                <w:rFonts w:hint="eastAsia"/>
              </w:rPr>
              <w:t>用电设施设备完善</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3</w:t>
            </w:r>
          </w:p>
        </w:tc>
        <w:tc>
          <w:tcPr>
            <w:tcW w:w="2945" w:type="pct"/>
            <w:vAlign w:val="center"/>
          </w:tcPr>
          <w:p>
            <w:pPr>
              <w:pStyle w:val="23"/>
            </w:pPr>
            <w:r>
              <w:rPr>
                <w:rFonts w:hint="eastAsia"/>
              </w:rPr>
              <w:t>安全劳保</w:t>
            </w:r>
          </w:p>
        </w:tc>
        <w:tc>
          <w:tcPr>
            <w:tcW w:w="744" w:type="pct"/>
            <w:vAlign w:val="center"/>
          </w:tcPr>
          <w:p>
            <w:pPr>
              <w:pStyle w:val="23"/>
            </w:pPr>
            <w:r>
              <w:rPr>
                <w:rFonts w:hint="eastAsia"/>
              </w:rPr>
              <w:t>10</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3.1</w:t>
            </w:r>
          </w:p>
        </w:tc>
        <w:tc>
          <w:tcPr>
            <w:tcW w:w="2945" w:type="pct"/>
            <w:vAlign w:val="center"/>
          </w:tcPr>
          <w:p>
            <w:pPr>
              <w:pStyle w:val="23"/>
            </w:pPr>
            <w:r>
              <w:rPr>
                <w:rFonts w:hint="eastAsia"/>
              </w:rPr>
              <w:t>人员劳保用品配备齐全</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3.2</w:t>
            </w:r>
          </w:p>
        </w:tc>
        <w:tc>
          <w:tcPr>
            <w:tcW w:w="2945" w:type="pct"/>
            <w:vAlign w:val="center"/>
          </w:tcPr>
          <w:p>
            <w:pPr>
              <w:pStyle w:val="23"/>
            </w:pPr>
            <w:r>
              <w:rPr>
                <w:rFonts w:hint="eastAsia"/>
              </w:rPr>
              <w:t>劳保用品使用正确规范</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4</w:t>
            </w:r>
          </w:p>
        </w:tc>
        <w:tc>
          <w:tcPr>
            <w:tcW w:w="2945" w:type="pct"/>
            <w:vAlign w:val="center"/>
          </w:tcPr>
          <w:p>
            <w:pPr>
              <w:pStyle w:val="23"/>
            </w:pPr>
            <w:r>
              <w:rPr>
                <w:rFonts w:hint="eastAsia"/>
              </w:rPr>
              <w:t>安全教育宣贯</w:t>
            </w:r>
          </w:p>
        </w:tc>
        <w:tc>
          <w:tcPr>
            <w:tcW w:w="744" w:type="pct"/>
            <w:vAlign w:val="center"/>
          </w:tcPr>
          <w:p>
            <w:pPr>
              <w:pStyle w:val="23"/>
            </w:pPr>
            <w:r>
              <w:rPr>
                <w:rFonts w:hint="eastAsia"/>
              </w:rPr>
              <w:t>20</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4.1</w:t>
            </w:r>
          </w:p>
        </w:tc>
        <w:tc>
          <w:tcPr>
            <w:tcW w:w="2945" w:type="pct"/>
            <w:vAlign w:val="center"/>
          </w:tcPr>
          <w:p>
            <w:pPr>
              <w:pStyle w:val="23"/>
            </w:pPr>
            <w:r>
              <w:rPr>
                <w:rFonts w:hint="eastAsia"/>
              </w:rPr>
              <w:t>定期定岗安全培训</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4.2</w:t>
            </w:r>
          </w:p>
        </w:tc>
        <w:tc>
          <w:tcPr>
            <w:tcW w:w="2945" w:type="pct"/>
            <w:vAlign w:val="center"/>
          </w:tcPr>
          <w:p>
            <w:pPr>
              <w:pStyle w:val="23"/>
            </w:pPr>
            <w:r>
              <w:rPr>
                <w:rFonts w:hint="eastAsia"/>
              </w:rPr>
              <w:t>各工种安全技术交底</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4.3</w:t>
            </w:r>
          </w:p>
        </w:tc>
        <w:tc>
          <w:tcPr>
            <w:tcW w:w="2945" w:type="pct"/>
            <w:vAlign w:val="center"/>
          </w:tcPr>
          <w:p>
            <w:pPr>
              <w:pStyle w:val="23"/>
            </w:pPr>
            <w:r>
              <w:rPr>
                <w:rFonts w:hint="eastAsia"/>
              </w:rPr>
              <w:t>安全标志标识齐全</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4.4</w:t>
            </w:r>
          </w:p>
        </w:tc>
        <w:tc>
          <w:tcPr>
            <w:tcW w:w="2945" w:type="pct"/>
            <w:vAlign w:val="center"/>
          </w:tcPr>
          <w:p>
            <w:pPr>
              <w:pStyle w:val="23"/>
            </w:pPr>
            <w:r>
              <w:rPr>
                <w:rFonts w:hint="eastAsia"/>
              </w:rPr>
              <w:t>定期消防演练</w:t>
            </w:r>
          </w:p>
        </w:tc>
        <w:tc>
          <w:tcPr>
            <w:tcW w:w="744" w:type="pct"/>
            <w:vAlign w:val="center"/>
          </w:tcPr>
          <w:p>
            <w:pPr>
              <w:pStyle w:val="23"/>
            </w:pPr>
            <w:r>
              <w:rPr>
                <w:rFonts w:hint="eastAsia"/>
              </w:rPr>
              <w:t>5</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5</w:t>
            </w:r>
          </w:p>
        </w:tc>
        <w:tc>
          <w:tcPr>
            <w:tcW w:w="2945" w:type="pct"/>
            <w:vAlign w:val="center"/>
          </w:tcPr>
          <w:p>
            <w:pPr>
              <w:pStyle w:val="23"/>
            </w:pPr>
            <w:r>
              <w:rPr>
                <w:rFonts w:hint="eastAsia"/>
              </w:rPr>
              <w:t>环境保护</w:t>
            </w:r>
          </w:p>
        </w:tc>
        <w:tc>
          <w:tcPr>
            <w:tcW w:w="744" w:type="pct"/>
            <w:vAlign w:val="center"/>
          </w:tcPr>
          <w:p>
            <w:pPr>
              <w:pStyle w:val="23"/>
            </w:pPr>
            <w:r>
              <w:rPr>
                <w:rFonts w:hint="eastAsia"/>
              </w:rPr>
              <w:t>30</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5.1</w:t>
            </w:r>
          </w:p>
        </w:tc>
        <w:tc>
          <w:tcPr>
            <w:tcW w:w="2945" w:type="pct"/>
            <w:vAlign w:val="center"/>
          </w:tcPr>
          <w:p>
            <w:pPr>
              <w:pStyle w:val="23"/>
            </w:pPr>
            <w:r>
              <w:rPr>
                <w:rFonts w:hint="eastAsia"/>
              </w:rPr>
              <w:t>通过环保相关评估及验收，定期监测</w:t>
            </w:r>
          </w:p>
        </w:tc>
        <w:tc>
          <w:tcPr>
            <w:tcW w:w="744" w:type="pct"/>
            <w:vAlign w:val="center"/>
          </w:tcPr>
          <w:p>
            <w:pPr>
              <w:pStyle w:val="23"/>
            </w:pPr>
            <w:r>
              <w:rPr>
                <w:rFonts w:hint="eastAsia"/>
              </w:rPr>
              <w:t>6</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5.2</w:t>
            </w:r>
          </w:p>
        </w:tc>
        <w:tc>
          <w:tcPr>
            <w:tcW w:w="2945" w:type="pct"/>
            <w:vAlign w:val="center"/>
          </w:tcPr>
          <w:p>
            <w:pPr>
              <w:pStyle w:val="23"/>
            </w:pPr>
            <w:r>
              <w:rPr>
                <w:rFonts w:hint="eastAsia"/>
              </w:rPr>
              <w:t>完善的环境应急预案</w:t>
            </w:r>
          </w:p>
        </w:tc>
        <w:tc>
          <w:tcPr>
            <w:tcW w:w="744" w:type="pct"/>
            <w:vAlign w:val="center"/>
          </w:tcPr>
          <w:p>
            <w:pPr>
              <w:pStyle w:val="23"/>
            </w:pPr>
            <w:r>
              <w:rPr>
                <w:rFonts w:hint="eastAsia"/>
              </w:rPr>
              <w:t>6</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5.3</w:t>
            </w:r>
          </w:p>
        </w:tc>
        <w:tc>
          <w:tcPr>
            <w:tcW w:w="2945" w:type="pct"/>
            <w:vAlign w:val="center"/>
          </w:tcPr>
          <w:p>
            <w:pPr>
              <w:pStyle w:val="23"/>
            </w:pPr>
            <w:r>
              <w:rPr>
                <w:rFonts w:hint="eastAsia"/>
              </w:rPr>
              <w:t>厂区及厂房环境满足生产质量、安全要求</w:t>
            </w:r>
          </w:p>
        </w:tc>
        <w:tc>
          <w:tcPr>
            <w:tcW w:w="744" w:type="pct"/>
            <w:vAlign w:val="center"/>
          </w:tcPr>
          <w:p>
            <w:pPr>
              <w:pStyle w:val="23"/>
            </w:pPr>
            <w:r>
              <w:rPr>
                <w:rFonts w:hint="eastAsia"/>
              </w:rPr>
              <w:t>6</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5.4</w:t>
            </w:r>
          </w:p>
        </w:tc>
        <w:tc>
          <w:tcPr>
            <w:tcW w:w="2945" w:type="pct"/>
            <w:vAlign w:val="center"/>
          </w:tcPr>
          <w:p>
            <w:pPr>
              <w:pStyle w:val="23"/>
            </w:pPr>
            <w:r>
              <w:rPr>
                <w:rFonts w:hint="eastAsia"/>
              </w:rPr>
              <w:t>废弃物有有效的处置方案、措施及措施落实到位</w:t>
            </w:r>
          </w:p>
        </w:tc>
        <w:tc>
          <w:tcPr>
            <w:tcW w:w="744" w:type="pct"/>
            <w:vAlign w:val="center"/>
          </w:tcPr>
          <w:p>
            <w:pPr>
              <w:pStyle w:val="23"/>
            </w:pPr>
            <w:r>
              <w:rPr>
                <w:rFonts w:hint="eastAsia"/>
              </w:rPr>
              <w:t>6</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pStyle w:val="23"/>
            </w:pPr>
            <w:r>
              <w:rPr>
                <w:rFonts w:hint="eastAsia"/>
              </w:rPr>
              <w:t>5.5</w:t>
            </w:r>
          </w:p>
        </w:tc>
        <w:tc>
          <w:tcPr>
            <w:tcW w:w="2945" w:type="pct"/>
            <w:vAlign w:val="center"/>
          </w:tcPr>
          <w:p>
            <w:pPr>
              <w:pStyle w:val="23"/>
            </w:pPr>
            <w:r>
              <w:rPr>
                <w:rFonts w:hint="eastAsia"/>
              </w:rPr>
              <w:t>厂区及厂房满足扬尘、排污、噪音等环保要求</w:t>
            </w:r>
          </w:p>
        </w:tc>
        <w:tc>
          <w:tcPr>
            <w:tcW w:w="744" w:type="pct"/>
            <w:vAlign w:val="center"/>
          </w:tcPr>
          <w:p>
            <w:pPr>
              <w:pStyle w:val="23"/>
            </w:pPr>
            <w:r>
              <w:rPr>
                <w:rFonts w:hint="eastAsia"/>
              </w:rPr>
              <w:t>6</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6" w:type="pct"/>
            <w:gridSpan w:val="2"/>
            <w:vAlign w:val="center"/>
          </w:tcPr>
          <w:p>
            <w:pPr>
              <w:pStyle w:val="23"/>
            </w:pPr>
            <w:r>
              <w:rPr>
                <w:rFonts w:hint="eastAsia"/>
              </w:rPr>
              <w:t>合计</w:t>
            </w:r>
          </w:p>
        </w:tc>
        <w:tc>
          <w:tcPr>
            <w:tcW w:w="744" w:type="pct"/>
            <w:vAlign w:val="center"/>
          </w:tcPr>
          <w:p>
            <w:pPr>
              <w:pStyle w:val="23"/>
            </w:pPr>
            <w:r>
              <w:rPr>
                <w:rFonts w:hint="eastAsia"/>
              </w:rPr>
              <w:t>100</w:t>
            </w:r>
          </w:p>
        </w:tc>
        <w:tc>
          <w:tcPr>
            <w:tcW w:w="839" w:type="pct"/>
            <w:vMerge w:val="continue"/>
            <w:vAlign w:val="center"/>
          </w:tcPr>
          <w:p>
            <w:pPr>
              <w:pStyle w:val="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pStyle w:val="23"/>
              <w:jc w:val="left"/>
            </w:pPr>
            <w:r>
              <w:rPr>
                <w:rFonts w:hint="eastAsia"/>
              </w:rPr>
              <w:t>注：按企业规模配置相应持证安全员参照中华人民共和国《安全生产法》（2021修订版）第二十四条规定，预制混凝土构件生产企业属于矿山、金属冶炼、建筑施工、运输单位和危险物品的生产、经营、储存、装卸单位以外的其他生产经营单位，从业人员超过一百人的，应当设置安全生产管理机构或者配备专职安全生产管理人员；从业人员在一百人以下的，应当配备专职或者兼职的安全生产管理人员。</w:t>
            </w:r>
          </w:p>
        </w:tc>
      </w:tr>
    </w:tbl>
    <w:p>
      <w:pPr>
        <w:pStyle w:val="3"/>
        <w:spacing w:before="312" w:after="312"/>
      </w:pPr>
      <w:bookmarkStart w:id="102" w:name="_Toc2882"/>
      <w:bookmarkStart w:id="103" w:name="_Toc24442"/>
      <w:bookmarkStart w:id="104" w:name="_Toc18389"/>
      <w:bookmarkStart w:id="105" w:name="_Toc27037"/>
      <w:bookmarkStart w:id="106" w:name="_Toc26889"/>
      <w:r>
        <w:rPr>
          <w:rFonts w:hint="eastAsia"/>
        </w:rPr>
        <w:t>4.3预制构件安装能力及资源配置要求</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20"/>
      </w:pPr>
      <w:r>
        <w:rPr>
          <w:rFonts w:hint="eastAsia"/>
          <w:b/>
          <w:bCs/>
        </w:rPr>
        <w:t>4.3.1</w:t>
      </w:r>
      <w:r>
        <w:rPr>
          <w:rFonts w:hint="eastAsia"/>
        </w:rPr>
        <w:t xml:space="preserve"> 预制构件安装现场总体布局应合理、道路平整。各种设备、设施和机具等应布置合理，各类物品应堆放有序。</w:t>
      </w:r>
    </w:p>
    <w:p>
      <w:pPr>
        <w:pStyle w:val="20"/>
      </w:pPr>
      <w:r>
        <w:rPr>
          <w:rFonts w:hint="eastAsia"/>
          <w:b/>
          <w:bCs/>
        </w:rPr>
        <w:t>4.3.2</w:t>
      </w:r>
      <w:r>
        <w:rPr>
          <w:rFonts w:hint="eastAsia"/>
        </w:rPr>
        <w:t xml:space="preserve"> 施工企业在预制构件安装作业前，应针对具体项目编制专项《质量计划》、专项施工技术方案以及对应的资源配置计划，并报备监理审批。</w:t>
      </w:r>
    </w:p>
    <w:p>
      <w:pPr>
        <w:pStyle w:val="20"/>
      </w:pPr>
      <w:r>
        <w:rPr>
          <w:rFonts w:hint="eastAsia"/>
          <w:b/>
          <w:bCs/>
        </w:rPr>
        <w:t xml:space="preserve">4.3.3 </w:t>
      </w:r>
      <w:r>
        <w:rPr>
          <w:rFonts w:hint="eastAsia"/>
        </w:rPr>
        <w:t>施工企业在预制构件安装作业时，应保持作业环境满足构件施工质量及安全相关要求。</w:t>
      </w:r>
    </w:p>
    <w:p>
      <w:pPr>
        <w:pStyle w:val="20"/>
      </w:pPr>
      <w:r>
        <w:rPr>
          <w:rFonts w:hint="eastAsia"/>
          <w:b/>
          <w:bCs/>
        </w:rPr>
        <w:t>4.3.4</w:t>
      </w:r>
      <w:r>
        <w:rPr>
          <w:rFonts w:hint="eastAsia"/>
        </w:rPr>
        <w:t xml:space="preserve"> 施工企业在处置安装过程中产生的废弃物时，应设置单独存放区域及合理的措施，相关措施应符合当地环保相关部门的管控要求。</w:t>
      </w:r>
    </w:p>
    <w:p>
      <w:pPr>
        <w:pStyle w:val="21"/>
      </w:pPr>
      <w:r>
        <w:rPr>
          <w:rFonts w:hint="eastAsia"/>
        </w:rPr>
        <w:t xml:space="preserve"> </w:t>
      </w:r>
    </w:p>
    <w:p>
      <w:pPr>
        <w:rPr>
          <w:sz w:val="22"/>
          <w:szCs w:val="22"/>
        </w:rPr>
      </w:pPr>
      <w:r>
        <w:rPr>
          <w:rFonts w:hint="eastAsia"/>
          <w:sz w:val="22"/>
          <w:szCs w:val="22"/>
        </w:rPr>
        <w:br w:type="page"/>
      </w:r>
    </w:p>
    <w:p>
      <w:pPr>
        <w:pStyle w:val="2"/>
        <w:spacing w:before="312" w:after="312"/>
      </w:pPr>
      <w:bookmarkStart w:id="107" w:name="_Toc21300"/>
      <w:bookmarkStart w:id="108" w:name="_Toc29803"/>
      <w:bookmarkStart w:id="109" w:name="_Toc30259"/>
      <w:bookmarkStart w:id="110" w:name="_Toc18378"/>
      <w:bookmarkStart w:id="111" w:name="_Toc23906"/>
      <w:bookmarkStart w:id="112" w:name="_Toc5589"/>
      <w:bookmarkStart w:id="113" w:name="_Toc31440"/>
      <w:bookmarkStart w:id="114" w:name="_Toc26803"/>
      <w:bookmarkStart w:id="115" w:name="_Toc8111"/>
      <w:bookmarkStart w:id="116" w:name="_Toc23706"/>
      <w:bookmarkStart w:id="117" w:name="_Toc3147"/>
      <w:bookmarkStart w:id="118" w:name="_Toc22229"/>
      <w:bookmarkStart w:id="119" w:name="_Toc12202"/>
      <w:bookmarkStart w:id="120" w:name="_Toc15098"/>
      <w:bookmarkStart w:id="121" w:name="_Toc6390"/>
      <w:bookmarkStart w:id="122" w:name="_Toc23645"/>
      <w:r>
        <w:rPr>
          <w:rFonts w:hint="eastAsia"/>
        </w:rPr>
        <w:t>5 生产质量管理</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3"/>
        <w:spacing w:before="312" w:after="312"/>
      </w:pPr>
      <w:bookmarkStart w:id="123" w:name="_Toc18387"/>
      <w:bookmarkStart w:id="124" w:name="_Toc5344"/>
      <w:bookmarkStart w:id="125" w:name="_Toc24733"/>
      <w:bookmarkStart w:id="126" w:name="_Toc362"/>
      <w:bookmarkStart w:id="127" w:name="_Toc20902"/>
      <w:bookmarkStart w:id="128" w:name="_Toc12662"/>
      <w:bookmarkStart w:id="129" w:name="_Toc22764"/>
      <w:bookmarkStart w:id="130" w:name="_Toc21232"/>
      <w:bookmarkStart w:id="131" w:name="_Toc20505"/>
      <w:bookmarkStart w:id="132" w:name="_Toc19819"/>
      <w:bookmarkStart w:id="133" w:name="_Toc25802"/>
      <w:bookmarkStart w:id="134" w:name="_Toc12779"/>
      <w:bookmarkStart w:id="135" w:name="_Toc21196"/>
      <w:bookmarkStart w:id="136" w:name="_Toc28286"/>
      <w:bookmarkStart w:id="137" w:name="_Toc13442"/>
      <w:bookmarkStart w:id="138" w:name="_Toc426"/>
      <w:r>
        <w:rPr>
          <w:rFonts w:hint="eastAsia"/>
        </w:rPr>
        <w:t>5.1</w:t>
      </w:r>
      <w:bookmarkEnd w:id="123"/>
      <w:bookmarkEnd w:id="124"/>
      <w:bookmarkEnd w:id="125"/>
      <w:bookmarkEnd w:id="126"/>
      <w:bookmarkEnd w:id="127"/>
      <w:bookmarkEnd w:id="128"/>
      <w:bookmarkEnd w:id="129"/>
      <w:bookmarkEnd w:id="130"/>
      <w:bookmarkEnd w:id="131"/>
      <w:bookmarkEnd w:id="132"/>
      <w:bookmarkEnd w:id="133"/>
      <w:r>
        <w:rPr>
          <w:rFonts w:hint="eastAsia"/>
        </w:rPr>
        <w:t>生产技术准备</w:t>
      </w:r>
      <w:bookmarkEnd w:id="134"/>
      <w:bookmarkEnd w:id="135"/>
      <w:bookmarkEnd w:id="136"/>
      <w:bookmarkEnd w:id="137"/>
      <w:bookmarkEnd w:id="138"/>
    </w:p>
    <w:p>
      <w:pPr>
        <w:pStyle w:val="20"/>
        <w:rPr>
          <w:rFonts w:cs="Times New Roman"/>
          <w:b/>
          <w:bCs/>
          <w:szCs w:val="24"/>
        </w:rPr>
      </w:pPr>
      <w:r>
        <w:rPr>
          <w:rFonts w:hint="eastAsia" w:cs="Times New Roman"/>
          <w:b/>
          <w:bCs/>
          <w:szCs w:val="24"/>
        </w:rPr>
        <w:t xml:space="preserve">5.1.1 </w:t>
      </w:r>
      <w:r>
        <w:rPr>
          <w:rFonts w:hint="eastAsia" w:cs="Times New Roman"/>
          <w:szCs w:val="24"/>
        </w:rPr>
        <w:t>装配式建筑方案设计单位应在方案设计阶段进行调研，充分听取有经验的施工、生产、咨询单位意见建议，结合项目特性和法律法规要求优化装配式设计方案。</w:t>
      </w:r>
    </w:p>
    <w:p>
      <w:pPr>
        <w:pStyle w:val="20"/>
      </w:pPr>
      <w:r>
        <w:rPr>
          <w:rFonts w:hint="eastAsia" w:cs="Times New Roman"/>
          <w:b/>
          <w:bCs/>
          <w:szCs w:val="24"/>
        </w:rPr>
        <w:t>5.1.2</w:t>
      </w:r>
      <w:r>
        <w:rPr>
          <w:rFonts w:hint="eastAsia"/>
        </w:rPr>
        <w:t xml:space="preserve"> 设计单位、咨询单位或预制构件生产企业应根据施工图设计文件、施工预留预埋（铝模、外架等）和国家、行业、本省的技术标准、图集进行深化设计，形成成套的初步深化设计文件。建设单位应组织设计、监理、施工、生产、咨询、深化设计等单位进行深化设计文件会审。深化设计文件应符合《海南省装配式建筑标准化设计技术标准》DBJ 46-061的要求。</w:t>
      </w:r>
    </w:p>
    <w:p>
      <w:pPr>
        <w:pStyle w:val="20"/>
      </w:pPr>
      <w:r>
        <w:rPr>
          <w:rFonts w:hint="eastAsia" w:cs="Times New Roman"/>
          <w:b/>
          <w:bCs/>
          <w:szCs w:val="24"/>
        </w:rPr>
        <w:t>5.1.3</w:t>
      </w:r>
      <w:r>
        <w:rPr>
          <w:rFonts w:hint="eastAsia"/>
        </w:rPr>
        <w:t xml:space="preserve"> 预制构件生产企业应指派技术人员参与图纸深化设计过程，对深化设计会审提出的生产难点及时进行回复或提出修改意见。</w:t>
      </w:r>
    </w:p>
    <w:p>
      <w:pPr>
        <w:pStyle w:val="20"/>
      </w:pPr>
      <w:r>
        <w:rPr>
          <w:rFonts w:hint="eastAsia" w:cs="Times New Roman"/>
          <w:b/>
          <w:bCs/>
          <w:szCs w:val="24"/>
        </w:rPr>
        <w:t>5.1.4</w:t>
      </w:r>
      <w:r>
        <w:rPr>
          <w:rFonts w:hint="eastAsia"/>
        </w:rPr>
        <w:t xml:space="preserve"> 预制构件生产企业收到经会审通过的深化设计文件后，应组织设计或技术人员对企业生产管理人员及生产操作工人进行设计交底，做好交底记录。</w:t>
      </w:r>
    </w:p>
    <w:p>
      <w:pPr>
        <w:pStyle w:val="20"/>
      </w:pPr>
      <w:r>
        <w:rPr>
          <w:rFonts w:hint="eastAsia" w:cs="Times New Roman"/>
          <w:b/>
          <w:bCs/>
          <w:szCs w:val="24"/>
        </w:rPr>
        <w:t>5.1.5</w:t>
      </w:r>
      <w:r>
        <w:rPr>
          <w:rFonts w:hint="eastAsia"/>
        </w:rPr>
        <w:t xml:space="preserve"> 预制构件生产企业在预制构件生产过程中，当有涉及以下质量相关的变化时，应及时与客户进行洽商：</w:t>
      </w:r>
    </w:p>
    <w:p>
      <w:pPr>
        <w:pStyle w:val="22"/>
        <w:ind w:firstLine="482"/>
      </w:pPr>
      <w:r>
        <w:rPr>
          <w:b/>
          <w:bCs/>
        </w:rPr>
        <w:t>1</w:t>
      </w:r>
      <w:r>
        <w:rPr>
          <w:rFonts w:hint="eastAsia"/>
          <w:b/>
          <w:bCs/>
        </w:rPr>
        <w:t xml:space="preserve"> </w:t>
      </w:r>
      <w:r>
        <w:t>因</w:t>
      </w:r>
      <w:r>
        <w:rPr>
          <w:rFonts w:hint="eastAsia"/>
        </w:rPr>
        <w:t>生产</w:t>
      </w:r>
      <w:r>
        <w:t>条件、材料规格、品种和质量不能满足设计要求</w:t>
      </w:r>
      <w:r>
        <w:rPr>
          <w:rFonts w:hint="eastAsia"/>
        </w:rPr>
        <w:t>。</w:t>
      </w:r>
    </w:p>
    <w:p>
      <w:pPr>
        <w:pStyle w:val="22"/>
        <w:ind w:firstLine="482"/>
      </w:pPr>
      <w:r>
        <w:rPr>
          <w:b/>
          <w:bCs/>
        </w:rPr>
        <w:t>2</w:t>
      </w:r>
      <w:r>
        <w:rPr>
          <w:rFonts w:hint="eastAsia"/>
        </w:rPr>
        <w:t xml:space="preserve"> </w:t>
      </w:r>
      <w:r>
        <w:t>在</w:t>
      </w:r>
      <w:r>
        <w:rPr>
          <w:rFonts w:hint="eastAsia"/>
        </w:rPr>
        <w:t>生产</w:t>
      </w:r>
      <w:r>
        <w:t>过程中发现设计图纸相互矛盾不能</w:t>
      </w:r>
      <w:r>
        <w:rPr>
          <w:rFonts w:hint="eastAsia"/>
        </w:rPr>
        <w:t>或不方便</w:t>
      </w:r>
      <w:r>
        <w:t>生产</w:t>
      </w:r>
      <w:r>
        <w:rPr>
          <w:rFonts w:hint="eastAsia"/>
        </w:rPr>
        <w:t>。</w:t>
      </w:r>
    </w:p>
    <w:p>
      <w:pPr>
        <w:pStyle w:val="22"/>
        <w:ind w:firstLine="482"/>
      </w:pPr>
      <w:r>
        <w:rPr>
          <w:b/>
          <w:bCs/>
        </w:rPr>
        <w:t>3</w:t>
      </w:r>
      <w:r>
        <w:rPr>
          <w:rFonts w:hint="eastAsia"/>
        </w:rPr>
        <w:t xml:space="preserve"> </w:t>
      </w:r>
      <w:r>
        <w:t>按现有设计图生产制作，将会导致增加成本或质量</w:t>
      </w:r>
      <w:r>
        <w:rPr>
          <w:rFonts w:hint="eastAsia"/>
        </w:rPr>
        <w:t>、</w:t>
      </w:r>
      <w:r>
        <w:t>安全问题，并能够提供更好的技术改进方案。</w:t>
      </w:r>
    </w:p>
    <w:p>
      <w:pPr>
        <w:pStyle w:val="20"/>
      </w:pPr>
      <w:r>
        <w:rPr>
          <w:rFonts w:hint="eastAsia" w:cs="Times New Roman"/>
          <w:b/>
          <w:bCs/>
          <w:szCs w:val="24"/>
        </w:rPr>
        <w:t>5.1.6</w:t>
      </w:r>
      <w:r>
        <w:rPr>
          <w:rFonts w:hint="eastAsia"/>
        </w:rPr>
        <w:t xml:space="preserve"> 预制构件生产企业收到设计变更单或办理完工程项目洽商后，应组织相关部门对变更产生的影响进行分析，办理客户往来函件处理单及项目签证，并将资料及时移交保管。</w:t>
      </w:r>
    </w:p>
    <w:p>
      <w:pPr>
        <w:pStyle w:val="20"/>
      </w:pPr>
      <w:r>
        <w:rPr>
          <w:rFonts w:hint="eastAsia" w:cs="Times New Roman"/>
          <w:b/>
          <w:bCs/>
          <w:szCs w:val="24"/>
        </w:rPr>
        <w:t>5.1.7</w:t>
      </w:r>
      <w:r>
        <w:rPr>
          <w:rFonts w:hint="eastAsia"/>
        </w:rPr>
        <w:t xml:space="preserve"> 预制构件生产企业应对项目投标文件、项目合同、设计文件、变更资料、联系函件等涉及设计的内容建立管理台账，对设计变更情况进行标识并经技术负责人审核，对作废设计文件进行作废处理。</w:t>
      </w:r>
    </w:p>
    <w:p>
      <w:pPr>
        <w:pStyle w:val="20"/>
      </w:pPr>
      <w:r>
        <w:rPr>
          <w:rFonts w:hint="eastAsia" w:cs="Times New Roman"/>
          <w:b/>
          <w:bCs/>
          <w:szCs w:val="24"/>
        </w:rPr>
        <w:t>5.1.8</w:t>
      </w:r>
      <w:r>
        <w:rPr>
          <w:rFonts w:hint="eastAsia"/>
        </w:rPr>
        <w:t xml:space="preserve"> 在接到项目生产通知后，预制构件生产企业应组织生产人员编制预制构件生产方案。生产方案的内容包括：项目概况、模具规划、模具方案、物资需求使用、生产计划、生产工艺、产品检测、质量验收、运输、成品保护等内容。</w:t>
      </w:r>
    </w:p>
    <w:p>
      <w:pPr>
        <w:pStyle w:val="3"/>
        <w:spacing w:before="312" w:after="312"/>
      </w:pPr>
      <w:bookmarkStart w:id="139" w:name="_Toc16073"/>
      <w:bookmarkStart w:id="140" w:name="_Toc15014"/>
      <w:bookmarkStart w:id="141" w:name="_Toc7339"/>
      <w:bookmarkStart w:id="142" w:name="_Toc27177"/>
      <w:bookmarkStart w:id="143" w:name="_Toc12659"/>
      <w:bookmarkStart w:id="144" w:name="_Toc29139"/>
      <w:bookmarkStart w:id="145" w:name="_Toc20460"/>
      <w:bookmarkStart w:id="146" w:name="_Toc2867"/>
      <w:bookmarkStart w:id="147" w:name="_Toc17585"/>
      <w:bookmarkStart w:id="148" w:name="_Toc12663"/>
      <w:bookmarkStart w:id="149" w:name="_Toc12676"/>
      <w:bookmarkStart w:id="150" w:name="_Toc26139"/>
      <w:bookmarkStart w:id="151" w:name="_Toc10128"/>
      <w:bookmarkStart w:id="152" w:name="_Toc4647"/>
      <w:bookmarkStart w:id="153" w:name="_Toc29665"/>
      <w:bookmarkStart w:id="154" w:name="_Toc10634"/>
      <w:r>
        <w:rPr>
          <w:rFonts w:hint="eastAsia"/>
        </w:rPr>
        <w:t>5.2模具质量管理</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20"/>
        <w:rPr>
          <w:rFonts w:cs="Times New Roman"/>
          <w:b/>
          <w:bCs/>
          <w:szCs w:val="24"/>
        </w:rPr>
      </w:pPr>
      <w:r>
        <w:rPr>
          <w:rFonts w:hint="eastAsia" w:cs="Times New Roman"/>
          <w:b/>
          <w:bCs/>
          <w:szCs w:val="24"/>
        </w:rPr>
        <w:t xml:space="preserve">5.2.1 </w:t>
      </w:r>
      <w:r>
        <w:rPr>
          <w:rFonts w:hint="eastAsia" w:cs="Times New Roman"/>
          <w:szCs w:val="24"/>
        </w:rPr>
        <w:t>预制构件生产企业所用模具的质量应满足《混凝土结构工程施工质量验收规范》GB 50204的规定。</w:t>
      </w:r>
    </w:p>
    <w:p>
      <w:pPr>
        <w:pStyle w:val="20"/>
      </w:pPr>
      <w:r>
        <w:rPr>
          <w:rFonts w:hint="eastAsia" w:cs="Times New Roman"/>
          <w:b/>
          <w:bCs/>
          <w:szCs w:val="24"/>
        </w:rPr>
        <w:t>5.2.2</w:t>
      </w:r>
      <w:r>
        <w:rPr>
          <w:rFonts w:hint="eastAsia"/>
        </w:rPr>
        <w:t xml:space="preserve"> 预制构件生产企业应对模具使用进行提前规划，编制模具规划。模具规划内容包括模具名称、规格、数量、制作形式、材质、工艺要求、产品质量标准、到货时间及需要特殊情况的说明。</w:t>
      </w:r>
    </w:p>
    <w:p>
      <w:pPr>
        <w:pStyle w:val="20"/>
      </w:pPr>
      <w:r>
        <w:rPr>
          <w:rFonts w:hint="eastAsia" w:cs="Times New Roman"/>
          <w:b/>
          <w:bCs/>
          <w:szCs w:val="24"/>
        </w:rPr>
        <w:t>5.2.3</w:t>
      </w:r>
      <w:r>
        <w:rPr>
          <w:rFonts w:hint="eastAsia"/>
        </w:rPr>
        <w:t xml:space="preserve"> 预制构件生产企业应根据模具规划组织技术人员编制模具设计方案。方案应组织多部门联合评审，并经单位技术负责人审核。</w:t>
      </w:r>
    </w:p>
    <w:p>
      <w:pPr>
        <w:pStyle w:val="20"/>
        <w:rPr>
          <w:color w:val="2F5597" w:themeColor="accent5" w:themeShade="BF"/>
        </w:rPr>
      </w:pPr>
      <w:r>
        <w:rPr>
          <w:rFonts w:hint="eastAsia" w:cs="Times New Roman"/>
          <w:b/>
          <w:bCs/>
          <w:szCs w:val="24"/>
        </w:rPr>
        <w:t>5.2.4</w:t>
      </w:r>
      <w:r>
        <w:rPr>
          <w:rFonts w:hint="eastAsia"/>
        </w:rPr>
        <w:t xml:space="preserve"> 模具设计方案会签审核通过后，预制构件生产企业应组织生产人员按照模具生产排产计划进行生产。预制构件生产企业应组织专人跟踪落实采购过程的制作及到货情况，必要时需驻模具厂监造。</w:t>
      </w:r>
    </w:p>
    <w:p>
      <w:pPr>
        <w:pStyle w:val="20"/>
      </w:pPr>
      <w:r>
        <w:rPr>
          <w:rFonts w:hint="eastAsia" w:cs="Times New Roman"/>
          <w:b/>
          <w:bCs/>
          <w:szCs w:val="24"/>
        </w:rPr>
        <w:t>5.2.5</w:t>
      </w:r>
      <w:r>
        <w:rPr>
          <w:rFonts w:hint="eastAsia"/>
        </w:rPr>
        <w:t xml:space="preserve"> 模具制作完成后，预制构件生产企业应组织质检人员对模具进行验收，验收时应填写相关验收单据。预制构件生产企业应组织物资管理人员对经验收合格的模具办理入库管理，建立模具台账；对不合格的模具进行返修至合格。对外采购的模具和构件厂自制的模具应按同样标准验收。</w:t>
      </w:r>
    </w:p>
    <w:p>
      <w:pPr>
        <w:pStyle w:val="20"/>
      </w:pPr>
      <w:r>
        <w:rPr>
          <w:rFonts w:hint="eastAsia" w:cs="Times New Roman"/>
          <w:b/>
          <w:bCs/>
          <w:szCs w:val="24"/>
        </w:rPr>
        <w:t>5.2.6</w:t>
      </w:r>
      <w:r>
        <w:rPr>
          <w:rFonts w:hint="eastAsia"/>
        </w:rPr>
        <w:t xml:space="preserve"> 在使用模具时，预制构件生产企业应组织生产人员对模具进行编号管理。若使用过程中出现异常，由企业相关技术人员提出处理意见。</w:t>
      </w:r>
    </w:p>
    <w:p>
      <w:pPr>
        <w:pStyle w:val="20"/>
      </w:pPr>
      <w:r>
        <w:rPr>
          <w:rFonts w:hint="eastAsia" w:cs="Times New Roman"/>
          <w:b/>
          <w:bCs/>
          <w:szCs w:val="24"/>
        </w:rPr>
        <w:t>5.2.7</w:t>
      </w:r>
      <w:r>
        <w:rPr>
          <w:rFonts w:hint="eastAsia"/>
        </w:rPr>
        <w:t xml:space="preserve"> 预制构件模具的设计、生产、采购及使用应遵循节材、环保的原则。预制构件生产企业对老旧模具进行改造加工或转用前应对模具进行检查，并建立相应的改造及转用记录。</w:t>
      </w:r>
    </w:p>
    <w:p>
      <w:pPr>
        <w:pStyle w:val="20"/>
      </w:pPr>
      <w:r>
        <w:rPr>
          <w:rFonts w:hint="eastAsia" w:cs="Times New Roman"/>
          <w:b/>
          <w:bCs/>
          <w:szCs w:val="24"/>
        </w:rPr>
        <w:t>5.2.8</w:t>
      </w:r>
      <w:r>
        <w:rPr>
          <w:rFonts w:hint="eastAsia"/>
        </w:rPr>
        <w:t xml:space="preserve"> 模具使用完成后，预制构件生产企业应组织生产、技术人员对模具报废的可能性进行判定。对于确认需报废的模具，按照企业内部流程，参照环保要求进行处理。</w:t>
      </w:r>
    </w:p>
    <w:p>
      <w:pPr>
        <w:pStyle w:val="3"/>
        <w:spacing w:before="312" w:after="312"/>
      </w:pPr>
      <w:bookmarkStart w:id="155" w:name="_Toc14278"/>
      <w:bookmarkStart w:id="156" w:name="_Toc27632"/>
      <w:bookmarkStart w:id="157" w:name="_Toc23587"/>
      <w:bookmarkStart w:id="158" w:name="_Toc23323"/>
      <w:bookmarkStart w:id="159" w:name="_Toc25316"/>
      <w:bookmarkStart w:id="160" w:name="_Toc12859"/>
      <w:bookmarkStart w:id="161" w:name="_Toc26856"/>
      <w:bookmarkStart w:id="162" w:name="_Toc19733"/>
      <w:bookmarkStart w:id="163" w:name="_Toc20504"/>
      <w:bookmarkStart w:id="164" w:name="_Toc13863"/>
      <w:bookmarkStart w:id="165" w:name="_Toc22276"/>
      <w:bookmarkStart w:id="166" w:name="_Toc29457"/>
      <w:bookmarkStart w:id="167" w:name="_Toc31485"/>
      <w:bookmarkStart w:id="168" w:name="_Toc31161"/>
      <w:bookmarkStart w:id="169" w:name="_Toc32408"/>
      <w:bookmarkStart w:id="170" w:name="_Toc8580"/>
      <w:r>
        <w:rPr>
          <w:rFonts w:hint="eastAsia"/>
        </w:rPr>
        <w:t>5</w:t>
      </w:r>
      <w:r>
        <w:t>.3</w:t>
      </w:r>
      <w:r>
        <w:rPr>
          <w:rFonts w:hint="eastAsia"/>
        </w:rPr>
        <w:t>物资质量管理</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20"/>
        <w:rPr>
          <w:rFonts w:cs="Times New Roman"/>
          <w:b/>
          <w:bCs/>
          <w:szCs w:val="24"/>
        </w:rPr>
      </w:pPr>
      <w:r>
        <w:rPr>
          <w:rFonts w:hint="eastAsia" w:cs="Times New Roman"/>
          <w:b/>
          <w:bCs/>
          <w:szCs w:val="24"/>
        </w:rPr>
        <w:t xml:space="preserve">5.3.1 </w:t>
      </w:r>
      <w:r>
        <w:rPr>
          <w:rFonts w:hint="eastAsia" w:cs="Times New Roman"/>
          <w:szCs w:val="24"/>
        </w:rPr>
        <w:t>预制构件生产企业所用原材料的质量应符合《混凝土结构工程施工质量验收规范》GB 50204的规定。</w:t>
      </w:r>
    </w:p>
    <w:p>
      <w:pPr>
        <w:pStyle w:val="20"/>
      </w:pPr>
      <w:r>
        <w:rPr>
          <w:rFonts w:hint="eastAsia" w:cs="Times New Roman"/>
          <w:b/>
          <w:bCs/>
          <w:szCs w:val="24"/>
        </w:rPr>
        <w:t>5.3.2</w:t>
      </w:r>
      <w:r>
        <w:rPr>
          <w:rFonts w:hint="eastAsia"/>
        </w:rPr>
        <w:t xml:space="preserve"> 在构件生产前，预制构件生产企业应及时组织生产人员编制物资需求计划。物资需求计划应根据生产变动或设计变更的实际情况及时进行更新。</w:t>
      </w:r>
    </w:p>
    <w:p>
      <w:pPr>
        <w:pStyle w:val="20"/>
      </w:pPr>
      <w:r>
        <w:rPr>
          <w:rFonts w:hint="eastAsia" w:cs="Times New Roman"/>
          <w:b/>
          <w:bCs/>
          <w:szCs w:val="24"/>
        </w:rPr>
        <w:t>5.3.3</w:t>
      </w:r>
      <w:r>
        <w:rPr>
          <w:rFonts w:hint="eastAsia"/>
        </w:rPr>
        <w:t xml:space="preserve"> 预制构件生产企业应根据企业库存情况及时组织物资管理人员编制物资采购计划。物资采购计划应符合企业库存量、生产进度的要求。</w:t>
      </w:r>
    </w:p>
    <w:p>
      <w:pPr>
        <w:pStyle w:val="20"/>
      </w:pPr>
      <w:r>
        <w:rPr>
          <w:rFonts w:hint="eastAsia" w:cs="Times New Roman"/>
          <w:b/>
          <w:bCs/>
          <w:szCs w:val="24"/>
        </w:rPr>
        <w:t>5.3.4</w:t>
      </w:r>
      <w:r>
        <w:rPr>
          <w:rFonts w:hint="eastAsia"/>
        </w:rPr>
        <w:t xml:space="preserve"> 预制构件生产企业应建立合格供应商名录及评价标准，定期组织技术、生产、采购、质检等人员对供方物资的质量、环境影响因素、价格、供货期等进行评价。采购过程时，预制构件生产企业应与供应商签订采购协议，并约定采购商品的技术参数、标准要求。</w:t>
      </w:r>
    </w:p>
    <w:p>
      <w:pPr>
        <w:pStyle w:val="20"/>
      </w:pPr>
      <w:r>
        <w:rPr>
          <w:rFonts w:hint="eastAsia" w:cs="Times New Roman"/>
          <w:b/>
          <w:bCs/>
          <w:szCs w:val="24"/>
        </w:rPr>
        <w:t>5.3.5</w:t>
      </w:r>
      <w:r>
        <w:rPr>
          <w:rFonts w:hint="eastAsia"/>
        </w:rPr>
        <w:t xml:space="preserve"> 预制构件生产企业应组织物资、试验人员对进场原材料进行验收，建立计量及质量验收相关台账记录。核验内容应包括物资名称、规格型号、物资数量、合格证明文件等。对需进行抽样检验的材料，应遵循本标准第5.6节的相关规定。</w:t>
      </w:r>
    </w:p>
    <w:p>
      <w:pPr>
        <w:pStyle w:val="20"/>
      </w:pPr>
      <w:r>
        <w:rPr>
          <w:rFonts w:hint="eastAsia" w:cs="Times New Roman"/>
          <w:b/>
          <w:bCs/>
          <w:szCs w:val="24"/>
        </w:rPr>
        <w:t>5.3.6</w:t>
      </w:r>
      <w:r>
        <w:rPr>
          <w:rFonts w:hint="eastAsia"/>
        </w:rPr>
        <w:t xml:space="preserve"> 预制构件生产企业应组织物资管理人员对验收合格的物资办理入库手续，建立相关的管理台账及物资状态标识。物资储存的位置及场地应满足该物资储存要求。</w:t>
      </w:r>
    </w:p>
    <w:p>
      <w:pPr>
        <w:pStyle w:val="20"/>
      </w:pPr>
      <w:r>
        <w:rPr>
          <w:rFonts w:hint="eastAsia" w:cs="Times New Roman"/>
          <w:b/>
          <w:bCs/>
          <w:szCs w:val="24"/>
        </w:rPr>
        <w:t>5.3.7</w:t>
      </w:r>
      <w:r>
        <w:rPr>
          <w:rFonts w:hint="eastAsia"/>
        </w:rPr>
        <w:t xml:space="preserve"> 预制构件生产企业应组织生产、技术、试验、采购人员对不合格物资进行评审、处置并记录。对不合格的物资应拒绝入库。</w:t>
      </w:r>
    </w:p>
    <w:p>
      <w:pPr>
        <w:pStyle w:val="20"/>
      </w:pPr>
      <w:r>
        <w:rPr>
          <w:rFonts w:hint="eastAsia" w:cs="Times New Roman"/>
          <w:b/>
          <w:bCs/>
          <w:szCs w:val="24"/>
        </w:rPr>
        <w:t>5.3.8</w:t>
      </w:r>
      <w:r>
        <w:rPr>
          <w:rFonts w:hint="eastAsia"/>
        </w:rPr>
        <w:t xml:space="preserve"> 预制构件生产企业应建立生产物资领用、出库与退回制度，对物资领用、出库及退回建立相关台账记录。</w:t>
      </w:r>
    </w:p>
    <w:p>
      <w:pPr>
        <w:pStyle w:val="20"/>
      </w:pPr>
      <w:r>
        <w:rPr>
          <w:rFonts w:hint="eastAsia" w:cs="Times New Roman"/>
          <w:b/>
          <w:bCs/>
          <w:szCs w:val="24"/>
        </w:rPr>
        <w:t>5.3.9</w:t>
      </w:r>
      <w:r>
        <w:rPr>
          <w:rFonts w:hint="eastAsia"/>
        </w:rPr>
        <w:t xml:space="preserve"> 预制构件生产企业应建立物资盘点与核算制度，定期组织物资、财务及生产管理人员对物资进行盘点核算，对物资损耗进行情况分析并采取调整措施。</w:t>
      </w:r>
    </w:p>
    <w:p>
      <w:pPr>
        <w:pStyle w:val="20"/>
      </w:pPr>
      <w:r>
        <w:rPr>
          <w:rFonts w:hint="eastAsia" w:cs="Times New Roman"/>
          <w:b/>
          <w:bCs/>
          <w:szCs w:val="24"/>
        </w:rPr>
        <w:t>5.3.10</w:t>
      </w:r>
      <w:r>
        <w:rPr>
          <w:rFonts w:hint="eastAsia"/>
        </w:rPr>
        <w:t xml:space="preserve"> 预制构件生产企业应定期组织物资、生产、财务等人员对废旧物资进行清理处置。废旧物资的处置应满足当地工信、环保等相关部门的要求。</w:t>
      </w:r>
    </w:p>
    <w:p>
      <w:pPr>
        <w:pStyle w:val="3"/>
        <w:spacing w:before="312" w:after="312"/>
      </w:pPr>
      <w:bookmarkStart w:id="171" w:name="_Toc9910"/>
      <w:bookmarkStart w:id="172" w:name="_Toc30725"/>
      <w:bookmarkStart w:id="173" w:name="_Toc3922"/>
      <w:bookmarkStart w:id="174" w:name="_Toc15910"/>
      <w:bookmarkStart w:id="175" w:name="_Toc29730"/>
      <w:bookmarkStart w:id="176" w:name="_Toc31042"/>
      <w:bookmarkStart w:id="177" w:name="_Toc14729"/>
      <w:bookmarkStart w:id="178" w:name="_Toc22930"/>
      <w:bookmarkStart w:id="179" w:name="_Toc30925"/>
      <w:bookmarkStart w:id="180" w:name="_Toc25635"/>
      <w:bookmarkStart w:id="181" w:name="_Toc8410"/>
      <w:bookmarkStart w:id="182" w:name="_Toc31800"/>
      <w:bookmarkStart w:id="183" w:name="_Toc4226"/>
      <w:bookmarkStart w:id="184" w:name="_Toc26890"/>
      <w:bookmarkStart w:id="185" w:name="_Toc13181"/>
      <w:bookmarkStart w:id="186" w:name="_Toc32452"/>
      <w:r>
        <w:rPr>
          <w:rFonts w:hint="eastAsia"/>
        </w:rPr>
        <w:t>5</w:t>
      </w:r>
      <w:r>
        <w:t>.4</w:t>
      </w:r>
      <w:r>
        <w:rPr>
          <w:rFonts w:hint="eastAsia"/>
        </w:rPr>
        <w:t>生产作业质量管理</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20"/>
        <w:rPr>
          <w:rFonts w:cs="Times New Roman"/>
          <w:b/>
          <w:bCs/>
          <w:szCs w:val="24"/>
        </w:rPr>
      </w:pPr>
      <w:r>
        <w:rPr>
          <w:rFonts w:hint="eastAsia" w:cs="Times New Roman"/>
          <w:b/>
          <w:bCs/>
          <w:szCs w:val="24"/>
        </w:rPr>
        <w:t xml:space="preserve">5.4.1 </w:t>
      </w:r>
      <w:r>
        <w:rPr>
          <w:rFonts w:hint="eastAsia" w:cs="Times New Roman"/>
          <w:szCs w:val="24"/>
        </w:rPr>
        <w:t>预制构件生产作业及质量验收应参照《混凝土结构工程施工规范》</w:t>
      </w:r>
      <w:r>
        <w:rPr>
          <w:rFonts w:hint="eastAsia"/>
        </w:rPr>
        <w:t>GB 50666</w:t>
      </w:r>
      <w:r>
        <w:rPr>
          <w:rFonts w:hint="eastAsia" w:cs="Times New Roman"/>
          <w:szCs w:val="24"/>
        </w:rPr>
        <w:t>和《混凝土结构工程施工质量验收规范》GB 50204执行，同时应满足《海南省装配式混凝土预制构件生产和安装技术标准》DBJ 46-058和《海南省装配式混凝土结构工程施工质量验收标准》DBJ 46-047的要求。</w:t>
      </w:r>
    </w:p>
    <w:p>
      <w:pPr>
        <w:pStyle w:val="20"/>
      </w:pPr>
      <w:r>
        <w:rPr>
          <w:rFonts w:hint="eastAsia" w:cs="Times New Roman"/>
          <w:b/>
          <w:bCs/>
          <w:szCs w:val="24"/>
        </w:rPr>
        <w:t>5.4.2</w:t>
      </w:r>
      <w:r>
        <w:rPr>
          <w:rFonts w:hint="eastAsia"/>
        </w:rPr>
        <w:t xml:space="preserve"> 生产线首次生产应组织试生产，确认首件合格后方可批量生产。</w:t>
      </w:r>
    </w:p>
    <w:p>
      <w:pPr>
        <w:pStyle w:val="20"/>
      </w:pPr>
      <w:r>
        <w:rPr>
          <w:rFonts w:hint="eastAsia" w:cs="Times New Roman"/>
          <w:b/>
          <w:bCs/>
          <w:szCs w:val="24"/>
        </w:rPr>
        <w:t>5.4.3</w:t>
      </w:r>
      <w:r>
        <w:rPr>
          <w:rFonts w:hint="eastAsia"/>
        </w:rPr>
        <w:t xml:space="preserve"> 建设单位应当建立首件验收制度、首批预制构件安装样板验收制度和首个装配式标准层结构联合验收制度，及时组织监理单位、设计单位、施工单位等参建主体进场验收。</w:t>
      </w:r>
    </w:p>
    <w:p>
      <w:pPr>
        <w:pStyle w:val="20"/>
      </w:pPr>
      <w:r>
        <w:rPr>
          <w:rFonts w:hint="eastAsia" w:cs="Times New Roman"/>
          <w:b/>
          <w:bCs/>
          <w:szCs w:val="24"/>
        </w:rPr>
        <w:t>5.4.4</w:t>
      </w:r>
      <w:r>
        <w:rPr>
          <w:rFonts w:hint="eastAsia"/>
        </w:rPr>
        <w:t xml:space="preserve"> 预制构件生产前，预制构件生产企业应组织相关人员按项目预制构件生产方案做好人员、物资、设施及技术等方面准备，对各关键工序进行技术交底，并对生产工人进行专业技术操作技能的岗位培训。</w:t>
      </w:r>
    </w:p>
    <w:p>
      <w:pPr>
        <w:pStyle w:val="20"/>
      </w:pPr>
      <w:r>
        <w:rPr>
          <w:rFonts w:hint="eastAsia"/>
          <w:b/>
          <w:bCs/>
        </w:rPr>
        <w:t>5.4.5</w:t>
      </w:r>
      <w:r>
        <w:rPr>
          <w:rFonts w:hint="eastAsia"/>
        </w:rPr>
        <w:t>建设单位应组织监理单位进行驻厂监造，收集并归档相关原材料、试件、隐蔽过程各工序等的检验检测等资料。</w:t>
      </w:r>
    </w:p>
    <w:p>
      <w:pPr>
        <w:pStyle w:val="20"/>
      </w:pPr>
      <w:r>
        <w:rPr>
          <w:rFonts w:hint="eastAsia" w:cs="Times New Roman"/>
          <w:b/>
          <w:bCs/>
          <w:szCs w:val="24"/>
        </w:rPr>
        <w:t>5.4.6</w:t>
      </w:r>
      <w:r>
        <w:rPr>
          <w:rFonts w:hint="eastAsia"/>
        </w:rPr>
        <w:t xml:space="preserve"> 构件钢筋及埋件加工时，预制构件生产企业应组织生产人员编制及审定下料图纸并按图生产加工，对制作完成的钢筋及埋件进行检验、记录及标识。钢筋及埋件经检查合格后才能投入生产。</w:t>
      </w:r>
    </w:p>
    <w:p>
      <w:pPr>
        <w:pStyle w:val="20"/>
      </w:pPr>
      <w:r>
        <w:rPr>
          <w:rFonts w:hint="eastAsia" w:cs="Times New Roman"/>
          <w:b/>
          <w:bCs/>
          <w:szCs w:val="24"/>
        </w:rPr>
        <w:t>5.4.7</w:t>
      </w:r>
      <w:r>
        <w:rPr>
          <w:rFonts w:hint="eastAsia"/>
        </w:rPr>
        <w:t xml:space="preserve"> 构件模具拼装作业时，预制构件生产企业生产、质检人员应按构件深化图、构件模具设计图对模具进行拼装及检查，经检查合格才能进行下一步生产工序。</w:t>
      </w:r>
    </w:p>
    <w:p>
      <w:pPr>
        <w:pStyle w:val="20"/>
      </w:pPr>
      <w:r>
        <w:rPr>
          <w:rFonts w:hint="eastAsia" w:cs="Times New Roman"/>
          <w:b/>
          <w:bCs/>
          <w:szCs w:val="24"/>
        </w:rPr>
        <w:t>5.4.8</w:t>
      </w:r>
      <w:r>
        <w:rPr>
          <w:rFonts w:hint="eastAsia"/>
        </w:rPr>
        <w:t xml:space="preserve"> 构件钢筋绑扎作业时，预制构件生产企业生产、质检人员应按照构件深化图进行钢筋、连接套筒等材料的安装及检查，经检查合格才能进行下一步生产工序。</w:t>
      </w:r>
    </w:p>
    <w:p>
      <w:pPr>
        <w:pStyle w:val="20"/>
      </w:pPr>
      <w:r>
        <w:rPr>
          <w:rFonts w:hint="eastAsia" w:cs="Times New Roman"/>
          <w:b/>
          <w:bCs/>
          <w:szCs w:val="24"/>
        </w:rPr>
        <w:t>5.4.9</w:t>
      </w:r>
      <w:r>
        <w:rPr>
          <w:rFonts w:hint="eastAsia"/>
        </w:rPr>
        <w:t xml:space="preserve"> 构件预应力钢筋安装作业时，预制构件生产企业生产、质检人员应按照构件深化图对预应力钢筋进行安装、定位、张拉及检查，经检查合格才能进行下一步生产工序。</w:t>
      </w:r>
    </w:p>
    <w:p>
      <w:pPr>
        <w:pStyle w:val="20"/>
      </w:pPr>
      <w:r>
        <w:rPr>
          <w:rFonts w:hint="eastAsia" w:cs="Times New Roman"/>
          <w:b/>
          <w:bCs/>
          <w:szCs w:val="24"/>
        </w:rPr>
        <w:t>5.4.10</w:t>
      </w:r>
      <w:r>
        <w:rPr>
          <w:rFonts w:hint="eastAsia"/>
        </w:rPr>
        <w:t xml:space="preserve"> 混凝土浇筑作业前，预制构件生产企业应组织生产、质检人员对构件进行隐蔽检验，经隐蔽验收合格才能进行下一步生产工序。</w:t>
      </w:r>
    </w:p>
    <w:p>
      <w:pPr>
        <w:pStyle w:val="20"/>
      </w:pPr>
      <w:r>
        <w:rPr>
          <w:rFonts w:hint="eastAsia" w:cs="Times New Roman"/>
          <w:b/>
          <w:bCs/>
          <w:szCs w:val="24"/>
        </w:rPr>
        <w:t>5.4.11</w:t>
      </w:r>
      <w:r>
        <w:rPr>
          <w:rFonts w:hint="eastAsia"/>
        </w:rPr>
        <w:t xml:space="preserve"> 混凝土浇筑作业时，预制构件生产企业应组织生产、质检人员检查确认混凝土的质量、强度等级是否符合构件生产要求。混凝土密实成型应采用机械振捣方式。</w:t>
      </w:r>
    </w:p>
    <w:p>
      <w:pPr>
        <w:pStyle w:val="20"/>
      </w:pPr>
      <w:r>
        <w:rPr>
          <w:rFonts w:hint="eastAsia" w:cs="Times New Roman"/>
          <w:b/>
          <w:bCs/>
          <w:szCs w:val="24"/>
        </w:rPr>
        <w:t>5.4.12</w:t>
      </w:r>
      <w:r>
        <w:rPr>
          <w:rFonts w:hint="eastAsia"/>
        </w:rPr>
        <w:t xml:space="preserve"> 混凝土浇筑作业后，预制构件生产企业应组织生产人员及时对混凝土构件进行养护并填写混凝土养护记录。</w:t>
      </w:r>
    </w:p>
    <w:p>
      <w:pPr>
        <w:pStyle w:val="20"/>
      </w:pPr>
      <w:r>
        <w:rPr>
          <w:rFonts w:hint="eastAsia"/>
          <w:b/>
          <w:bCs/>
        </w:rPr>
        <w:t xml:space="preserve">5.4.13 </w:t>
      </w:r>
      <w:r>
        <w:rPr>
          <w:rFonts w:hint="eastAsia"/>
        </w:rPr>
        <w:t>构件脱模起吊时，预制构件同条件养护的混凝土立方体抗压强度应符合设计关于脱模强度的要求，且不应小于15MPa。</w:t>
      </w:r>
    </w:p>
    <w:p>
      <w:pPr>
        <w:pStyle w:val="20"/>
      </w:pPr>
      <w:r>
        <w:rPr>
          <w:rFonts w:hint="eastAsia" w:cs="Times New Roman"/>
          <w:b/>
          <w:bCs/>
          <w:szCs w:val="24"/>
        </w:rPr>
        <w:t>5.4.14</w:t>
      </w:r>
      <w:r>
        <w:rPr>
          <w:rFonts w:hint="eastAsia"/>
        </w:rPr>
        <w:t>预制构件生产企业应对潜在的缺陷或质量问题采取适宜的预防措施。在生产过程中发生缺陷或质量问题时，预制构件生产企业应及时组织相关人员对构件生产异常情况分析原因，采取有效的纠正措施。</w:t>
      </w:r>
    </w:p>
    <w:p>
      <w:pPr>
        <w:pStyle w:val="3"/>
        <w:spacing w:before="312" w:after="312"/>
      </w:pPr>
      <w:bookmarkStart w:id="187" w:name="_Toc32026"/>
      <w:bookmarkStart w:id="188" w:name="_Toc16977"/>
      <w:bookmarkStart w:id="189" w:name="_Toc28828"/>
      <w:bookmarkStart w:id="190" w:name="_Toc11994"/>
      <w:bookmarkStart w:id="191" w:name="_Toc27221"/>
      <w:bookmarkStart w:id="192" w:name="_Toc31075"/>
      <w:bookmarkStart w:id="193" w:name="_Toc30806"/>
      <w:bookmarkStart w:id="194" w:name="_Toc13827"/>
      <w:bookmarkStart w:id="195" w:name="_Toc26616"/>
      <w:bookmarkStart w:id="196" w:name="_Toc26546"/>
      <w:bookmarkStart w:id="197" w:name="_Toc8535"/>
      <w:bookmarkStart w:id="198" w:name="_Toc1108"/>
      <w:bookmarkStart w:id="199" w:name="_Toc2304"/>
      <w:bookmarkStart w:id="200" w:name="_Toc7868"/>
      <w:bookmarkStart w:id="201" w:name="_Toc27198"/>
      <w:bookmarkStart w:id="202" w:name="_Toc22384"/>
      <w:r>
        <w:rPr>
          <w:rFonts w:hint="eastAsia"/>
        </w:rPr>
        <w:t>5</w:t>
      </w:r>
      <w:r>
        <w:t>.5</w:t>
      </w:r>
      <w:r>
        <w:rPr>
          <w:rFonts w:hint="eastAsia"/>
        </w:rPr>
        <w:t>储运管理</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20"/>
      </w:pPr>
      <w:r>
        <w:rPr>
          <w:rFonts w:hint="eastAsia" w:cs="Times New Roman"/>
          <w:b/>
          <w:bCs/>
          <w:szCs w:val="24"/>
        </w:rPr>
        <w:t>5.5.1</w:t>
      </w:r>
      <w:r>
        <w:rPr>
          <w:rFonts w:hint="eastAsia"/>
        </w:rPr>
        <w:t>预制构件生产企业应编制预制构件储存计划，并实时调整生产任务和库存情况。</w:t>
      </w:r>
    </w:p>
    <w:p>
      <w:pPr>
        <w:pStyle w:val="20"/>
      </w:pPr>
      <w:r>
        <w:rPr>
          <w:rFonts w:hint="eastAsia" w:cs="Times New Roman"/>
          <w:b/>
          <w:bCs/>
          <w:szCs w:val="24"/>
        </w:rPr>
        <w:t>5.5.2</w:t>
      </w:r>
      <w:r>
        <w:rPr>
          <w:rFonts w:hint="eastAsia"/>
        </w:rPr>
        <w:t>在预制构件入库时，预制构件生产企业应组织物资人员核验预制构件信息，对符合要求的预制构件办理入库相关登记手续。</w:t>
      </w:r>
    </w:p>
    <w:p>
      <w:pPr>
        <w:pStyle w:val="20"/>
      </w:pPr>
      <w:r>
        <w:rPr>
          <w:rFonts w:hint="eastAsia" w:cs="Times New Roman"/>
          <w:b/>
          <w:bCs/>
          <w:szCs w:val="24"/>
        </w:rPr>
        <w:t>5.5.3</w:t>
      </w:r>
      <w:r>
        <w:rPr>
          <w:rFonts w:hint="eastAsia"/>
        </w:rPr>
        <w:t xml:space="preserve"> 在预制构件存储时，预制构件生产企业应合理设置构件存储分区，采取有效的成品保护措施。</w:t>
      </w:r>
    </w:p>
    <w:p>
      <w:pPr>
        <w:pStyle w:val="20"/>
      </w:pPr>
      <w:r>
        <w:rPr>
          <w:rFonts w:hint="eastAsia" w:cs="Times New Roman"/>
          <w:b/>
          <w:bCs/>
          <w:szCs w:val="24"/>
        </w:rPr>
        <w:t>5.5.4</w:t>
      </w:r>
      <w:r>
        <w:rPr>
          <w:rFonts w:hint="eastAsia"/>
        </w:rPr>
        <w:t xml:space="preserve"> 在预制构件搬运前，预制构件生产企业应组织技术人员制定构件搬运及固定相关措施，对相关人员进行交底后执行。</w:t>
      </w:r>
    </w:p>
    <w:p>
      <w:pPr>
        <w:pStyle w:val="20"/>
      </w:pPr>
      <w:r>
        <w:rPr>
          <w:rFonts w:hint="eastAsia" w:cs="Times New Roman"/>
          <w:b/>
          <w:bCs/>
          <w:szCs w:val="24"/>
        </w:rPr>
        <w:t>5.5.5</w:t>
      </w:r>
      <w:r>
        <w:rPr>
          <w:rFonts w:hint="eastAsia"/>
        </w:rPr>
        <w:t xml:space="preserve"> 在预制构件出货及运送前，预制构件生产企业应根据项目建设单位提供的预制构件进场进度计划组织生产、技术人员、运输人员编制预制混凝土构件出货及运送相关计划及措施，妥善安排预制混凝土构件的出货及运送，办理出库及送货手续。</w:t>
      </w:r>
    </w:p>
    <w:p>
      <w:pPr>
        <w:pStyle w:val="20"/>
      </w:pPr>
      <w:r>
        <w:rPr>
          <w:rFonts w:hint="eastAsia" w:cs="Times New Roman"/>
          <w:b/>
          <w:bCs/>
          <w:szCs w:val="24"/>
        </w:rPr>
        <w:t>5.5.6</w:t>
      </w:r>
      <w:r>
        <w:rPr>
          <w:rFonts w:hint="eastAsia"/>
        </w:rPr>
        <w:t xml:space="preserve"> 预制构件生产企业应对运送至现场的构件质量问题进行识别，根据供需双方及第三方意见对问题进行分析，同时根据分析结果结合合同条款做相应处理，并做好记录。</w:t>
      </w:r>
    </w:p>
    <w:p>
      <w:pPr>
        <w:pStyle w:val="20"/>
      </w:pPr>
      <w:r>
        <w:rPr>
          <w:rFonts w:hint="eastAsia" w:cs="Times New Roman"/>
          <w:b/>
          <w:bCs/>
          <w:szCs w:val="24"/>
        </w:rPr>
        <w:t>5.5.7</w:t>
      </w:r>
      <w:r>
        <w:rPr>
          <w:rFonts w:hint="eastAsia"/>
        </w:rPr>
        <w:t xml:space="preserve"> 预制构件生产企业应组织物资人员和质检人员根据企业实时情况进行月度、季度或年度盘点，及时对储存过程中出现质量变化的预制构件成品进行识别、处理。</w:t>
      </w:r>
    </w:p>
    <w:p>
      <w:pPr>
        <w:pStyle w:val="3"/>
        <w:spacing w:before="312" w:after="312"/>
      </w:pPr>
      <w:bookmarkStart w:id="203" w:name="_Toc2982"/>
      <w:bookmarkStart w:id="204" w:name="_Toc31892"/>
      <w:bookmarkStart w:id="205" w:name="_Toc126"/>
      <w:bookmarkStart w:id="206" w:name="_Toc11372"/>
      <w:bookmarkStart w:id="207" w:name="_Toc13452"/>
      <w:bookmarkStart w:id="208" w:name="_Toc2313"/>
      <w:bookmarkStart w:id="209" w:name="_Toc16572"/>
      <w:bookmarkStart w:id="210" w:name="_Toc779"/>
      <w:bookmarkStart w:id="211" w:name="_Toc11797"/>
      <w:bookmarkStart w:id="212" w:name="_Toc6418"/>
      <w:bookmarkStart w:id="213" w:name="_Toc1129"/>
      <w:bookmarkStart w:id="214" w:name="_Toc10369"/>
      <w:bookmarkStart w:id="215" w:name="_Toc18118"/>
      <w:bookmarkStart w:id="216" w:name="_Toc15012"/>
      <w:bookmarkStart w:id="217" w:name="_Toc15150"/>
      <w:bookmarkStart w:id="218" w:name="_Toc8068"/>
      <w:r>
        <w:rPr>
          <w:rFonts w:hint="eastAsia"/>
        </w:rPr>
        <w:t>5</w:t>
      </w:r>
      <w:r>
        <w:t>.6</w:t>
      </w:r>
      <w:r>
        <w:rPr>
          <w:rFonts w:hint="eastAsia"/>
        </w:rPr>
        <w:t>试验检验及验收管理</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20"/>
      </w:pPr>
      <w:r>
        <w:rPr>
          <w:rFonts w:hint="eastAsia"/>
          <w:b/>
          <w:bCs/>
        </w:rPr>
        <w:t>5.6.1</w:t>
      </w:r>
      <w:r>
        <w:rPr>
          <w:rFonts w:hint="eastAsia"/>
        </w:rPr>
        <w:t>混凝土强度的检验评定应符合《混凝土强度检验评定标准》GB/T 50107的规定，试验方法应符合《混凝土物理力学性能试验方法标准》GB/T 50081 的规定。</w:t>
      </w:r>
    </w:p>
    <w:p>
      <w:pPr>
        <w:pStyle w:val="20"/>
      </w:pPr>
      <w:r>
        <w:rPr>
          <w:rFonts w:hint="eastAsia" w:cs="Times New Roman"/>
          <w:b/>
          <w:bCs/>
          <w:szCs w:val="24"/>
        </w:rPr>
        <w:t>5.6.2</w:t>
      </w:r>
      <w:r>
        <w:rPr>
          <w:rFonts w:hint="eastAsia"/>
        </w:rPr>
        <w:t xml:space="preserve"> 预制构件生产原材料进场时，预制构件生产企业应组织相关人员对原材料按相关标准规范的要求进行抽样检验。</w:t>
      </w:r>
    </w:p>
    <w:p>
      <w:pPr>
        <w:pStyle w:val="20"/>
      </w:pPr>
      <w:r>
        <w:rPr>
          <w:rFonts w:hint="eastAsia" w:cs="Times New Roman"/>
          <w:b/>
          <w:bCs/>
          <w:szCs w:val="24"/>
        </w:rPr>
        <w:t>5.6.3</w:t>
      </w:r>
      <w:r>
        <w:rPr>
          <w:rFonts w:hint="eastAsia"/>
        </w:rPr>
        <w:t xml:space="preserve"> 在原材料、混凝土投入生产使用前，当建设单位与施工总承包企业对产品质量有异议时，施工企业与预制构件生产企业合同中应明确规定监理到场见证取样和送检的要求。生产原材料、混凝土的取样样品应及时送至第三方检测机构进行检测。</w:t>
      </w:r>
    </w:p>
    <w:p>
      <w:pPr>
        <w:pStyle w:val="20"/>
      </w:pPr>
      <w:r>
        <w:rPr>
          <w:rFonts w:hint="eastAsia" w:cs="Times New Roman"/>
          <w:b/>
          <w:bCs/>
          <w:szCs w:val="24"/>
        </w:rPr>
        <w:t>5.6.4</w:t>
      </w:r>
      <w:r>
        <w:rPr>
          <w:rFonts w:hint="eastAsia"/>
        </w:rPr>
        <w:t xml:space="preserve"> 预制构件生产完成后，预制构件生产企业应组织生产、质检人员对成品构件按海南省相关工程建设标准、构件生产合同、设计图纸及企业标准的要求进行成品检验，验收状态有：待检、合格和不合格。当检验不合格时，可退回、让步接收或报废。</w:t>
      </w:r>
    </w:p>
    <w:p>
      <w:pPr>
        <w:pStyle w:val="20"/>
      </w:pPr>
      <w:r>
        <w:rPr>
          <w:rFonts w:hint="eastAsia" w:cs="Times New Roman"/>
          <w:b/>
          <w:bCs/>
          <w:szCs w:val="24"/>
        </w:rPr>
        <w:t>5.6</w:t>
      </w:r>
      <w:r>
        <w:rPr>
          <w:rFonts w:cs="Times New Roman"/>
          <w:b/>
          <w:bCs/>
          <w:szCs w:val="24"/>
        </w:rPr>
        <w:t>.</w:t>
      </w:r>
      <w:r>
        <w:rPr>
          <w:rFonts w:hint="eastAsia" w:cs="Times New Roman"/>
          <w:b/>
          <w:bCs/>
          <w:szCs w:val="24"/>
        </w:rPr>
        <w:t>5</w:t>
      </w:r>
      <w:r>
        <w:rPr>
          <w:rFonts w:hint="eastAsia"/>
        </w:rPr>
        <w:t xml:space="preserve"> 预制构件生产企业应建立预制构件成品质量检验合格制度，对经生产过程检查、原材料检验、混凝土检测及成品检验合格的构件应做好合格标识。经检验确认合格的预制构件才可办理入库。</w:t>
      </w:r>
    </w:p>
    <w:p>
      <w:pPr>
        <w:pStyle w:val="20"/>
      </w:pPr>
      <w:r>
        <w:rPr>
          <w:rFonts w:hint="eastAsia" w:cs="Times New Roman"/>
          <w:b/>
          <w:bCs/>
          <w:szCs w:val="24"/>
        </w:rPr>
        <w:t>5.6</w:t>
      </w:r>
      <w:r>
        <w:rPr>
          <w:rFonts w:cs="Times New Roman"/>
          <w:b/>
          <w:bCs/>
          <w:szCs w:val="24"/>
        </w:rPr>
        <w:t>.</w:t>
      </w:r>
      <w:r>
        <w:rPr>
          <w:rFonts w:hint="eastAsia" w:cs="Times New Roman"/>
          <w:b/>
          <w:bCs/>
          <w:szCs w:val="24"/>
        </w:rPr>
        <w:t>6</w:t>
      </w:r>
      <w:r>
        <w:rPr>
          <w:rFonts w:hint="eastAsia"/>
        </w:rPr>
        <w:t xml:space="preserve"> 在预制构件出厂前，预制构件生产企业应组织质检人员对出厂构件的型号、外观、混凝土强度、埋件等内容进行检查确认，出厂的构件应随车附带相应的质量证明文件。</w:t>
      </w:r>
    </w:p>
    <w:p>
      <w:pPr>
        <w:pStyle w:val="20"/>
      </w:pPr>
      <w:r>
        <w:rPr>
          <w:rFonts w:hint="eastAsia"/>
          <w:b/>
          <w:bCs/>
        </w:rPr>
        <w:t>5.6</w:t>
      </w:r>
      <w:r>
        <w:rPr>
          <w:b/>
          <w:bCs/>
        </w:rPr>
        <w:t>.</w:t>
      </w:r>
      <w:r>
        <w:rPr>
          <w:rFonts w:hint="eastAsia"/>
          <w:b/>
          <w:bCs/>
        </w:rPr>
        <w:t>7</w:t>
      </w:r>
      <w:r>
        <w:rPr>
          <w:rFonts w:hint="eastAsia"/>
        </w:rPr>
        <w:t xml:space="preserve"> 有下列情况之一时应进行型式检验：</w:t>
      </w:r>
    </w:p>
    <w:p>
      <w:pPr>
        <w:pStyle w:val="22"/>
        <w:ind w:firstLine="482"/>
      </w:pPr>
      <w:r>
        <w:rPr>
          <w:rFonts w:hint="eastAsia"/>
          <w:b/>
          <w:bCs/>
        </w:rPr>
        <w:t>1</w:t>
      </w:r>
      <w:r>
        <w:rPr>
          <w:rFonts w:hint="eastAsia"/>
        </w:rPr>
        <w:t xml:space="preserve"> 产品转厂生产或首次投入生产的试制定型鉴定时。</w:t>
      </w:r>
    </w:p>
    <w:p>
      <w:pPr>
        <w:pStyle w:val="22"/>
        <w:ind w:firstLine="482"/>
      </w:pPr>
      <w:r>
        <w:rPr>
          <w:rFonts w:hint="eastAsia"/>
          <w:b/>
          <w:bCs/>
        </w:rPr>
        <w:t>2</w:t>
      </w:r>
      <w:r>
        <w:rPr>
          <w:rFonts w:hint="eastAsia"/>
        </w:rPr>
        <w:t xml:space="preserve"> 产品停产半年以上再恢复生产时。</w:t>
      </w:r>
    </w:p>
    <w:p>
      <w:pPr>
        <w:pStyle w:val="22"/>
        <w:ind w:firstLine="482"/>
      </w:pPr>
      <w:r>
        <w:rPr>
          <w:rFonts w:hint="eastAsia"/>
          <w:b/>
          <w:bCs/>
        </w:rPr>
        <w:t>3</w:t>
      </w:r>
      <w:r>
        <w:rPr>
          <w:rFonts w:hint="eastAsia"/>
        </w:rPr>
        <w:t xml:space="preserve"> 设计、工艺和材料有较大变更，可能影响产品性能时。</w:t>
      </w:r>
    </w:p>
    <w:p>
      <w:pPr>
        <w:pStyle w:val="22"/>
        <w:ind w:firstLine="482"/>
      </w:pPr>
      <w:r>
        <w:rPr>
          <w:rFonts w:hint="eastAsia"/>
          <w:b/>
          <w:bCs/>
        </w:rPr>
        <w:t>4</w:t>
      </w:r>
      <w:r>
        <w:rPr>
          <w:rFonts w:hint="eastAsia"/>
        </w:rPr>
        <w:t xml:space="preserve"> 出厂检验结果与上次型式检验有较大差异时。</w:t>
      </w:r>
    </w:p>
    <w:p>
      <w:pPr>
        <w:pStyle w:val="22"/>
        <w:ind w:firstLine="482"/>
      </w:pPr>
      <w:r>
        <w:rPr>
          <w:rFonts w:hint="eastAsia"/>
          <w:b/>
          <w:bCs/>
        </w:rPr>
        <w:t xml:space="preserve">5 </w:t>
      </w:r>
      <w:r>
        <w:rPr>
          <w:rFonts w:hint="eastAsia"/>
        </w:rPr>
        <w:t>一年一次正常生产检验。</w:t>
      </w:r>
    </w:p>
    <w:p>
      <w:pPr>
        <w:pStyle w:val="22"/>
        <w:ind w:firstLine="482"/>
        <w:rPr>
          <w:rFonts w:asciiTheme="minorHAnsi" w:hAnsiTheme="minorHAnsi" w:eastAsiaTheme="minorEastAsia"/>
          <w:spacing w:val="1"/>
          <w:szCs w:val="22"/>
        </w:rPr>
      </w:pPr>
      <w:r>
        <w:rPr>
          <w:rFonts w:hint="eastAsia"/>
          <w:b/>
          <w:bCs/>
        </w:rPr>
        <w:t>6</w:t>
      </w:r>
      <w:r>
        <w:rPr>
          <w:rFonts w:hint="eastAsia"/>
        </w:rPr>
        <w:t xml:space="preserve"> 市场监督管理部门提出检验要求时。</w:t>
      </w:r>
    </w:p>
    <w:p>
      <w:pPr>
        <w:pStyle w:val="3"/>
        <w:spacing w:before="312" w:after="312"/>
      </w:pPr>
      <w:bookmarkStart w:id="219" w:name="_Toc20464"/>
      <w:bookmarkStart w:id="220" w:name="_Toc9258"/>
      <w:bookmarkStart w:id="221" w:name="_Toc29480"/>
      <w:bookmarkStart w:id="222" w:name="_Toc32226"/>
      <w:bookmarkStart w:id="223" w:name="_Toc31934"/>
      <w:bookmarkStart w:id="224" w:name="_Toc28128"/>
      <w:bookmarkStart w:id="225" w:name="_Toc8833"/>
      <w:bookmarkStart w:id="226" w:name="_Toc10418"/>
      <w:bookmarkStart w:id="227" w:name="_Toc10139"/>
      <w:bookmarkStart w:id="228" w:name="_Toc20736"/>
      <w:bookmarkStart w:id="229" w:name="_Toc1449"/>
      <w:bookmarkStart w:id="230" w:name="_Toc5552"/>
      <w:bookmarkStart w:id="231" w:name="_Toc21796"/>
      <w:bookmarkStart w:id="232" w:name="_Toc25062"/>
      <w:bookmarkStart w:id="233" w:name="_Toc10308"/>
      <w:bookmarkStart w:id="234" w:name="_Toc27188"/>
      <w:r>
        <w:rPr>
          <w:rFonts w:hint="eastAsia"/>
        </w:rPr>
        <w:t>5</w:t>
      </w:r>
      <w:r>
        <w:t>.7</w:t>
      </w:r>
      <w:r>
        <w:rPr>
          <w:rFonts w:hint="eastAsia"/>
        </w:rPr>
        <w:t>不合格品管理</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20"/>
      </w:pPr>
      <w:r>
        <w:rPr>
          <w:rFonts w:hint="eastAsia" w:cs="Times New Roman"/>
          <w:b/>
          <w:bCs/>
          <w:szCs w:val="24"/>
        </w:rPr>
        <w:t>5.7.1</w:t>
      </w:r>
      <w:r>
        <w:rPr>
          <w:rFonts w:hint="eastAsia"/>
        </w:rPr>
        <w:t xml:space="preserve"> 预制构件生产企业应组织技术、生产、质检人员对在构件生产完成、出厂前或由项目退货的不合格构件进行不合格品识别，对不合格品应有明确的标志。</w:t>
      </w:r>
    </w:p>
    <w:p>
      <w:pPr>
        <w:pStyle w:val="20"/>
      </w:pPr>
      <w:r>
        <w:rPr>
          <w:rFonts w:hint="eastAsia" w:cs="Times New Roman"/>
          <w:b/>
          <w:bCs/>
          <w:szCs w:val="24"/>
        </w:rPr>
        <w:t>5.7.2</w:t>
      </w:r>
      <w:r>
        <w:rPr>
          <w:rFonts w:hint="eastAsia"/>
        </w:rPr>
        <w:t xml:space="preserve"> 预制构件生产企业应组织技术、生产、物资、财务人员对不合格品建立台账记录，进行分类处理。</w:t>
      </w:r>
    </w:p>
    <w:p>
      <w:pPr>
        <w:pStyle w:val="20"/>
      </w:pPr>
      <w:r>
        <w:rPr>
          <w:rFonts w:hint="eastAsia"/>
          <w:b/>
          <w:bCs/>
        </w:rPr>
        <w:t>5.7.3</w:t>
      </w:r>
      <w:r>
        <w:rPr>
          <w:rFonts w:hint="eastAsia"/>
        </w:rPr>
        <w:t xml:space="preserve"> 对于鉴定为必须报废的产品，应立即移至报废品专区等待处理，并做好明显标识，防止混用。</w:t>
      </w:r>
    </w:p>
    <w:p>
      <w:pPr>
        <w:pStyle w:val="20"/>
      </w:pPr>
      <w:r>
        <w:rPr>
          <w:rFonts w:hint="eastAsia"/>
          <w:b/>
          <w:bCs/>
        </w:rPr>
        <w:t>5.7.4</w:t>
      </w:r>
      <w:r>
        <w:rPr>
          <w:rFonts w:hint="eastAsia"/>
        </w:rPr>
        <w:t xml:space="preserve"> 对于鉴定为让步接收的产品，进一步做好处理和记录：降级使用的产品应归集到相应产品系列存放；挑选使用的产品，将合格部分归集到相应系列存放，报废部分移至报废专区；对于返修产品，返修合格后移至相应位置存放。</w:t>
      </w:r>
    </w:p>
    <w:p>
      <w:pPr>
        <w:pStyle w:val="3"/>
        <w:spacing w:before="312" w:after="312"/>
      </w:pPr>
      <w:bookmarkStart w:id="235" w:name="_Toc16799"/>
      <w:bookmarkStart w:id="236" w:name="_Toc13605"/>
      <w:bookmarkStart w:id="237" w:name="_Toc5161"/>
      <w:bookmarkStart w:id="238" w:name="_Toc20079"/>
      <w:bookmarkStart w:id="239" w:name="_Toc27133"/>
      <w:bookmarkStart w:id="240" w:name="_Toc18348"/>
      <w:bookmarkStart w:id="241" w:name="_Toc9527"/>
      <w:bookmarkStart w:id="242" w:name="_Toc31119"/>
      <w:bookmarkStart w:id="243" w:name="_Toc1785"/>
      <w:bookmarkStart w:id="244" w:name="_Toc32409"/>
      <w:bookmarkStart w:id="245" w:name="_Toc18182"/>
      <w:bookmarkStart w:id="246" w:name="_Toc11409"/>
      <w:bookmarkStart w:id="247" w:name="_Toc19194"/>
      <w:bookmarkStart w:id="248" w:name="_Toc14543"/>
      <w:bookmarkStart w:id="249" w:name="_Toc24925"/>
      <w:bookmarkStart w:id="250" w:name="_Toc6463"/>
      <w:r>
        <w:rPr>
          <w:rFonts w:hint="eastAsia"/>
        </w:rPr>
        <w:t>5</w:t>
      </w:r>
      <w:r>
        <w:t>.8</w:t>
      </w:r>
      <w:r>
        <w:rPr>
          <w:rFonts w:hint="eastAsia"/>
        </w:rPr>
        <w:t>质量分析和持续改进</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20"/>
      </w:pPr>
      <w:r>
        <w:rPr>
          <w:rFonts w:hint="eastAsia" w:cs="Times New Roman"/>
          <w:b/>
          <w:bCs/>
          <w:szCs w:val="24"/>
        </w:rPr>
        <w:t>5</w:t>
      </w:r>
      <w:r>
        <w:rPr>
          <w:rFonts w:cs="Times New Roman"/>
          <w:b/>
          <w:bCs/>
          <w:szCs w:val="24"/>
        </w:rPr>
        <w:t>.8.1</w:t>
      </w:r>
      <w:r>
        <w:rPr>
          <w:rFonts w:hint="eastAsia"/>
        </w:rPr>
        <w:t xml:space="preserve"> 预制构件生产企业</w:t>
      </w:r>
      <w:r>
        <w:t>应定期进行统计分析</w:t>
      </w:r>
      <w:r>
        <w:rPr>
          <w:rFonts w:hint="eastAsia"/>
        </w:rPr>
        <w:t>，</w:t>
      </w:r>
      <w:r>
        <w:t>正确评价生产过程</w:t>
      </w:r>
      <w:r>
        <w:rPr>
          <w:rFonts w:hint="eastAsia"/>
        </w:rPr>
        <w:t>质量和成品</w:t>
      </w:r>
      <w:r>
        <w:t>质量</w:t>
      </w:r>
      <w:r>
        <w:rPr>
          <w:rFonts w:hint="eastAsia"/>
        </w:rPr>
        <w:t>，</w:t>
      </w:r>
      <w:r>
        <w:t>以及工厂的质量管理水平和质量保证能力。</w:t>
      </w:r>
    </w:p>
    <w:p>
      <w:pPr>
        <w:pStyle w:val="20"/>
      </w:pPr>
      <w:r>
        <w:rPr>
          <w:rFonts w:hint="eastAsia" w:cs="Times New Roman"/>
          <w:b/>
          <w:bCs/>
          <w:szCs w:val="24"/>
        </w:rPr>
        <w:t>5</w:t>
      </w:r>
      <w:r>
        <w:rPr>
          <w:rFonts w:cs="Times New Roman"/>
          <w:b/>
          <w:bCs/>
          <w:szCs w:val="24"/>
        </w:rPr>
        <w:t>.8.2</w:t>
      </w:r>
      <w:r>
        <w:rPr>
          <w:rFonts w:hint="eastAsia"/>
        </w:rPr>
        <w:t xml:space="preserve"> </w:t>
      </w:r>
      <w:r>
        <w:t>预制构件生产企业应在统计分析的基础上</w:t>
      </w:r>
      <w:r>
        <w:rPr>
          <w:rFonts w:hint="eastAsia"/>
        </w:rPr>
        <w:t>，</w:t>
      </w:r>
      <w:r>
        <w:t>积极采取措施</w:t>
      </w:r>
      <w:r>
        <w:rPr>
          <w:rFonts w:hint="eastAsia"/>
        </w:rPr>
        <w:t>，</w:t>
      </w:r>
      <w:r>
        <w:t>持续改进提高质量管理水平和质量保证能力</w:t>
      </w:r>
      <w:r>
        <w:rPr>
          <w:rFonts w:hint="eastAsia"/>
        </w:rPr>
        <w:t>，</w:t>
      </w:r>
      <w:r>
        <w:t>不断提高产品质量。</w:t>
      </w:r>
    </w:p>
    <w:p>
      <w:pPr>
        <w:pStyle w:val="20"/>
      </w:pPr>
      <w:r>
        <w:rPr>
          <w:rFonts w:hint="eastAsia" w:cs="Times New Roman"/>
          <w:b/>
          <w:bCs/>
          <w:szCs w:val="24"/>
        </w:rPr>
        <w:t>5</w:t>
      </w:r>
      <w:r>
        <w:rPr>
          <w:rFonts w:cs="Times New Roman"/>
          <w:b/>
          <w:bCs/>
          <w:szCs w:val="24"/>
        </w:rPr>
        <w:t>.8.3</w:t>
      </w:r>
      <w:r>
        <w:rPr>
          <w:rFonts w:hint="eastAsia"/>
        </w:rPr>
        <w:t xml:space="preserve"> </w:t>
      </w:r>
      <w:r>
        <w:t>预制构件生产企业</w:t>
      </w:r>
      <w:r>
        <w:rPr>
          <w:rFonts w:hint="eastAsia"/>
        </w:rPr>
        <w:t>在预制构件生产的各个关键环节应</w:t>
      </w:r>
      <w:r>
        <w:t>建立质量控制与追溯机制</w:t>
      </w:r>
      <w:r>
        <w:rPr>
          <w:rFonts w:hint="eastAsia"/>
        </w:rPr>
        <w:t>，</w:t>
      </w:r>
      <w:r>
        <w:t>运用物联网</w:t>
      </w:r>
      <w:r>
        <w:rPr>
          <w:rFonts w:hint="eastAsia"/>
        </w:rPr>
        <w:t>和</w:t>
      </w:r>
      <w:r>
        <w:t>信息化技术进行质量管理</w:t>
      </w:r>
      <w:r>
        <w:rPr>
          <w:rFonts w:hint="eastAsia"/>
        </w:rPr>
        <w:t>，并通过“海南省装配式建筑部品部件质量可追溯系统”报送装配式建筑部品部件相关信息</w:t>
      </w:r>
      <w:r>
        <w:t>。</w:t>
      </w:r>
    </w:p>
    <w:p>
      <w:pPr>
        <w:rPr>
          <w:sz w:val="22"/>
          <w:szCs w:val="22"/>
        </w:rPr>
      </w:pPr>
      <w:r>
        <w:rPr>
          <w:sz w:val="22"/>
          <w:szCs w:val="22"/>
        </w:rPr>
        <w:br w:type="page"/>
      </w:r>
    </w:p>
    <w:p>
      <w:pPr>
        <w:pStyle w:val="2"/>
        <w:spacing w:before="312" w:after="312"/>
      </w:pPr>
      <w:bookmarkStart w:id="251" w:name="_Toc3997"/>
      <w:bookmarkStart w:id="252" w:name="_Toc24406"/>
      <w:bookmarkStart w:id="253" w:name="_Toc32735"/>
      <w:bookmarkStart w:id="254" w:name="_Toc15728"/>
      <w:bookmarkStart w:id="255" w:name="_Toc8093"/>
      <w:bookmarkStart w:id="256" w:name="_Toc5882"/>
      <w:bookmarkStart w:id="257" w:name="_Toc361"/>
      <w:bookmarkStart w:id="258" w:name="_Toc15492"/>
      <w:bookmarkStart w:id="259" w:name="_Toc24327"/>
      <w:bookmarkStart w:id="260" w:name="_Toc8672"/>
      <w:bookmarkStart w:id="261" w:name="_Toc6509"/>
      <w:bookmarkStart w:id="262" w:name="_Toc15726"/>
      <w:bookmarkStart w:id="263" w:name="_Toc11361"/>
      <w:bookmarkStart w:id="264" w:name="_Toc13887"/>
      <w:bookmarkStart w:id="265" w:name="_Toc19382"/>
      <w:bookmarkStart w:id="266" w:name="_Toc20709"/>
      <w:r>
        <w:rPr>
          <w:rFonts w:hint="eastAsia"/>
        </w:rPr>
        <w:t>6 运输质量管理</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pStyle w:val="3"/>
        <w:spacing w:before="312" w:after="312"/>
      </w:pPr>
      <w:bookmarkStart w:id="267" w:name="_Toc12392"/>
      <w:bookmarkStart w:id="268" w:name="_Toc11518"/>
      <w:bookmarkStart w:id="269" w:name="_Toc30023"/>
      <w:bookmarkStart w:id="270" w:name="_Toc15213"/>
      <w:bookmarkStart w:id="271" w:name="_Toc23456"/>
      <w:bookmarkStart w:id="272" w:name="_Toc1434"/>
      <w:bookmarkStart w:id="273" w:name="_Toc16539"/>
      <w:bookmarkStart w:id="274" w:name="_Toc14481"/>
      <w:bookmarkStart w:id="275" w:name="_Toc1624"/>
      <w:bookmarkStart w:id="276" w:name="_Toc9781"/>
      <w:bookmarkStart w:id="277" w:name="_Toc2071"/>
      <w:bookmarkStart w:id="278" w:name="_Toc4895"/>
      <w:bookmarkStart w:id="279" w:name="_Toc28132"/>
      <w:bookmarkStart w:id="280" w:name="_Toc25127"/>
      <w:bookmarkStart w:id="281" w:name="_Toc7064"/>
      <w:bookmarkStart w:id="282" w:name="_Toc16823"/>
      <w:r>
        <w:rPr>
          <w:rFonts w:hint="eastAsia"/>
        </w:rPr>
        <w:t>6.1 装车质量管理</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Style w:val="20"/>
      </w:pPr>
      <w:r>
        <w:rPr>
          <w:rFonts w:hint="eastAsia"/>
          <w:b/>
        </w:rPr>
        <w:t xml:space="preserve">6.1.1 </w:t>
      </w:r>
      <w:r>
        <w:rPr>
          <w:rFonts w:hint="eastAsia"/>
        </w:rPr>
        <w:t>预制构件运输车辆应符合相关法规的要求，同时，驾驶员应经过专业培训和相关操作程序的交底、具备必要的驾驶技能和运输操作知识。</w:t>
      </w:r>
    </w:p>
    <w:p>
      <w:pPr>
        <w:pStyle w:val="20"/>
      </w:pPr>
      <w:r>
        <w:rPr>
          <w:rFonts w:hint="eastAsia"/>
          <w:b/>
        </w:rPr>
        <w:t>6.1.2</w:t>
      </w:r>
      <w:r>
        <w:rPr>
          <w:rFonts w:hint="eastAsia"/>
          <w:bCs/>
        </w:rPr>
        <w:t xml:space="preserve"> </w:t>
      </w:r>
      <w:r>
        <w:rPr>
          <w:rFonts w:hint="eastAsia"/>
        </w:rPr>
        <w:t>预制构件运输企业在预制构件装车前应制定运输方案，方案内容包括专项受力计算、运输路线、防运输途中振动损伤措施、装卸方案等，方案需经本企业技术负责人审批，报预制构件生产和施工企业备案。</w:t>
      </w:r>
    </w:p>
    <w:p>
      <w:pPr>
        <w:pStyle w:val="20"/>
      </w:pPr>
      <w:r>
        <w:rPr>
          <w:rFonts w:hint="eastAsia"/>
          <w:b/>
          <w:bCs/>
        </w:rPr>
        <w:t>6.1.3</w:t>
      </w:r>
      <w:r>
        <w:rPr>
          <w:rFonts w:hint="eastAsia"/>
        </w:rPr>
        <w:t xml:space="preserve"> 超高、超宽预制构件运输前，应根据当地要求报备或取得相关运输批准要求。</w:t>
      </w:r>
    </w:p>
    <w:p>
      <w:pPr>
        <w:pStyle w:val="20"/>
      </w:pPr>
      <w:r>
        <w:rPr>
          <w:rFonts w:hint="eastAsia"/>
          <w:b/>
        </w:rPr>
        <w:t xml:space="preserve">6.1.4 </w:t>
      </w:r>
      <w:r>
        <w:rPr>
          <w:rFonts w:hint="eastAsia"/>
        </w:rPr>
        <w:t>在预制构件装车前，运输企业应核验运输单，并对预制构件进行检查与验收，以确保其构件型号、检验状态和实物质量符合标准和合同要求。</w:t>
      </w:r>
    </w:p>
    <w:p>
      <w:pPr>
        <w:pStyle w:val="20"/>
        <w:rPr>
          <w:bCs/>
        </w:rPr>
      </w:pPr>
      <w:r>
        <w:rPr>
          <w:rFonts w:hint="eastAsia"/>
          <w:b/>
        </w:rPr>
        <w:t xml:space="preserve">6.1.5 </w:t>
      </w:r>
      <w:r>
        <w:rPr>
          <w:rFonts w:hint="eastAsia"/>
          <w:bCs/>
        </w:rPr>
        <w:t>预制混凝土梁、楼板和阳台板宜采用平放运输；外墙板宜采用竖直立放运输；柱可采用平放运输，当采用立放运输时应防止倾覆。</w:t>
      </w:r>
    </w:p>
    <w:p>
      <w:pPr>
        <w:pStyle w:val="20"/>
      </w:pPr>
      <w:r>
        <w:rPr>
          <w:rFonts w:hint="eastAsia"/>
          <w:b/>
        </w:rPr>
        <w:t xml:space="preserve">6.1.6 </w:t>
      </w:r>
      <w:r>
        <w:rPr>
          <w:rFonts w:hint="eastAsia"/>
        </w:rPr>
        <w:t>预制构件运输企业在装车时应使用适当的起重设备和工具。摆放预制构件时应使用不易滑动的垫块作为支垫，如木板或橡胶，支垫应上下对齐，并按照构件的最有利受力方式进行摆放。预制构件接触位置应有防护措施，在必要的情况下，应采取加固措施，以确保预制构件在运输过程中稳定且安全。</w:t>
      </w:r>
    </w:p>
    <w:p>
      <w:pPr>
        <w:pStyle w:val="3"/>
        <w:spacing w:before="312" w:after="312"/>
      </w:pPr>
      <w:bookmarkStart w:id="283" w:name="_Toc19946"/>
      <w:bookmarkStart w:id="284" w:name="_Toc31746"/>
      <w:bookmarkStart w:id="285" w:name="_Toc26005"/>
      <w:bookmarkStart w:id="286" w:name="_Toc21565"/>
      <w:bookmarkStart w:id="287" w:name="_Toc6562"/>
      <w:bookmarkStart w:id="288" w:name="_Toc20752"/>
      <w:bookmarkStart w:id="289" w:name="_Toc25926"/>
      <w:bookmarkStart w:id="290" w:name="_Toc7946"/>
      <w:bookmarkStart w:id="291" w:name="_Toc13865"/>
      <w:bookmarkStart w:id="292" w:name="_Toc23252"/>
      <w:bookmarkStart w:id="293" w:name="_Toc9855"/>
      <w:bookmarkStart w:id="294" w:name="_Toc664"/>
      <w:bookmarkStart w:id="295" w:name="_Toc9297"/>
      <w:bookmarkStart w:id="296" w:name="_Toc1530"/>
      <w:bookmarkStart w:id="297" w:name="_Toc32070"/>
      <w:bookmarkStart w:id="298" w:name="_Toc19275"/>
      <w:r>
        <w:rPr>
          <w:rFonts w:hint="eastAsia"/>
        </w:rPr>
        <w:t>6.2 道路运输质量管理</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pStyle w:val="20"/>
      </w:pPr>
      <w:r>
        <w:rPr>
          <w:rFonts w:hint="eastAsia"/>
          <w:b/>
        </w:rPr>
        <w:t xml:space="preserve">6.2.1 </w:t>
      </w:r>
      <w:r>
        <w:rPr>
          <w:rFonts w:hint="eastAsia"/>
        </w:rPr>
        <w:t>预制构件运输企业应选择平坦、少颠簸的运输路线，运输过程中应遵守道路交通规则，特别注意在转弯等情况下应控制车速。</w:t>
      </w:r>
    </w:p>
    <w:p>
      <w:pPr>
        <w:pStyle w:val="20"/>
      </w:pPr>
      <w:r>
        <w:rPr>
          <w:rFonts w:hint="eastAsia"/>
          <w:b/>
        </w:rPr>
        <w:t xml:space="preserve">6.2.2 </w:t>
      </w:r>
      <w:r>
        <w:rPr>
          <w:rFonts w:hint="eastAsia"/>
        </w:rPr>
        <w:t>预制构件运输企业在进入工地之前，应提前对运输路线进行勘察，特别是关注非硬化和坑洼路面的情况，以避免可能引发的构件损坏或质量问题。</w:t>
      </w:r>
    </w:p>
    <w:p>
      <w:pPr>
        <w:pStyle w:val="3"/>
        <w:spacing w:before="312" w:after="312"/>
      </w:pPr>
      <w:bookmarkStart w:id="299" w:name="_Toc2598"/>
      <w:bookmarkStart w:id="300" w:name="_Toc16796"/>
      <w:bookmarkStart w:id="301" w:name="_Toc21726"/>
      <w:bookmarkStart w:id="302" w:name="_Toc5026"/>
      <w:bookmarkStart w:id="303" w:name="_Toc12326"/>
      <w:bookmarkStart w:id="304" w:name="_Toc156"/>
      <w:bookmarkStart w:id="305" w:name="_Toc29675"/>
      <w:bookmarkStart w:id="306" w:name="_Toc22731"/>
      <w:bookmarkStart w:id="307" w:name="_Toc24963"/>
      <w:bookmarkStart w:id="308" w:name="_Toc28254"/>
      <w:bookmarkStart w:id="309" w:name="_Toc21990"/>
      <w:bookmarkStart w:id="310" w:name="_Toc21317"/>
      <w:bookmarkStart w:id="311" w:name="_Toc11272"/>
      <w:bookmarkStart w:id="312" w:name="_Toc2710"/>
      <w:bookmarkStart w:id="313" w:name="_Toc20626"/>
      <w:bookmarkStart w:id="314" w:name="_Toc18192"/>
      <w:r>
        <w:rPr>
          <w:rFonts w:hint="eastAsia"/>
        </w:rPr>
        <w:t>6.3 卸车质量管理</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pStyle w:val="20"/>
      </w:pPr>
      <w:r>
        <w:rPr>
          <w:rFonts w:hint="eastAsia"/>
          <w:b/>
        </w:rPr>
        <w:t xml:space="preserve">6.3.1 </w:t>
      </w:r>
      <w:r>
        <w:rPr>
          <w:rFonts w:hint="eastAsia"/>
        </w:rPr>
        <w:t>在预制构件运输到目的地并进行卸车之前，预制构件交接双方应核对运输单，确保构件的型号和数量与运输单一致。</w:t>
      </w:r>
    </w:p>
    <w:p>
      <w:pPr>
        <w:pStyle w:val="20"/>
      </w:pPr>
      <w:r>
        <w:rPr>
          <w:rFonts w:hint="eastAsia"/>
          <w:b/>
        </w:rPr>
        <w:t xml:space="preserve">6.3.2 </w:t>
      </w:r>
      <w:r>
        <w:rPr>
          <w:rFonts w:hint="eastAsia"/>
        </w:rPr>
        <w:t>预制构件接收方应使用适当的起重设备和工具，通过拆解和解绑操作，按合理卸车顺序卸下预制构件。</w:t>
      </w:r>
    </w:p>
    <w:p>
      <w:pPr>
        <w:pStyle w:val="20"/>
      </w:pPr>
      <w:r>
        <w:rPr>
          <w:rFonts w:hint="eastAsia"/>
          <w:b/>
        </w:rPr>
        <w:t xml:space="preserve">6.3.3 </w:t>
      </w:r>
      <w:r>
        <w:rPr>
          <w:rFonts w:hint="eastAsia"/>
        </w:rPr>
        <w:t>卸车完成后，预制构件交接双方共同确认卸货状态和构件质量状态，然后由接收方将预制构件存放于安全地点。</w:t>
      </w:r>
    </w:p>
    <w:p>
      <w:pPr>
        <w:rPr>
          <w:sz w:val="22"/>
          <w:szCs w:val="22"/>
        </w:rPr>
      </w:pPr>
      <w:r>
        <w:rPr>
          <w:sz w:val="22"/>
          <w:szCs w:val="22"/>
        </w:rPr>
        <w:br w:type="page"/>
      </w:r>
    </w:p>
    <w:p>
      <w:pPr>
        <w:pStyle w:val="2"/>
        <w:spacing w:before="312" w:after="312"/>
      </w:pPr>
      <w:bookmarkStart w:id="315" w:name="_Toc32284"/>
      <w:bookmarkStart w:id="316" w:name="_Toc23789"/>
      <w:bookmarkStart w:id="317" w:name="_Toc23613"/>
      <w:bookmarkStart w:id="318" w:name="_Toc13216"/>
      <w:bookmarkStart w:id="319" w:name="_Toc9618"/>
      <w:bookmarkStart w:id="320" w:name="_Toc2601"/>
      <w:bookmarkStart w:id="321" w:name="_Toc19206"/>
      <w:bookmarkStart w:id="322" w:name="_Toc9467"/>
      <w:bookmarkStart w:id="323" w:name="_Toc95"/>
      <w:bookmarkStart w:id="324" w:name="_Toc27991"/>
      <w:bookmarkStart w:id="325" w:name="_Toc10325"/>
      <w:bookmarkStart w:id="326" w:name="_Toc22143"/>
      <w:bookmarkStart w:id="327" w:name="_Toc26424"/>
      <w:bookmarkStart w:id="328" w:name="_Toc4818"/>
      <w:bookmarkStart w:id="329" w:name="_Toc32505"/>
      <w:bookmarkStart w:id="330" w:name="_Toc5167"/>
      <w:r>
        <w:rPr>
          <w:rFonts w:hint="eastAsia"/>
        </w:rPr>
        <w:t>7 安装质量管理</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3"/>
        <w:spacing w:before="312" w:after="312"/>
      </w:pPr>
      <w:bookmarkStart w:id="331" w:name="_Toc25983"/>
      <w:bookmarkStart w:id="332" w:name="_Toc30445"/>
      <w:bookmarkStart w:id="333" w:name="_Toc9103"/>
      <w:bookmarkStart w:id="334" w:name="_Toc28275"/>
      <w:bookmarkStart w:id="335" w:name="_Toc27181"/>
      <w:bookmarkStart w:id="336" w:name="_Toc14653"/>
      <w:bookmarkStart w:id="337" w:name="_Toc10208"/>
      <w:bookmarkStart w:id="338" w:name="_Toc16698"/>
      <w:bookmarkStart w:id="339" w:name="_Toc16356"/>
      <w:bookmarkStart w:id="340" w:name="_Toc10286"/>
      <w:bookmarkStart w:id="341" w:name="_Toc27560"/>
      <w:bookmarkStart w:id="342" w:name="_Toc13762"/>
      <w:bookmarkStart w:id="343" w:name="_Toc22890"/>
      <w:bookmarkStart w:id="344" w:name="_Toc16374"/>
      <w:bookmarkStart w:id="345" w:name="_Toc99"/>
      <w:bookmarkStart w:id="346" w:name="_Toc23049"/>
      <w:r>
        <w:rPr>
          <w:rFonts w:hint="eastAsia"/>
        </w:rPr>
        <w:t xml:space="preserve">7.1 </w:t>
      </w:r>
      <w:bookmarkEnd w:id="331"/>
      <w:bookmarkEnd w:id="332"/>
      <w:bookmarkEnd w:id="333"/>
      <w:bookmarkEnd w:id="334"/>
      <w:bookmarkEnd w:id="335"/>
      <w:bookmarkEnd w:id="336"/>
      <w:bookmarkEnd w:id="337"/>
      <w:bookmarkEnd w:id="338"/>
      <w:bookmarkEnd w:id="339"/>
      <w:bookmarkEnd w:id="340"/>
      <w:bookmarkEnd w:id="341"/>
      <w:r>
        <w:rPr>
          <w:rFonts w:hint="eastAsia"/>
        </w:rPr>
        <w:t>安装技术准备</w:t>
      </w:r>
      <w:bookmarkEnd w:id="342"/>
      <w:bookmarkEnd w:id="343"/>
      <w:bookmarkEnd w:id="344"/>
      <w:bookmarkEnd w:id="345"/>
      <w:bookmarkEnd w:id="346"/>
    </w:p>
    <w:p>
      <w:pPr>
        <w:pStyle w:val="21"/>
      </w:pPr>
      <w:r>
        <w:rPr>
          <w:rFonts w:hint="eastAsia"/>
          <w:b/>
          <w:bCs/>
        </w:rPr>
        <w:t xml:space="preserve">7.1.1 </w:t>
      </w:r>
      <w:r>
        <w:rPr>
          <w:rFonts w:hint="eastAsia"/>
        </w:rPr>
        <w:t>施工企业应安排有经验的工程技术人员参与深化设计，及时将与构件安装条件、工艺、质量控制有关的信息反馈给深化设计单位。</w:t>
      </w:r>
    </w:p>
    <w:p>
      <w:pPr>
        <w:pStyle w:val="20"/>
      </w:pPr>
      <w:r>
        <w:rPr>
          <w:rFonts w:hint="eastAsia"/>
          <w:b/>
          <w:bCs/>
        </w:rPr>
        <w:t xml:space="preserve">7.1.2 </w:t>
      </w:r>
      <w:r>
        <w:rPr>
          <w:rFonts w:hint="eastAsia"/>
        </w:rPr>
        <w:t>施工企业应根据项目特点和现场实际情况制定专项吊装方案，并应通过建设单位、监理单位审批。</w:t>
      </w:r>
    </w:p>
    <w:p>
      <w:pPr>
        <w:pStyle w:val="21"/>
      </w:pPr>
      <w:r>
        <w:rPr>
          <w:rFonts w:hint="eastAsia"/>
          <w:b/>
          <w:bCs/>
        </w:rPr>
        <w:t>7.1.3</w:t>
      </w:r>
      <w:r>
        <w:rPr>
          <w:rFonts w:hint="eastAsia"/>
        </w:rPr>
        <w:t xml:space="preserve"> 施工企业应在构件安装前对安装人员和现场管理人员进行设计文件交底和吊装方案交底。安装前应熟悉设计图纸和安装顺序，掌握安装相关技术要求及细部做法。</w:t>
      </w:r>
    </w:p>
    <w:p>
      <w:pPr>
        <w:pStyle w:val="21"/>
      </w:pPr>
      <w:r>
        <w:rPr>
          <w:rFonts w:hint="eastAsia"/>
          <w:b/>
          <w:bCs/>
        </w:rPr>
        <w:t>7.1.4</w:t>
      </w:r>
      <w:r>
        <w:rPr>
          <w:rFonts w:hint="eastAsia"/>
        </w:rPr>
        <w:t xml:space="preserve"> 施工企业在接到设计变更后，应及时将变更文件下发至安装人员，并做好设计变更交底工作。</w:t>
      </w:r>
    </w:p>
    <w:p>
      <w:pPr>
        <w:pStyle w:val="21"/>
      </w:pPr>
      <w:r>
        <w:rPr>
          <w:rFonts w:hint="eastAsia"/>
          <w:b/>
          <w:bCs/>
        </w:rPr>
        <w:t xml:space="preserve">7.1.5 </w:t>
      </w:r>
      <w:r>
        <w:rPr>
          <w:rFonts w:hint="eastAsia"/>
        </w:rPr>
        <w:t>施工企业应明确装配式建筑施工详图、变更资料、联系函件等资料的管理部门和人员，做好文件的及时更新和收发工作。</w:t>
      </w:r>
    </w:p>
    <w:p>
      <w:pPr>
        <w:pStyle w:val="3"/>
        <w:spacing w:before="312" w:after="312"/>
      </w:pPr>
      <w:bookmarkStart w:id="347" w:name="_Toc22750"/>
      <w:bookmarkStart w:id="348" w:name="_Toc21160"/>
      <w:bookmarkStart w:id="349" w:name="_Toc1727"/>
      <w:bookmarkStart w:id="350" w:name="_Toc22800"/>
      <w:bookmarkStart w:id="351" w:name="_Toc30190"/>
      <w:bookmarkStart w:id="352" w:name="_Toc10522"/>
      <w:bookmarkStart w:id="353" w:name="_Toc25886"/>
      <w:bookmarkStart w:id="354" w:name="_Toc513"/>
      <w:bookmarkStart w:id="355" w:name="_Toc8956"/>
      <w:bookmarkStart w:id="356" w:name="_Toc20207"/>
      <w:bookmarkStart w:id="357" w:name="_Toc989"/>
      <w:bookmarkStart w:id="358" w:name="_Toc14810"/>
      <w:bookmarkStart w:id="359" w:name="_Toc17498"/>
      <w:r>
        <w:rPr>
          <w:rFonts w:hint="eastAsia"/>
        </w:rPr>
        <w:t>7.2 安装工具和设备管理</w:t>
      </w:r>
      <w:bookmarkEnd w:id="347"/>
      <w:bookmarkEnd w:id="348"/>
      <w:bookmarkEnd w:id="349"/>
      <w:bookmarkEnd w:id="350"/>
      <w:bookmarkEnd w:id="351"/>
      <w:bookmarkEnd w:id="352"/>
      <w:bookmarkEnd w:id="353"/>
      <w:bookmarkEnd w:id="354"/>
      <w:bookmarkEnd w:id="355"/>
      <w:bookmarkEnd w:id="356"/>
      <w:bookmarkEnd w:id="357"/>
      <w:bookmarkEnd w:id="358"/>
      <w:bookmarkEnd w:id="359"/>
    </w:p>
    <w:p>
      <w:pPr>
        <w:pStyle w:val="20"/>
      </w:pPr>
      <w:r>
        <w:rPr>
          <w:rFonts w:hint="eastAsia"/>
          <w:b/>
          <w:bCs/>
        </w:rPr>
        <w:t xml:space="preserve">7.2.1 </w:t>
      </w:r>
      <w:r>
        <w:rPr>
          <w:rFonts w:hint="eastAsia"/>
        </w:rPr>
        <w:t>施工企业应对安装所需的工具、工装和设备等进行提前计划，并组织工具和设备使用交底。</w:t>
      </w:r>
    </w:p>
    <w:p>
      <w:pPr>
        <w:pStyle w:val="20"/>
      </w:pPr>
      <w:r>
        <w:rPr>
          <w:rFonts w:hint="eastAsia"/>
          <w:b/>
          <w:bCs/>
        </w:rPr>
        <w:t>7.2.2</w:t>
      </w:r>
      <w:r>
        <w:rPr>
          <w:rFonts w:hint="eastAsia"/>
        </w:rPr>
        <w:t xml:space="preserve"> 施工企业应对到场的工具进行验收，并应符合现行国家有关标准及产品应用技术手册的有关规定，在使用前进行必要的施工验算。</w:t>
      </w:r>
    </w:p>
    <w:p>
      <w:pPr>
        <w:pStyle w:val="20"/>
      </w:pPr>
      <w:r>
        <w:rPr>
          <w:rFonts w:hint="eastAsia"/>
          <w:b/>
          <w:bCs/>
        </w:rPr>
        <w:t>7.2.3</w:t>
      </w:r>
      <w:r>
        <w:rPr>
          <w:rFonts w:hint="eastAsia"/>
        </w:rPr>
        <w:t xml:space="preserve"> 预制构件安装前，应确认工具、工装和设备等符合设计和吊装方案要求，尤其针对特殊安装工况，如最大、最重、最远、最高等极端情况下的预制构件吊装，应进行工具和设备校核。</w:t>
      </w:r>
    </w:p>
    <w:p>
      <w:pPr>
        <w:pStyle w:val="20"/>
      </w:pPr>
      <w:r>
        <w:rPr>
          <w:rFonts w:hint="eastAsia"/>
          <w:b/>
          <w:bCs/>
        </w:rPr>
        <w:t>7.2.4</w:t>
      </w:r>
      <w:r>
        <w:rPr>
          <w:rFonts w:hint="eastAsia"/>
        </w:rPr>
        <w:t xml:space="preserve"> 预制构件安装工具和设备，宜具备对预制构件精确就位的微调功能。不适宜的工具和设备应及时更换。</w:t>
      </w:r>
    </w:p>
    <w:p>
      <w:pPr>
        <w:pStyle w:val="3"/>
        <w:spacing w:before="312" w:after="312"/>
      </w:pPr>
      <w:bookmarkStart w:id="360" w:name="_Toc7937"/>
      <w:bookmarkStart w:id="361" w:name="_Toc11473"/>
      <w:bookmarkStart w:id="362" w:name="_Toc22889"/>
      <w:bookmarkStart w:id="363" w:name="_Toc14937"/>
      <w:bookmarkStart w:id="364" w:name="_Toc27843"/>
      <w:bookmarkStart w:id="365" w:name="_Toc25878"/>
      <w:bookmarkStart w:id="366" w:name="_Toc7498"/>
      <w:bookmarkStart w:id="367" w:name="_Toc17164"/>
      <w:bookmarkStart w:id="368" w:name="_Toc19470"/>
      <w:bookmarkStart w:id="369" w:name="_Toc21921"/>
      <w:bookmarkStart w:id="370" w:name="_Toc3860"/>
      <w:bookmarkStart w:id="371" w:name="_Toc3603"/>
      <w:bookmarkStart w:id="372" w:name="_Toc28131"/>
      <w:r>
        <w:rPr>
          <w:rFonts w:hint="eastAsia"/>
        </w:rPr>
        <w:t>7.3 物资质量管理</w:t>
      </w:r>
      <w:bookmarkEnd w:id="360"/>
      <w:bookmarkEnd w:id="361"/>
      <w:bookmarkEnd w:id="362"/>
      <w:bookmarkEnd w:id="363"/>
      <w:bookmarkEnd w:id="364"/>
      <w:bookmarkEnd w:id="365"/>
      <w:bookmarkEnd w:id="366"/>
      <w:bookmarkEnd w:id="367"/>
      <w:bookmarkEnd w:id="368"/>
      <w:bookmarkEnd w:id="369"/>
      <w:bookmarkEnd w:id="370"/>
      <w:bookmarkEnd w:id="371"/>
      <w:bookmarkEnd w:id="372"/>
    </w:p>
    <w:p>
      <w:pPr>
        <w:pStyle w:val="20"/>
      </w:pPr>
      <w:r>
        <w:rPr>
          <w:rFonts w:hint="eastAsia"/>
          <w:b/>
          <w:bCs/>
        </w:rPr>
        <w:t>7.3.1</w:t>
      </w:r>
      <w:r>
        <w:rPr>
          <w:rFonts w:hint="eastAsia"/>
        </w:rPr>
        <w:t xml:space="preserve"> 在构件安装前，施工企业应根据安装需求编制物资质量管理计划，并根据实际安装进度情况进行更新。</w:t>
      </w:r>
    </w:p>
    <w:p>
      <w:pPr>
        <w:pStyle w:val="20"/>
      </w:pPr>
      <w:r>
        <w:rPr>
          <w:rFonts w:hint="eastAsia"/>
          <w:b/>
          <w:bCs/>
        </w:rPr>
        <w:t>7.3.2</w:t>
      </w:r>
      <w:r>
        <w:rPr>
          <w:rFonts w:hint="eastAsia"/>
        </w:rPr>
        <w:t xml:space="preserve"> 施工企业应组织人员对进场的预制构件、灌浆料、零星物资、辅助材料等物资进行验收，建立计量与质量验收相关台账记录。验收内容应包括物资名称、规格型号、尺寸、外观、数量、质量证明文件、检测报告等。</w:t>
      </w:r>
    </w:p>
    <w:p>
      <w:pPr>
        <w:pStyle w:val="20"/>
      </w:pPr>
      <w:r>
        <w:rPr>
          <w:rFonts w:hint="eastAsia"/>
          <w:b/>
          <w:bCs/>
        </w:rPr>
        <w:t xml:space="preserve">7.3.3 </w:t>
      </w:r>
      <w:r>
        <w:rPr>
          <w:rFonts w:hint="eastAsia"/>
        </w:rPr>
        <w:t>施工企业应按照施工方案的要求储存合理数量的物资，储存的位置及场地应满足该物资的储存要求。</w:t>
      </w:r>
    </w:p>
    <w:p>
      <w:pPr>
        <w:pStyle w:val="20"/>
      </w:pPr>
      <w:r>
        <w:rPr>
          <w:rFonts w:hint="eastAsia"/>
          <w:b/>
          <w:bCs/>
        </w:rPr>
        <w:t xml:space="preserve">7.3.4 </w:t>
      </w:r>
      <w:r>
        <w:rPr>
          <w:rFonts w:hint="eastAsia"/>
        </w:rPr>
        <w:t>施工企业应组织人员对不合格物资进行评审、处置并记录。对不合格的物资应拒绝入库，并做好明显标识。</w:t>
      </w:r>
    </w:p>
    <w:p>
      <w:pPr>
        <w:pStyle w:val="20"/>
      </w:pPr>
      <w:r>
        <w:rPr>
          <w:rFonts w:hint="eastAsia"/>
          <w:b/>
          <w:bCs/>
        </w:rPr>
        <w:t>7.3.5</w:t>
      </w:r>
      <w:r>
        <w:rPr>
          <w:rFonts w:hint="eastAsia"/>
        </w:rPr>
        <w:t xml:space="preserve"> 施工企业应建立物资入库、出库与退回制度，对物资入库、出库及退回建立相关台账记录。</w:t>
      </w:r>
    </w:p>
    <w:p>
      <w:pPr>
        <w:pStyle w:val="3"/>
        <w:spacing w:before="312" w:after="312"/>
      </w:pPr>
      <w:bookmarkStart w:id="373" w:name="_Toc29783"/>
      <w:bookmarkStart w:id="374" w:name="_Toc12700"/>
      <w:bookmarkStart w:id="375" w:name="_Toc7512"/>
      <w:bookmarkStart w:id="376" w:name="_Toc8933"/>
      <w:bookmarkStart w:id="377" w:name="_Toc2847"/>
      <w:bookmarkStart w:id="378" w:name="_Toc2642"/>
      <w:bookmarkStart w:id="379" w:name="_Toc10257"/>
      <w:bookmarkStart w:id="380" w:name="_Toc28861"/>
      <w:bookmarkStart w:id="381" w:name="_Toc23855"/>
      <w:bookmarkStart w:id="382" w:name="_Toc2273"/>
      <w:bookmarkStart w:id="383" w:name="_Toc23551"/>
      <w:bookmarkStart w:id="384" w:name="_Toc4434"/>
      <w:bookmarkStart w:id="385" w:name="_Toc27220"/>
      <w:r>
        <w:rPr>
          <w:rFonts w:hint="eastAsia"/>
        </w:rPr>
        <w:t>7.4 临时存放管理</w:t>
      </w:r>
      <w:bookmarkEnd w:id="373"/>
      <w:bookmarkEnd w:id="374"/>
      <w:bookmarkEnd w:id="375"/>
      <w:bookmarkEnd w:id="376"/>
      <w:bookmarkEnd w:id="377"/>
      <w:bookmarkEnd w:id="378"/>
      <w:bookmarkEnd w:id="379"/>
      <w:bookmarkEnd w:id="380"/>
      <w:bookmarkEnd w:id="381"/>
      <w:bookmarkEnd w:id="382"/>
      <w:bookmarkEnd w:id="383"/>
      <w:bookmarkEnd w:id="384"/>
      <w:bookmarkEnd w:id="385"/>
    </w:p>
    <w:p>
      <w:pPr>
        <w:pStyle w:val="20"/>
      </w:pPr>
      <w:r>
        <w:rPr>
          <w:rFonts w:hint="eastAsia"/>
          <w:b/>
          <w:bCs/>
        </w:rPr>
        <w:t>7.4.1</w:t>
      </w:r>
      <w:r>
        <w:rPr>
          <w:rFonts w:hint="eastAsia"/>
        </w:rPr>
        <w:t xml:space="preserve"> 预制构件需在施工现场临时存放时，应放置在坚实平整的地面上，并应按照构件类型分类合理存放。</w:t>
      </w:r>
    </w:p>
    <w:p>
      <w:pPr>
        <w:pStyle w:val="20"/>
      </w:pPr>
      <w:r>
        <w:rPr>
          <w:rFonts w:hint="eastAsia"/>
          <w:b/>
          <w:bCs/>
        </w:rPr>
        <w:t xml:space="preserve">7.4.2 </w:t>
      </w:r>
      <w:r>
        <w:rPr>
          <w:rFonts w:hint="eastAsia"/>
        </w:rPr>
        <w:t>施工企业应做好预制构件的成品保护工作，必要时可要求预制构件生产企业给安装人员提供关于构件存放的技术指导。</w:t>
      </w:r>
    </w:p>
    <w:p>
      <w:pPr>
        <w:pStyle w:val="3"/>
        <w:spacing w:before="312" w:after="312"/>
      </w:pPr>
      <w:bookmarkStart w:id="386" w:name="_Toc7447"/>
      <w:bookmarkStart w:id="387" w:name="_Toc18488"/>
      <w:bookmarkStart w:id="388" w:name="_Toc3972"/>
      <w:bookmarkStart w:id="389" w:name="_Toc9770"/>
      <w:bookmarkStart w:id="390" w:name="_Toc21661"/>
      <w:bookmarkStart w:id="391" w:name="_Toc23936"/>
      <w:bookmarkStart w:id="392" w:name="_Toc30952"/>
      <w:bookmarkStart w:id="393" w:name="_Toc2365"/>
      <w:bookmarkStart w:id="394" w:name="_Toc25407"/>
      <w:bookmarkStart w:id="395" w:name="_Toc30831"/>
      <w:bookmarkStart w:id="396" w:name="_Toc4685"/>
      <w:bookmarkStart w:id="397" w:name="_Toc16443"/>
      <w:bookmarkStart w:id="398" w:name="_Toc16947"/>
      <w:r>
        <w:rPr>
          <w:rFonts w:hint="eastAsia"/>
        </w:rPr>
        <w:t>7.5 安装作业质量管理</w:t>
      </w:r>
      <w:bookmarkEnd w:id="386"/>
      <w:bookmarkEnd w:id="387"/>
      <w:bookmarkEnd w:id="388"/>
      <w:bookmarkEnd w:id="389"/>
      <w:bookmarkEnd w:id="390"/>
      <w:bookmarkEnd w:id="391"/>
      <w:bookmarkEnd w:id="392"/>
      <w:bookmarkEnd w:id="393"/>
      <w:bookmarkEnd w:id="394"/>
      <w:bookmarkEnd w:id="395"/>
      <w:bookmarkEnd w:id="396"/>
      <w:bookmarkEnd w:id="397"/>
      <w:bookmarkEnd w:id="398"/>
    </w:p>
    <w:p>
      <w:pPr>
        <w:pStyle w:val="20"/>
      </w:pPr>
      <w:r>
        <w:rPr>
          <w:rFonts w:hint="eastAsia"/>
          <w:b/>
          <w:bCs/>
        </w:rPr>
        <w:t>7.5.1</w:t>
      </w:r>
      <w:r>
        <w:rPr>
          <w:rFonts w:hint="eastAsia"/>
        </w:rPr>
        <w:t xml:space="preserve"> 施工企业应根据装配式混凝土建筑工程特点配置组织机构和人员，安装人员应具备岗位所需的基础知识和技能。</w:t>
      </w:r>
    </w:p>
    <w:p>
      <w:pPr>
        <w:pStyle w:val="20"/>
      </w:pPr>
      <w:r>
        <w:rPr>
          <w:rFonts w:hint="eastAsia"/>
          <w:b/>
          <w:bCs/>
        </w:rPr>
        <w:t xml:space="preserve">7.5.2 </w:t>
      </w:r>
      <w:r>
        <w:rPr>
          <w:rFonts w:hint="eastAsia"/>
        </w:rPr>
        <w:t>施工企业应在安装前对安装人员和项目管理人员进行质量安全技术交底。</w:t>
      </w:r>
    </w:p>
    <w:p>
      <w:pPr>
        <w:pStyle w:val="20"/>
      </w:pPr>
      <w:r>
        <w:rPr>
          <w:rFonts w:hint="eastAsia"/>
          <w:b/>
          <w:bCs/>
        </w:rPr>
        <w:t xml:space="preserve">7.5.3 </w:t>
      </w:r>
      <w:r>
        <w:rPr>
          <w:rFonts w:hint="eastAsia"/>
        </w:rPr>
        <w:t>安装前，应进行测量放线、设置构件安装定位标识。</w:t>
      </w:r>
    </w:p>
    <w:p>
      <w:pPr>
        <w:pStyle w:val="20"/>
      </w:pPr>
      <w:r>
        <w:rPr>
          <w:rFonts w:hint="eastAsia"/>
          <w:b/>
          <w:bCs/>
        </w:rPr>
        <w:t>7.5.4</w:t>
      </w:r>
      <w:r>
        <w:rPr>
          <w:rFonts w:hint="eastAsia"/>
        </w:rPr>
        <w:t xml:space="preserve"> 安装前，应核对已施工完成结构、基础的外观质量和尺寸偏差，确认混凝土强度和预留预埋符合设计要求。</w:t>
      </w:r>
    </w:p>
    <w:p>
      <w:pPr>
        <w:pStyle w:val="20"/>
      </w:pPr>
      <w:r>
        <w:rPr>
          <w:rFonts w:hint="eastAsia"/>
          <w:b/>
          <w:bCs/>
        </w:rPr>
        <w:t xml:space="preserve">7.5.5 </w:t>
      </w:r>
      <w:r>
        <w:rPr>
          <w:rFonts w:hint="eastAsia"/>
        </w:rPr>
        <w:t>安装前，应确认预制构件的混凝土强度及预制构件和配件的型号、规格、数量等符合设计要求。</w:t>
      </w:r>
    </w:p>
    <w:p>
      <w:pPr>
        <w:pStyle w:val="20"/>
      </w:pPr>
      <w:r>
        <w:rPr>
          <w:rFonts w:hint="eastAsia"/>
          <w:b/>
          <w:bCs/>
        </w:rPr>
        <w:t>7.5.6</w:t>
      </w:r>
      <w:r>
        <w:rPr>
          <w:rFonts w:hint="eastAsia"/>
        </w:rPr>
        <w:t xml:space="preserve"> 安装前，应检查吊装设备和吊索具处于安全操作状态，现场环境、天气等满足吊装要求。</w:t>
      </w:r>
    </w:p>
    <w:p>
      <w:pPr>
        <w:pStyle w:val="20"/>
      </w:pPr>
      <w:r>
        <w:rPr>
          <w:rFonts w:hint="eastAsia"/>
          <w:b/>
          <w:bCs/>
        </w:rPr>
        <w:t>7.5.7</w:t>
      </w:r>
      <w:r>
        <w:rPr>
          <w:rFonts w:hint="eastAsia"/>
        </w:rPr>
        <w:t xml:space="preserve"> 涉及下列类型的预制构件吊装时，施工单位应单独向监理申请《吊装令》（《吊装令》示例可参照附录A），经核验批准后方可吊装作业：</w:t>
      </w:r>
    </w:p>
    <w:p>
      <w:pPr>
        <w:pStyle w:val="20"/>
        <w:ind w:firstLine="481" w:firstLineChars="200"/>
      </w:pPr>
      <w:r>
        <w:rPr>
          <w:rFonts w:hint="eastAsia"/>
          <w:b/>
          <w:bCs/>
        </w:rPr>
        <w:t>1</w:t>
      </w:r>
      <w:r>
        <w:rPr>
          <w:rFonts w:hint="eastAsia"/>
        </w:rPr>
        <w:t xml:space="preserve"> 单个预制构件重量超过20t。</w:t>
      </w:r>
    </w:p>
    <w:p>
      <w:pPr>
        <w:pStyle w:val="20"/>
        <w:ind w:firstLine="481" w:firstLineChars="200"/>
      </w:pPr>
      <w:r>
        <w:rPr>
          <w:rFonts w:hint="eastAsia"/>
          <w:b/>
          <w:bCs/>
        </w:rPr>
        <w:t>2</w:t>
      </w:r>
      <w:r>
        <w:rPr>
          <w:rFonts w:hint="eastAsia"/>
        </w:rPr>
        <w:t xml:space="preserve"> 单个预制构件某一方向最大尺寸超过15m。</w:t>
      </w:r>
    </w:p>
    <w:p>
      <w:pPr>
        <w:pStyle w:val="20"/>
        <w:ind w:firstLine="481" w:firstLineChars="200"/>
      </w:pPr>
      <w:r>
        <w:rPr>
          <w:rFonts w:hint="eastAsia"/>
          <w:b/>
          <w:bCs/>
        </w:rPr>
        <w:t>3</w:t>
      </w:r>
      <w:r>
        <w:rPr>
          <w:rFonts w:hint="eastAsia"/>
        </w:rPr>
        <w:t xml:space="preserve"> 三维立体构件首次吊装。</w:t>
      </w:r>
    </w:p>
    <w:p>
      <w:pPr>
        <w:pStyle w:val="20"/>
        <w:ind w:firstLine="481" w:firstLineChars="200"/>
      </w:pPr>
      <w:r>
        <w:rPr>
          <w:rFonts w:hint="eastAsia"/>
          <w:b/>
          <w:bCs/>
        </w:rPr>
        <w:t>4</w:t>
      </w:r>
      <w:r>
        <w:rPr>
          <w:rFonts w:hint="eastAsia"/>
        </w:rPr>
        <w:t xml:space="preserve"> 需要两台及以上设备协作吊装的预制构件。</w:t>
      </w:r>
    </w:p>
    <w:p>
      <w:pPr>
        <w:pStyle w:val="20"/>
        <w:ind w:firstLine="481" w:firstLineChars="200"/>
      </w:pPr>
      <w:r>
        <w:rPr>
          <w:rFonts w:hint="eastAsia"/>
          <w:b/>
          <w:bCs/>
        </w:rPr>
        <w:t>5</w:t>
      </w:r>
      <w:r>
        <w:rPr>
          <w:rFonts w:hint="eastAsia"/>
        </w:rPr>
        <w:t xml:space="preserve"> 安装高度超过100m的预制构件。</w:t>
      </w:r>
    </w:p>
    <w:p>
      <w:pPr>
        <w:pStyle w:val="20"/>
      </w:pPr>
      <w:r>
        <w:rPr>
          <w:rFonts w:hint="eastAsia"/>
          <w:b/>
          <w:bCs/>
        </w:rPr>
        <w:t xml:space="preserve">7.5.8 </w:t>
      </w:r>
      <w:r>
        <w:rPr>
          <w:rFonts w:hint="eastAsia"/>
        </w:rPr>
        <w:t>预制构件应按照事先编好的吊装顺序进行起吊安装，吊装过程中宜设置缆风绳控制构件转动。</w:t>
      </w:r>
    </w:p>
    <w:p>
      <w:pPr>
        <w:pStyle w:val="20"/>
      </w:pPr>
      <w:r>
        <w:rPr>
          <w:rFonts w:hint="eastAsia"/>
          <w:b/>
          <w:bCs/>
        </w:rPr>
        <w:t>7.5.9</w:t>
      </w:r>
      <w:r>
        <w:rPr>
          <w:rFonts w:hint="eastAsia"/>
        </w:rPr>
        <w:t xml:space="preserve"> 构件吊装就位后，应及时做好临时固定措施。临时固定措施、临时支撑系统应具有足够的强度、刚度和整体稳定性，应按现行国家标准《混凝土结构工程施工规范》GB 50666的有关规定进行验算。</w:t>
      </w:r>
    </w:p>
    <w:p>
      <w:pPr>
        <w:pStyle w:val="20"/>
      </w:pPr>
      <w:r>
        <w:rPr>
          <w:rFonts w:hint="eastAsia"/>
          <w:b/>
          <w:bCs/>
        </w:rPr>
        <w:t>7.5.10</w:t>
      </w:r>
      <w:r>
        <w:rPr>
          <w:rFonts w:hint="eastAsia"/>
        </w:rPr>
        <w:t xml:space="preserve"> 预制构件安装就位后，施工企业应按施工详图及现行标准要求进行构件连接所需的模板拼装、钢筋绑扎、预应力张拉及钢筋套筒灌浆连接、混凝土浇筑等作业。</w:t>
      </w:r>
    </w:p>
    <w:p>
      <w:pPr>
        <w:pStyle w:val="20"/>
      </w:pPr>
      <w:r>
        <w:rPr>
          <w:rFonts w:hint="eastAsia"/>
          <w:b/>
          <w:bCs/>
        </w:rPr>
        <w:t>7.5.11</w:t>
      </w:r>
      <w:r>
        <w:rPr>
          <w:rFonts w:hint="eastAsia"/>
        </w:rPr>
        <w:t xml:space="preserve"> 首批预制构件安装前，应选择有代表性的单元进行预制构件试安装，并应根据试安装结果及时调整安装工艺、完善安装方案。首个标准层安装完成后，应对装配式标准层结构进行联合验收，并应根据验收结果及时调整施工工艺、完善施工方案。</w:t>
      </w:r>
    </w:p>
    <w:p>
      <w:pPr>
        <w:pStyle w:val="20"/>
      </w:pPr>
      <w:r>
        <w:rPr>
          <w:rFonts w:hint="eastAsia"/>
          <w:b/>
          <w:bCs/>
        </w:rPr>
        <w:t xml:space="preserve">7.5.12 </w:t>
      </w:r>
      <w:r>
        <w:rPr>
          <w:rFonts w:hint="eastAsia"/>
        </w:rPr>
        <w:t>施工企业应对潜在的缺陷或质量问题采取适宜的预防措施。对安装过程中发生的质量问题，应及时组织相关人员分析原因，并采取纠正措施。</w:t>
      </w:r>
    </w:p>
    <w:p>
      <w:pPr>
        <w:pStyle w:val="3"/>
        <w:spacing w:before="312" w:after="312"/>
      </w:pPr>
      <w:bookmarkStart w:id="399" w:name="_Toc21832"/>
      <w:bookmarkStart w:id="400" w:name="_Toc6669"/>
      <w:bookmarkStart w:id="401" w:name="_Toc24776"/>
      <w:bookmarkStart w:id="402" w:name="_Toc13645"/>
      <w:bookmarkStart w:id="403" w:name="_Toc6096"/>
      <w:bookmarkStart w:id="404" w:name="_Toc10691"/>
      <w:bookmarkStart w:id="405" w:name="_Toc5030"/>
      <w:bookmarkStart w:id="406" w:name="_Toc3883"/>
      <w:bookmarkStart w:id="407" w:name="_Toc16038"/>
      <w:bookmarkStart w:id="408" w:name="_Toc4822"/>
      <w:bookmarkStart w:id="409" w:name="_Toc22450"/>
      <w:bookmarkStart w:id="410" w:name="_Toc31535"/>
      <w:bookmarkStart w:id="411" w:name="_Toc9156"/>
      <w:r>
        <w:rPr>
          <w:rFonts w:hint="eastAsia"/>
        </w:rPr>
        <w:t>7.6 试验检验与验收管理</w:t>
      </w:r>
      <w:bookmarkEnd w:id="399"/>
      <w:bookmarkEnd w:id="400"/>
      <w:bookmarkEnd w:id="401"/>
      <w:bookmarkEnd w:id="402"/>
      <w:bookmarkEnd w:id="403"/>
      <w:bookmarkEnd w:id="404"/>
      <w:bookmarkEnd w:id="405"/>
      <w:bookmarkEnd w:id="406"/>
      <w:bookmarkEnd w:id="407"/>
      <w:bookmarkEnd w:id="408"/>
      <w:bookmarkEnd w:id="409"/>
      <w:bookmarkEnd w:id="410"/>
      <w:bookmarkEnd w:id="411"/>
    </w:p>
    <w:p>
      <w:pPr>
        <w:pStyle w:val="20"/>
      </w:pPr>
      <w:r>
        <w:rPr>
          <w:rFonts w:hint="eastAsia"/>
          <w:b/>
          <w:bCs/>
        </w:rPr>
        <w:t>7.6.1</w:t>
      </w:r>
      <w:r>
        <w:rPr>
          <w:rFonts w:hint="eastAsia"/>
        </w:rPr>
        <w:t xml:space="preserve"> 施工企业应建立完整的质量管理组织架构，并应配置与其安装施工规模、项目特点和质量管理要求相适应的质量检验人员，对预制构件的进场、安装质量等进行全过程质量管理。</w:t>
      </w:r>
    </w:p>
    <w:p>
      <w:pPr>
        <w:pStyle w:val="20"/>
      </w:pPr>
      <w:r>
        <w:rPr>
          <w:rFonts w:hint="eastAsia"/>
          <w:b/>
          <w:bCs/>
        </w:rPr>
        <w:t xml:space="preserve">7.6.2 </w:t>
      </w:r>
      <w:r>
        <w:rPr>
          <w:rFonts w:hint="eastAsia"/>
        </w:rPr>
        <w:t>预制构件进入施工现场时，施工企业应联合项目监理单位对预制构件进行进场检验并填写相关检验表格。预制构件生产企业应按进场批次同步提供预制构件产品合格证及其他质量证明文件。</w:t>
      </w:r>
    </w:p>
    <w:p>
      <w:pPr>
        <w:pStyle w:val="20"/>
      </w:pPr>
      <w:r>
        <w:rPr>
          <w:rFonts w:hint="eastAsia"/>
          <w:b/>
          <w:bCs/>
        </w:rPr>
        <w:t xml:space="preserve">7.6.3 </w:t>
      </w:r>
      <w:r>
        <w:rPr>
          <w:rFonts w:hint="eastAsia"/>
        </w:rPr>
        <w:t>预制构件安装工程应在安装施工及浇筑混凝土前完成隐蔽工程的验收。</w:t>
      </w:r>
    </w:p>
    <w:p>
      <w:pPr>
        <w:pStyle w:val="20"/>
      </w:pPr>
      <w:r>
        <w:rPr>
          <w:rFonts w:hint="eastAsia"/>
          <w:b/>
          <w:bCs/>
        </w:rPr>
        <w:t>7.6.4</w:t>
      </w:r>
      <w:r>
        <w:rPr>
          <w:rFonts w:hint="eastAsia"/>
        </w:rPr>
        <w:t xml:space="preserve"> 预制构件安装完成后出现的质量问题，如构件开裂、变形过大、接缝不齐等，施工单位应组织建设单位、构件生产单位、监理单位、设计单位共同参与验收， 并根据验收意见制定处置方案，报监理单位、设计单位或建设单位审批通过后实施。</w:t>
      </w:r>
    </w:p>
    <w:p>
      <w:pPr>
        <w:pStyle w:val="3"/>
        <w:spacing w:before="312" w:after="312"/>
      </w:pPr>
      <w:bookmarkStart w:id="412" w:name="_Toc12764"/>
      <w:bookmarkStart w:id="413" w:name="_Toc25243"/>
      <w:bookmarkStart w:id="414" w:name="_Toc694"/>
      <w:bookmarkStart w:id="415" w:name="_Toc9667"/>
      <w:bookmarkStart w:id="416" w:name="_Toc8365"/>
      <w:bookmarkStart w:id="417" w:name="_Toc20531"/>
      <w:bookmarkStart w:id="418" w:name="_Toc26444"/>
      <w:bookmarkStart w:id="419" w:name="_Toc19555"/>
      <w:bookmarkStart w:id="420" w:name="_Toc13429"/>
      <w:bookmarkStart w:id="421" w:name="_Toc7523"/>
      <w:bookmarkStart w:id="422" w:name="_Toc10638"/>
      <w:bookmarkStart w:id="423" w:name="_Toc13572"/>
      <w:bookmarkStart w:id="424" w:name="_Toc32280"/>
      <w:r>
        <w:rPr>
          <w:rFonts w:hint="eastAsia"/>
        </w:rPr>
        <w:t>7.7 不合格品管理</w:t>
      </w:r>
      <w:bookmarkEnd w:id="412"/>
      <w:bookmarkEnd w:id="413"/>
      <w:bookmarkEnd w:id="414"/>
      <w:bookmarkEnd w:id="415"/>
      <w:bookmarkEnd w:id="416"/>
      <w:bookmarkEnd w:id="417"/>
      <w:bookmarkEnd w:id="418"/>
      <w:bookmarkEnd w:id="419"/>
      <w:bookmarkEnd w:id="420"/>
      <w:bookmarkEnd w:id="421"/>
      <w:bookmarkEnd w:id="422"/>
      <w:bookmarkEnd w:id="423"/>
      <w:bookmarkEnd w:id="424"/>
    </w:p>
    <w:p>
      <w:pPr>
        <w:pStyle w:val="20"/>
      </w:pPr>
      <w:r>
        <w:rPr>
          <w:rFonts w:hint="eastAsia"/>
          <w:b/>
          <w:bCs/>
        </w:rPr>
        <w:t xml:space="preserve">7.7.1 </w:t>
      </w:r>
      <w:r>
        <w:rPr>
          <w:rFonts w:hint="eastAsia"/>
        </w:rPr>
        <w:t>对于验收过程中出现的质量不合格、规格型号不符、资料不齐全的构件，不应验收入库。</w:t>
      </w:r>
    </w:p>
    <w:p>
      <w:pPr>
        <w:pStyle w:val="20"/>
      </w:pPr>
      <w:r>
        <w:rPr>
          <w:rFonts w:hint="eastAsia"/>
          <w:b/>
          <w:bCs/>
        </w:rPr>
        <w:t>7.7.2</w:t>
      </w:r>
      <w:r>
        <w:rPr>
          <w:rFonts w:hint="eastAsia"/>
        </w:rPr>
        <w:t xml:space="preserve"> 对于不影响结构性能和安装、使用功能的不合格构件，经设计单位书面认可，修复处理后能满足设计要求的，经建设、监理单位同意，可以让步接收。</w:t>
      </w:r>
    </w:p>
    <w:p>
      <w:pPr>
        <w:pStyle w:val="20"/>
      </w:pPr>
      <w:r>
        <w:rPr>
          <w:rFonts w:hint="eastAsia"/>
          <w:b/>
          <w:bCs/>
        </w:rPr>
        <w:t>7.7.3</w:t>
      </w:r>
      <w:r>
        <w:rPr>
          <w:rFonts w:hint="eastAsia"/>
        </w:rPr>
        <w:t xml:space="preserve"> 对于验收过程中存在严重缺陷的不合格构件，经判定影响结构性能且修补后有重大质量安全隐患的构件应报废处理或退回生产厂家处理，生产厂家应做好处理记录，并应溯源各环节，分析原因，改进并提高质量管理水平。</w:t>
      </w:r>
    </w:p>
    <w:p>
      <w:pPr>
        <w:pStyle w:val="3"/>
        <w:spacing w:before="312" w:after="312"/>
      </w:pPr>
      <w:bookmarkStart w:id="425" w:name="_Toc32426"/>
      <w:bookmarkStart w:id="426" w:name="_Toc5508"/>
      <w:bookmarkStart w:id="427" w:name="_Toc23673"/>
      <w:bookmarkStart w:id="428" w:name="_Toc50"/>
      <w:bookmarkStart w:id="429" w:name="_Toc15235"/>
      <w:bookmarkStart w:id="430" w:name="_Toc2391"/>
      <w:bookmarkStart w:id="431" w:name="_Toc11735"/>
      <w:bookmarkStart w:id="432" w:name="_Toc24073"/>
      <w:bookmarkStart w:id="433" w:name="_Toc19289"/>
      <w:bookmarkStart w:id="434" w:name="_Toc17801"/>
      <w:bookmarkStart w:id="435" w:name="_Toc30580"/>
      <w:bookmarkStart w:id="436" w:name="_Toc25291"/>
      <w:bookmarkStart w:id="437" w:name="_Toc24047"/>
      <w:r>
        <w:rPr>
          <w:rFonts w:hint="eastAsia"/>
        </w:rPr>
        <w:t>7.8 质量分析和持续改进</w:t>
      </w:r>
      <w:bookmarkEnd w:id="425"/>
      <w:bookmarkEnd w:id="426"/>
      <w:bookmarkEnd w:id="427"/>
      <w:bookmarkEnd w:id="428"/>
      <w:bookmarkEnd w:id="429"/>
      <w:bookmarkEnd w:id="430"/>
      <w:bookmarkEnd w:id="431"/>
      <w:bookmarkEnd w:id="432"/>
      <w:bookmarkEnd w:id="433"/>
      <w:bookmarkEnd w:id="434"/>
      <w:bookmarkEnd w:id="435"/>
      <w:bookmarkEnd w:id="436"/>
      <w:bookmarkEnd w:id="437"/>
    </w:p>
    <w:p>
      <w:pPr>
        <w:pStyle w:val="20"/>
      </w:pPr>
      <w:r>
        <w:rPr>
          <w:rFonts w:hint="eastAsia"/>
          <w:b/>
          <w:bCs/>
        </w:rPr>
        <w:t>7.8.1</w:t>
      </w:r>
      <w:r>
        <w:rPr>
          <w:rFonts w:hint="eastAsia"/>
        </w:rPr>
        <w:t xml:space="preserve"> 施工企业应定期进行质量分析，正确评价安装过程中的质量控制和质量保证能力。</w:t>
      </w:r>
    </w:p>
    <w:p>
      <w:pPr>
        <w:pStyle w:val="20"/>
      </w:pPr>
      <w:r>
        <w:rPr>
          <w:rFonts w:hint="eastAsia"/>
          <w:b/>
          <w:bCs/>
        </w:rPr>
        <w:t>7.8.2</w:t>
      </w:r>
      <w:r>
        <w:rPr>
          <w:rFonts w:hint="eastAsia"/>
        </w:rPr>
        <w:t xml:space="preserve"> 施工企业应在质量分析的基础上，积极采取措施，持续改进，提高质量管理水平和质量保证能力，不断提高安装质量。</w:t>
      </w:r>
    </w:p>
    <w:p>
      <w:pPr>
        <w:pStyle w:val="20"/>
      </w:pPr>
      <w:r>
        <w:rPr>
          <w:rFonts w:hint="eastAsia"/>
          <w:b/>
          <w:bCs/>
        </w:rPr>
        <w:t xml:space="preserve">7.8.3 </w:t>
      </w:r>
      <w:r>
        <w:rPr>
          <w:rFonts w:hint="eastAsia"/>
        </w:rPr>
        <w:t>施工企业在预制混凝土构件安装的各个关键环节应建立质量控制与追溯机制，运用信息化技术进行质量管理。</w:t>
      </w:r>
    </w:p>
    <w:p>
      <w:pPr>
        <w:spacing w:line="360" w:lineRule="auto"/>
      </w:pPr>
    </w:p>
    <w:p>
      <w:pPr>
        <w:rPr>
          <w:sz w:val="22"/>
          <w:szCs w:val="22"/>
        </w:rPr>
      </w:pPr>
      <w:r>
        <w:rPr>
          <w:sz w:val="22"/>
          <w:szCs w:val="22"/>
        </w:rPr>
        <w:br w:type="page"/>
      </w:r>
    </w:p>
    <w:p>
      <w:pPr>
        <w:pStyle w:val="2"/>
        <w:spacing w:before="312" w:after="312"/>
      </w:pPr>
      <w:bookmarkStart w:id="438" w:name="_Toc509"/>
      <w:bookmarkStart w:id="439" w:name="_Toc20270"/>
      <w:bookmarkStart w:id="440" w:name="_Toc23818"/>
      <w:bookmarkStart w:id="441" w:name="_Toc11980"/>
      <w:bookmarkStart w:id="442" w:name="_Toc12633"/>
      <w:bookmarkStart w:id="443" w:name="_Toc7826"/>
      <w:bookmarkStart w:id="444" w:name="_Toc8652"/>
      <w:bookmarkStart w:id="445" w:name="_Toc30897"/>
      <w:bookmarkStart w:id="446" w:name="_Toc11087"/>
      <w:bookmarkStart w:id="447" w:name="_Toc15400"/>
      <w:bookmarkStart w:id="448" w:name="_Toc27826"/>
      <w:bookmarkStart w:id="449" w:name="_Toc18999"/>
      <w:bookmarkStart w:id="450" w:name="_Toc16368"/>
      <w:bookmarkStart w:id="451" w:name="_Toc27211"/>
      <w:bookmarkStart w:id="452" w:name="_Toc2056"/>
      <w:bookmarkStart w:id="453" w:name="_Toc30189"/>
      <w:r>
        <w:rPr>
          <w:rFonts w:hint="eastAsia"/>
        </w:rPr>
        <w:t>8 质量追溯性管理</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pStyle w:val="3"/>
        <w:spacing w:before="312" w:after="312"/>
      </w:pPr>
      <w:bookmarkStart w:id="454" w:name="_Toc29555"/>
      <w:bookmarkStart w:id="455" w:name="_Toc27094"/>
      <w:bookmarkStart w:id="456" w:name="_Toc17960"/>
      <w:bookmarkStart w:id="457" w:name="_Toc18238"/>
      <w:bookmarkStart w:id="458" w:name="_Toc10227"/>
      <w:bookmarkStart w:id="459" w:name="_Toc28518"/>
      <w:bookmarkStart w:id="460" w:name="_Toc11792"/>
      <w:bookmarkStart w:id="461" w:name="_Toc623"/>
      <w:bookmarkStart w:id="462" w:name="_Toc31209"/>
      <w:bookmarkStart w:id="463" w:name="_Toc7829"/>
      <w:bookmarkStart w:id="464" w:name="_Toc4620"/>
      <w:bookmarkStart w:id="465" w:name="_Toc5125"/>
      <w:bookmarkStart w:id="466" w:name="_Toc12937"/>
      <w:bookmarkStart w:id="467" w:name="_Toc15580"/>
      <w:bookmarkStart w:id="468" w:name="_Toc32323"/>
      <w:bookmarkStart w:id="469" w:name="_Toc8382"/>
      <w:r>
        <w:rPr>
          <w:rFonts w:hint="eastAsia"/>
        </w:rPr>
        <w:t>8.1 资料管理</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Style w:val="20"/>
      </w:pPr>
      <w:r>
        <w:rPr>
          <w:rFonts w:hint="eastAsia"/>
          <w:b/>
        </w:rPr>
        <w:t xml:space="preserve">8.1.1 </w:t>
      </w:r>
      <w:r>
        <w:rPr>
          <w:rFonts w:hint="eastAsia"/>
        </w:rPr>
        <w:t>预制构件在生产、安装过程中形成的记录资料和质量证明文件应进行分级分类管理。预制构件生产企业负责形成、保存与生产有关的记录资料和质量证明文件；预制构件安装或施工企业负责形成、保存与施工有关的记录资料和质量证明文件；建设单位及其委托的第三方监理单位负责形成、保存监督管理过程中与质量有关的记录资料和质量证明文件。</w:t>
      </w:r>
    </w:p>
    <w:p>
      <w:pPr>
        <w:pStyle w:val="20"/>
      </w:pPr>
      <w:r>
        <w:rPr>
          <w:rFonts w:hint="eastAsia"/>
          <w:b/>
          <w:bCs/>
        </w:rPr>
        <w:t xml:space="preserve">8.1.2 </w:t>
      </w:r>
      <w:r>
        <w:rPr>
          <w:rFonts w:hint="eastAsia"/>
        </w:rPr>
        <w:t>预制构件的生产记录资料和质量证明文件应与预制构件生产同步形成、收集和整理，应包括以下内容：</w:t>
      </w:r>
    </w:p>
    <w:p>
      <w:pPr>
        <w:pStyle w:val="22"/>
        <w:ind w:firstLine="482"/>
      </w:pPr>
      <w:r>
        <w:rPr>
          <w:rFonts w:hint="eastAsia"/>
          <w:b/>
          <w:bCs/>
        </w:rPr>
        <w:t>1</w:t>
      </w:r>
      <w:r>
        <w:rPr>
          <w:rFonts w:hint="eastAsia"/>
        </w:rPr>
        <w:t xml:space="preserve"> </w:t>
      </w:r>
      <w:r>
        <w:t>预制构件</w:t>
      </w:r>
      <w:r>
        <w:rPr>
          <w:rFonts w:hint="eastAsia"/>
        </w:rPr>
        <w:t>生产供应合同</w:t>
      </w:r>
    </w:p>
    <w:p>
      <w:pPr>
        <w:pStyle w:val="22"/>
        <w:ind w:firstLine="482"/>
      </w:pPr>
      <w:r>
        <w:rPr>
          <w:rFonts w:hint="eastAsia"/>
          <w:b/>
          <w:bCs/>
        </w:rPr>
        <w:t>2</w:t>
      </w:r>
      <w:r>
        <w:rPr>
          <w:rFonts w:hint="eastAsia"/>
        </w:rPr>
        <w:t xml:space="preserve"> </w:t>
      </w:r>
      <w:r>
        <w:t>预制构件</w:t>
      </w:r>
      <w:r>
        <w:rPr>
          <w:rFonts w:hint="eastAsia"/>
        </w:rPr>
        <w:t>深化设计</w:t>
      </w:r>
      <w:r>
        <w:t>、设计洽商、变更或交底文件</w:t>
      </w:r>
    </w:p>
    <w:p>
      <w:pPr>
        <w:pStyle w:val="22"/>
        <w:ind w:firstLine="482"/>
      </w:pPr>
      <w:r>
        <w:rPr>
          <w:rFonts w:hint="eastAsia"/>
          <w:b/>
          <w:bCs/>
        </w:rPr>
        <w:t>3</w:t>
      </w:r>
      <w:r>
        <w:rPr>
          <w:rFonts w:hint="eastAsia"/>
        </w:rPr>
        <w:t xml:space="preserve"> </w:t>
      </w:r>
      <w:r>
        <w:t>生产方案和质量计划等文件</w:t>
      </w:r>
    </w:p>
    <w:p>
      <w:pPr>
        <w:pStyle w:val="22"/>
        <w:ind w:firstLine="482"/>
      </w:pPr>
      <w:r>
        <w:rPr>
          <w:rFonts w:hint="eastAsia"/>
          <w:b/>
          <w:bCs/>
        </w:rPr>
        <w:t>4</w:t>
      </w:r>
      <w:r>
        <w:rPr>
          <w:rFonts w:hint="eastAsia"/>
        </w:rPr>
        <w:t xml:space="preserve"> </w:t>
      </w:r>
      <w:r>
        <w:t>原材料质量证明文件</w:t>
      </w:r>
    </w:p>
    <w:p>
      <w:pPr>
        <w:pStyle w:val="22"/>
        <w:ind w:firstLine="482"/>
      </w:pPr>
      <w:r>
        <w:rPr>
          <w:rFonts w:hint="eastAsia"/>
          <w:b/>
          <w:bCs/>
        </w:rPr>
        <w:t>5</w:t>
      </w:r>
      <w:r>
        <w:rPr>
          <w:rFonts w:hint="eastAsia"/>
        </w:rPr>
        <w:t xml:space="preserve"> 原材料</w:t>
      </w:r>
      <w:r>
        <w:t>复试</w:t>
      </w:r>
      <w:r>
        <w:rPr>
          <w:rFonts w:hint="eastAsia"/>
        </w:rPr>
        <w:t>报告及</w:t>
      </w:r>
      <w:r>
        <w:t>试验</w:t>
      </w:r>
      <w:r>
        <w:rPr>
          <w:rFonts w:hint="eastAsia"/>
        </w:rPr>
        <w:t>记录</w:t>
      </w:r>
    </w:p>
    <w:p>
      <w:pPr>
        <w:pStyle w:val="22"/>
        <w:ind w:firstLine="482"/>
      </w:pPr>
      <w:r>
        <w:rPr>
          <w:rFonts w:hint="eastAsia"/>
          <w:b/>
          <w:bCs/>
        </w:rPr>
        <w:t>6</w:t>
      </w:r>
      <w:r>
        <w:rPr>
          <w:rFonts w:hint="eastAsia"/>
        </w:rPr>
        <w:t xml:space="preserve"> </w:t>
      </w:r>
      <w:r>
        <w:t>混凝土试配资料</w:t>
      </w:r>
    </w:p>
    <w:p>
      <w:pPr>
        <w:pStyle w:val="22"/>
        <w:ind w:firstLine="482"/>
      </w:pPr>
      <w:r>
        <w:rPr>
          <w:rFonts w:hint="eastAsia"/>
          <w:b/>
          <w:bCs/>
        </w:rPr>
        <w:t>7</w:t>
      </w:r>
      <w:r>
        <w:rPr>
          <w:rFonts w:hint="eastAsia"/>
        </w:rPr>
        <w:t xml:space="preserve"> </w:t>
      </w:r>
      <w:r>
        <w:t>混凝土开盘鉴定</w:t>
      </w:r>
    </w:p>
    <w:p>
      <w:pPr>
        <w:pStyle w:val="22"/>
        <w:ind w:firstLine="482"/>
      </w:pPr>
      <w:r>
        <w:rPr>
          <w:rFonts w:hint="eastAsia"/>
          <w:b/>
          <w:bCs/>
        </w:rPr>
        <w:t>8</w:t>
      </w:r>
      <w:r>
        <w:rPr>
          <w:rFonts w:hint="eastAsia"/>
        </w:rPr>
        <w:t xml:space="preserve"> </w:t>
      </w:r>
      <w:r>
        <w:t>混凝土浇筑记录</w:t>
      </w:r>
    </w:p>
    <w:p>
      <w:pPr>
        <w:pStyle w:val="22"/>
        <w:ind w:firstLine="482"/>
      </w:pPr>
      <w:r>
        <w:rPr>
          <w:rFonts w:hint="eastAsia"/>
          <w:b/>
          <w:bCs/>
        </w:rPr>
        <w:t>9</w:t>
      </w:r>
      <w:r>
        <w:rPr>
          <w:rFonts w:hint="eastAsia"/>
        </w:rPr>
        <w:t xml:space="preserve"> </w:t>
      </w:r>
      <w:r>
        <w:t>混凝土养护记录</w:t>
      </w:r>
    </w:p>
    <w:p>
      <w:pPr>
        <w:pStyle w:val="22"/>
        <w:ind w:firstLine="482"/>
      </w:pPr>
      <w:r>
        <w:rPr>
          <w:rFonts w:hint="eastAsia"/>
          <w:b/>
          <w:bCs/>
        </w:rPr>
        <w:t>10</w:t>
      </w:r>
      <w:r>
        <w:rPr>
          <w:rFonts w:hint="eastAsia"/>
        </w:rPr>
        <w:t xml:space="preserve"> 混凝土强度检验报告</w:t>
      </w:r>
    </w:p>
    <w:p>
      <w:pPr>
        <w:pStyle w:val="22"/>
        <w:ind w:firstLine="482"/>
      </w:pPr>
      <w:r>
        <w:rPr>
          <w:rFonts w:hint="eastAsia"/>
          <w:b/>
          <w:bCs/>
        </w:rPr>
        <w:t>11</w:t>
      </w:r>
      <w:r>
        <w:rPr>
          <w:rFonts w:hint="eastAsia"/>
        </w:rPr>
        <w:t xml:space="preserve"> </w:t>
      </w:r>
      <w:r>
        <w:t>钢筋焊接</w:t>
      </w:r>
      <w:r>
        <w:rPr>
          <w:rFonts w:hint="eastAsia"/>
        </w:rPr>
        <w:t>、</w:t>
      </w:r>
      <w:r>
        <w:t>机械</w:t>
      </w:r>
      <w:r>
        <w:rPr>
          <w:rFonts w:hint="eastAsia"/>
        </w:rPr>
        <w:t>连接</w:t>
      </w:r>
      <w:r>
        <w:t>接头、</w:t>
      </w:r>
      <w:r>
        <w:rPr>
          <w:rFonts w:hint="eastAsia"/>
        </w:rPr>
        <w:t>连接套筒的</w:t>
      </w:r>
      <w:r>
        <w:t>工艺试验和强度试验</w:t>
      </w:r>
      <w:r>
        <w:rPr>
          <w:rFonts w:hint="eastAsia"/>
        </w:rPr>
        <w:t>报告</w:t>
      </w:r>
    </w:p>
    <w:p>
      <w:pPr>
        <w:pStyle w:val="22"/>
        <w:ind w:firstLine="482"/>
      </w:pPr>
      <w:r>
        <w:rPr>
          <w:rFonts w:hint="eastAsia"/>
          <w:b/>
          <w:bCs/>
        </w:rPr>
        <w:t>12</w:t>
      </w:r>
      <w:r>
        <w:rPr>
          <w:rFonts w:hint="eastAsia"/>
        </w:rPr>
        <w:t xml:space="preserve"> 预应力检测和隐蔽验收记录</w:t>
      </w:r>
    </w:p>
    <w:p>
      <w:pPr>
        <w:pStyle w:val="22"/>
        <w:ind w:firstLine="482"/>
      </w:pPr>
      <w:r>
        <w:rPr>
          <w:rFonts w:hint="eastAsia"/>
          <w:b/>
          <w:bCs/>
        </w:rPr>
        <w:t xml:space="preserve">13 </w:t>
      </w:r>
      <w:r>
        <w:t>模具检验</w:t>
      </w:r>
      <w:r>
        <w:rPr>
          <w:rFonts w:hint="eastAsia"/>
        </w:rPr>
        <w:t>记录</w:t>
      </w:r>
    </w:p>
    <w:p>
      <w:pPr>
        <w:pStyle w:val="22"/>
        <w:ind w:firstLine="482"/>
      </w:pPr>
      <w:r>
        <w:rPr>
          <w:rFonts w:hint="eastAsia"/>
          <w:b/>
          <w:bCs/>
        </w:rPr>
        <w:t>14</w:t>
      </w:r>
      <w:r>
        <w:rPr>
          <w:rFonts w:hint="eastAsia"/>
        </w:rPr>
        <w:t xml:space="preserve"> </w:t>
      </w:r>
      <w:r>
        <w:t>预应力施工记录</w:t>
      </w:r>
    </w:p>
    <w:p>
      <w:pPr>
        <w:pStyle w:val="22"/>
        <w:ind w:firstLine="482"/>
      </w:pPr>
      <w:r>
        <w:rPr>
          <w:b/>
          <w:bCs/>
        </w:rPr>
        <w:t>1</w:t>
      </w:r>
      <w:r>
        <w:rPr>
          <w:rFonts w:hint="eastAsia"/>
          <w:b/>
          <w:bCs/>
        </w:rPr>
        <w:t>5</w:t>
      </w:r>
      <w:r>
        <w:rPr>
          <w:rFonts w:hint="eastAsia"/>
        </w:rPr>
        <w:t xml:space="preserve"> </w:t>
      </w:r>
      <w:r>
        <w:t>构件检验记录</w:t>
      </w:r>
    </w:p>
    <w:p>
      <w:pPr>
        <w:pStyle w:val="22"/>
        <w:ind w:firstLine="482"/>
      </w:pPr>
      <w:r>
        <w:rPr>
          <w:rFonts w:hint="eastAsia"/>
          <w:b/>
          <w:bCs/>
        </w:rPr>
        <w:t xml:space="preserve">16 </w:t>
      </w:r>
      <w:r>
        <w:t>质量事故分析和处理资料</w:t>
      </w:r>
    </w:p>
    <w:p>
      <w:pPr>
        <w:pStyle w:val="22"/>
        <w:ind w:firstLine="482"/>
      </w:pPr>
      <w:r>
        <w:rPr>
          <w:rFonts w:hint="eastAsia"/>
          <w:b/>
          <w:bCs/>
        </w:rPr>
        <w:t>17</w:t>
      </w:r>
      <w:r>
        <w:rPr>
          <w:rFonts w:hint="eastAsia"/>
        </w:rPr>
        <w:t xml:space="preserve"> 相关材料和试件的抽样、见证取样记录</w:t>
      </w:r>
    </w:p>
    <w:p>
      <w:pPr>
        <w:pStyle w:val="22"/>
        <w:ind w:firstLine="482"/>
      </w:pPr>
      <w:r>
        <w:rPr>
          <w:rFonts w:hint="eastAsia"/>
          <w:b/>
          <w:bCs/>
        </w:rPr>
        <w:t>18</w:t>
      </w:r>
      <w:r>
        <w:rPr>
          <w:rFonts w:hint="eastAsia"/>
        </w:rPr>
        <w:t xml:space="preserve"> </w:t>
      </w:r>
      <w:r>
        <w:t>其他与预制混凝土构件生产和质量有关的重要文件资料</w:t>
      </w:r>
    </w:p>
    <w:p>
      <w:pPr>
        <w:pStyle w:val="22"/>
        <w:ind w:firstLine="0" w:firstLineChars="0"/>
      </w:pPr>
      <w:r>
        <w:rPr>
          <w:rFonts w:hint="eastAsia"/>
          <w:b/>
          <w:bCs/>
        </w:rPr>
        <w:t xml:space="preserve">8.1.3 </w:t>
      </w:r>
      <w:r>
        <w:rPr>
          <w:rFonts w:hint="eastAsia"/>
        </w:rPr>
        <w:t>预制构件的施工记录资料和质量证明文件应与预制构件安装同步形成、收集和整理，应包括以下内容：</w:t>
      </w:r>
    </w:p>
    <w:p>
      <w:pPr>
        <w:pStyle w:val="22"/>
        <w:ind w:firstLine="482"/>
      </w:pPr>
      <w:r>
        <w:rPr>
          <w:rFonts w:hint="eastAsia"/>
          <w:b/>
          <w:bCs/>
        </w:rPr>
        <w:t>1</w:t>
      </w:r>
      <w:r>
        <w:rPr>
          <w:rFonts w:hint="eastAsia"/>
        </w:rPr>
        <w:t xml:space="preserve"> 预制构件首件验收记录表</w:t>
      </w:r>
    </w:p>
    <w:p>
      <w:pPr>
        <w:pStyle w:val="22"/>
        <w:ind w:firstLine="482"/>
      </w:pPr>
      <w:r>
        <w:rPr>
          <w:rFonts w:hint="eastAsia"/>
          <w:b/>
          <w:bCs/>
        </w:rPr>
        <w:t>2</w:t>
      </w:r>
      <w:r>
        <w:rPr>
          <w:rFonts w:hint="eastAsia"/>
        </w:rPr>
        <w:t xml:space="preserve"> 预制构件出厂合格证</w:t>
      </w:r>
    </w:p>
    <w:p>
      <w:pPr>
        <w:pStyle w:val="22"/>
        <w:ind w:firstLine="482"/>
      </w:pPr>
      <w:r>
        <w:rPr>
          <w:rFonts w:hint="eastAsia"/>
          <w:b/>
          <w:bCs/>
        </w:rPr>
        <w:t>3</w:t>
      </w:r>
      <w:r>
        <w:rPr>
          <w:rFonts w:hint="eastAsia"/>
        </w:rPr>
        <w:t xml:space="preserve"> 混凝土强度检验报告</w:t>
      </w:r>
    </w:p>
    <w:p>
      <w:pPr>
        <w:pStyle w:val="22"/>
        <w:ind w:firstLine="482"/>
      </w:pPr>
      <w:r>
        <w:rPr>
          <w:rFonts w:hint="eastAsia"/>
          <w:b/>
          <w:bCs/>
        </w:rPr>
        <w:t>4</w:t>
      </w:r>
      <w:r>
        <w:rPr>
          <w:rFonts w:hint="eastAsia"/>
        </w:rPr>
        <w:t xml:space="preserve"> 预制构件结构性能检验报告</w:t>
      </w:r>
    </w:p>
    <w:p>
      <w:pPr>
        <w:pStyle w:val="22"/>
        <w:ind w:firstLine="482"/>
      </w:pPr>
      <w:r>
        <w:rPr>
          <w:rFonts w:hint="eastAsia"/>
          <w:b/>
          <w:bCs/>
        </w:rPr>
        <w:t xml:space="preserve">5 </w:t>
      </w:r>
      <w:r>
        <w:rPr>
          <w:rFonts w:hint="eastAsia"/>
        </w:rPr>
        <w:t>相关工程材料的合格证及进场复检报告</w:t>
      </w:r>
    </w:p>
    <w:p>
      <w:pPr>
        <w:pStyle w:val="22"/>
        <w:ind w:firstLine="482"/>
      </w:pPr>
      <w:r>
        <w:rPr>
          <w:rFonts w:hint="eastAsia"/>
          <w:b/>
          <w:bCs/>
        </w:rPr>
        <w:t>6</w:t>
      </w:r>
      <w:r>
        <w:rPr>
          <w:rFonts w:hint="eastAsia"/>
        </w:rPr>
        <w:t xml:space="preserve"> 现场施工隐蔽工程验收记录</w:t>
      </w:r>
    </w:p>
    <w:p>
      <w:pPr>
        <w:pStyle w:val="22"/>
        <w:ind w:firstLine="482"/>
      </w:pPr>
      <w:r>
        <w:rPr>
          <w:rFonts w:hint="eastAsia"/>
          <w:b/>
          <w:bCs/>
        </w:rPr>
        <w:t>7</w:t>
      </w:r>
      <w:r>
        <w:rPr>
          <w:rFonts w:hint="eastAsia"/>
        </w:rPr>
        <w:t xml:space="preserve"> 钢筋套筒等其他构件钢筋连接类型的工艺检验报告</w:t>
      </w:r>
    </w:p>
    <w:p>
      <w:pPr>
        <w:pStyle w:val="22"/>
        <w:ind w:firstLine="482"/>
      </w:pPr>
      <w:r>
        <w:rPr>
          <w:rFonts w:hint="eastAsia"/>
          <w:b/>
          <w:bCs/>
        </w:rPr>
        <w:t>8</w:t>
      </w:r>
      <w:r>
        <w:rPr>
          <w:rFonts w:hint="eastAsia"/>
        </w:rPr>
        <w:t xml:space="preserve"> 合同、设计文件要求的其他质量证明文件</w:t>
      </w:r>
    </w:p>
    <w:p>
      <w:pPr>
        <w:pStyle w:val="22"/>
        <w:ind w:firstLine="0" w:firstLineChars="0"/>
      </w:pPr>
      <w:r>
        <w:rPr>
          <w:rFonts w:hint="eastAsia"/>
          <w:b/>
          <w:bCs/>
        </w:rPr>
        <w:t xml:space="preserve">8.1.4 </w:t>
      </w:r>
      <w:r>
        <w:rPr>
          <w:rFonts w:hint="eastAsia"/>
        </w:rPr>
        <w:t>预制构件的监督管理记录资料和质量证明文件应与预制构件生产、安装同步形成、收集和整理，应包括以下内容：</w:t>
      </w:r>
    </w:p>
    <w:p>
      <w:pPr>
        <w:pStyle w:val="22"/>
        <w:ind w:firstLine="482"/>
      </w:pPr>
      <w:r>
        <w:rPr>
          <w:rFonts w:hint="eastAsia"/>
          <w:b/>
          <w:bCs/>
        </w:rPr>
        <w:t>1</w:t>
      </w:r>
      <w:r>
        <w:rPr>
          <w:rFonts w:hint="eastAsia"/>
        </w:rPr>
        <w:t xml:space="preserve"> 见证取样和送检人员备案表</w:t>
      </w:r>
    </w:p>
    <w:p>
      <w:pPr>
        <w:pStyle w:val="22"/>
        <w:ind w:firstLine="482"/>
      </w:pPr>
      <w:r>
        <w:rPr>
          <w:rFonts w:hint="eastAsia"/>
          <w:b/>
          <w:bCs/>
        </w:rPr>
        <w:t>2</w:t>
      </w:r>
      <w:r>
        <w:rPr>
          <w:rFonts w:hint="eastAsia"/>
        </w:rPr>
        <w:t xml:space="preserve"> 见证记录</w:t>
      </w:r>
    </w:p>
    <w:p>
      <w:pPr>
        <w:pStyle w:val="22"/>
        <w:ind w:firstLine="482"/>
      </w:pPr>
      <w:r>
        <w:rPr>
          <w:rFonts w:hint="eastAsia"/>
          <w:b/>
          <w:bCs/>
        </w:rPr>
        <w:t>3</w:t>
      </w:r>
      <w:r>
        <w:rPr>
          <w:rFonts w:hint="eastAsia"/>
        </w:rPr>
        <w:t xml:space="preserve"> 旁站记录</w:t>
      </w:r>
    </w:p>
    <w:p>
      <w:pPr>
        <w:pStyle w:val="22"/>
        <w:ind w:firstLine="482"/>
      </w:pPr>
      <w:r>
        <w:rPr>
          <w:rFonts w:hint="eastAsia"/>
          <w:b/>
          <w:bCs/>
        </w:rPr>
        <w:t>4</w:t>
      </w:r>
      <w:r>
        <w:rPr>
          <w:rFonts w:hint="eastAsia"/>
        </w:rPr>
        <w:t xml:space="preserve"> 工程平行检验记录</w:t>
      </w:r>
    </w:p>
    <w:p>
      <w:pPr>
        <w:pStyle w:val="22"/>
        <w:ind w:firstLine="482"/>
      </w:pPr>
      <w:r>
        <w:rPr>
          <w:rFonts w:hint="eastAsia"/>
          <w:b/>
          <w:bCs/>
        </w:rPr>
        <w:t>5</w:t>
      </w:r>
      <w:r>
        <w:rPr>
          <w:rFonts w:hint="eastAsia"/>
        </w:rPr>
        <w:t xml:space="preserve"> 巡视记录</w:t>
      </w:r>
    </w:p>
    <w:p>
      <w:pPr>
        <w:pStyle w:val="22"/>
        <w:ind w:firstLine="482"/>
      </w:pPr>
      <w:r>
        <w:rPr>
          <w:rFonts w:hint="eastAsia"/>
          <w:b/>
          <w:bCs/>
        </w:rPr>
        <w:t>6</w:t>
      </w:r>
      <w:r>
        <w:rPr>
          <w:rFonts w:hint="eastAsia"/>
        </w:rPr>
        <w:t xml:space="preserve"> 事故报告及处理资料</w:t>
      </w:r>
    </w:p>
    <w:p>
      <w:pPr>
        <w:pStyle w:val="22"/>
        <w:ind w:firstLine="482"/>
      </w:pPr>
      <w:r>
        <w:rPr>
          <w:rFonts w:hint="eastAsia"/>
          <w:b/>
          <w:bCs/>
        </w:rPr>
        <w:t>7</w:t>
      </w:r>
      <w:r>
        <w:rPr>
          <w:rFonts w:hint="eastAsia"/>
        </w:rPr>
        <w:t xml:space="preserve"> 驻厂收集的其他重要资料</w:t>
      </w:r>
    </w:p>
    <w:p>
      <w:pPr>
        <w:pStyle w:val="20"/>
      </w:pPr>
      <w:r>
        <w:rPr>
          <w:rFonts w:hint="eastAsia"/>
          <w:b/>
        </w:rPr>
        <w:t xml:space="preserve">8.1.5 </w:t>
      </w:r>
      <w:r>
        <w:rPr>
          <w:rFonts w:hint="eastAsia"/>
        </w:rPr>
        <w:t>质量证明文件的原件或复印件应建立台账进行存档。存档复印件应加盖原件存放单位的公章，并有经办人签字和时间记录。</w:t>
      </w:r>
    </w:p>
    <w:p>
      <w:pPr>
        <w:pStyle w:val="20"/>
      </w:pPr>
      <w:r>
        <w:rPr>
          <w:rFonts w:hint="eastAsia"/>
          <w:b/>
          <w:bCs/>
        </w:rPr>
        <w:t>8.1.6</w:t>
      </w:r>
      <w:r>
        <w:rPr>
          <w:rFonts w:hint="eastAsia"/>
        </w:rPr>
        <w:t xml:space="preserve"> 质量证明文件除采用纸质方式存档外，还应采用电子文档方式存档。纸质方式存档期限不应少于5年。电子方式存档期限不应少于设计文件规定的工程合理使用年限。</w:t>
      </w:r>
    </w:p>
    <w:p>
      <w:pPr>
        <w:pStyle w:val="3"/>
        <w:spacing w:before="312" w:after="312"/>
      </w:pPr>
      <w:bookmarkStart w:id="470" w:name="_Toc6639"/>
      <w:bookmarkStart w:id="471" w:name="_Toc17850"/>
      <w:bookmarkStart w:id="472" w:name="_Toc21995"/>
      <w:bookmarkStart w:id="473" w:name="_Toc16281"/>
      <w:bookmarkStart w:id="474" w:name="_Toc9035"/>
      <w:bookmarkStart w:id="475" w:name="_Toc12674"/>
      <w:bookmarkStart w:id="476" w:name="_Toc28224"/>
      <w:bookmarkStart w:id="477" w:name="_Toc10225"/>
      <w:bookmarkStart w:id="478" w:name="_Toc29760"/>
      <w:bookmarkStart w:id="479" w:name="_Toc10652"/>
      <w:bookmarkStart w:id="480" w:name="_Toc7654"/>
      <w:bookmarkStart w:id="481" w:name="_Toc4916"/>
      <w:bookmarkStart w:id="482" w:name="_Toc31001"/>
      <w:bookmarkStart w:id="483" w:name="_Toc3069"/>
      <w:bookmarkStart w:id="484" w:name="_Toc17139"/>
      <w:bookmarkStart w:id="485" w:name="_Toc2256"/>
      <w:r>
        <w:rPr>
          <w:rFonts w:hint="eastAsia"/>
        </w:rPr>
        <w:t>8.2 标识管理</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pStyle w:val="20"/>
      </w:pPr>
      <w:r>
        <w:rPr>
          <w:rFonts w:hint="eastAsia"/>
          <w:b/>
        </w:rPr>
        <w:t xml:space="preserve">8.2.1 </w:t>
      </w:r>
      <w:r>
        <w:rPr>
          <w:rFonts w:hint="eastAsia"/>
        </w:rPr>
        <w:t>预制构件标识工作应贯穿设计、生产和安装全过程，预制构件标识应持久、清晰可辨。</w:t>
      </w:r>
    </w:p>
    <w:p>
      <w:pPr>
        <w:pStyle w:val="20"/>
      </w:pPr>
      <w:r>
        <w:rPr>
          <w:rFonts w:hint="eastAsia"/>
          <w:b/>
        </w:rPr>
        <w:t xml:space="preserve">8.2.2 </w:t>
      </w:r>
      <w:r>
        <w:rPr>
          <w:rFonts w:hint="eastAsia"/>
        </w:rPr>
        <w:t>预制构件在设计阶段的标识采用构件编号的方式，编号应包括</w:t>
      </w:r>
      <w:bookmarkStart w:id="486" w:name="_Hlk496767090"/>
      <w:r>
        <w:rPr>
          <w:rFonts w:hint="eastAsia"/>
        </w:rPr>
        <w:t>代号和序号</w:t>
      </w:r>
      <w:bookmarkEnd w:id="486"/>
      <w:r>
        <w:rPr>
          <w:rFonts w:hint="eastAsia"/>
        </w:rPr>
        <w:t>两部分。代号以预制混凝土构件类型的拼音首字母作为简写，宜简单明了、易于沟通。序号宜按照预制构件平面布置图以顺（逆）时针方向依次排序。遇镜像关系的两种构件，序号后应加“R”以示区别。常用预制混凝土构件代号举例如表8.2.2-1所示。模壳构件、空腔构件的代号见表8.2.2-2所示。</w:t>
      </w:r>
    </w:p>
    <w:p>
      <w:pPr>
        <w:pStyle w:val="23"/>
      </w:pPr>
      <w:r>
        <w:rPr>
          <w:rFonts w:hint="eastAsia"/>
        </w:rPr>
        <w:t>表8.2.2-1 常用预制混凝土构件代号</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1551"/>
        <w:gridCol w:w="2577"/>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预制构件类型</w:t>
            </w:r>
          </w:p>
        </w:tc>
        <w:tc>
          <w:tcPr>
            <w:tcW w:w="856" w:type="pct"/>
            <w:vAlign w:val="center"/>
          </w:tcPr>
          <w:p>
            <w:pPr>
              <w:pStyle w:val="23"/>
            </w:pPr>
            <w:r>
              <w:rPr>
                <w:rFonts w:hint="eastAsia"/>
              </w:rPr>
              <w:t>代号</w:t>
            </w:r>
          </w:p>
        </w:tc>
        <w:tc>
          <w:tcPr>
            <w:tcW w:w="1422" w:type="pct"/>
            <w:vAlign w:val="center"/>
          </w:tcPr>
          <w:p>
            <w:pPr>
              <w:pStyle w:val="23"/>
            </w:pPr>
            <w:r>
              <w:rPr>
                <w:rFonts w:hint="eastAsia"/>
              </w:rPr>
              <w:t>预制构件类型</w:t>
            </w:r>
          </w:p>
        </w:tc>
        <w:tc>
          <w:tcPr>
            <w:tcW w:w="873" w:type="pct"/>
            <w:vAlign w:val="center"/>
          </w:tcPr>
          <w:p>
            <w:pPr>
              <w:pStyle w:val="23"/>
            </w:pPr>
            <w:r>
              <w:rPr>
                <w:rFonts w:hint="eastAsia"/>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预制混凝土剪力墙外墙</w:t>
            </w:r>
          </w:p>
        </w:tc>
        <w:tc>
          <w:tcPr>
            <w:tcW w:w="856" w:type="pct"/>
            <w:vAlign w:val="center"/>
          </w:tcPr>
          <w:p>
            <w:pPr>
              <w:pStyle w:val="23"/>
            </w:pPr>
            <w:r>
              <w:rPr>
                <w:rFonts w:hint="eastAsia"/>
              </w:rPr>
              <w:t>YWQ</w:t>
            </w:r>
          </w:p>
        </w:tc>
        <w:tc>
          <w:tcPr>
            <w:tcW w:w="1422" w:type="pct"/>
            <w:vAlign w:val="center"/>
          </w:tcPr>
          <w:p>
            <w:pPr>
              <w:pStyle w:val="23"/>
            </w:pPr>
            <w:r>
              <w:rPr>
                <w:rFonts w:hint="eastAsia"/>
              </w:rPr>
              <w:t>预制柱</w:t>
            </w:r>
          </w:p>
        </w:tc>
        <w:tc>
          <w:tcPr>
            <w:tcW w:w="873" w:type="pct"/>
            <w:vAlign w:val="center"/>
          </w:tcPr>
          <w:p>
            <w:pPr>
              <w:pStyle w:val="23"/>
            </w:pPr>
            <w:r>
              <w:rPr>
                <w:rFonts w:hint="eastAsia"/>
              </w:rPr>
              <w:t>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预制混凝土剪力墙内墙</w:t>
            </w:r>
          </w:p>
        </w:tc>
        <w:tc>
          <w:tcPr>
            <w:tcW w:w="856" w:type="pct"/>
            <w:vAlign w:val="center"/>
          </w:tcPr>
          <w:p>
            <w:pPr>
              <w:pStyle w:val="23"/>
            </w:pPr>
            <w:r>
              <w:rPr>
                <w:rFonts w:hint="eastAsia"/>
              </w:rPr>
              <w:t>YNQ</w:t>
            </w:r>
          </w:p>
        </w:tc>
        <w:tc>
          <w:tcPr>
            <w:tcW w:w="1422" w:type="pct"/>
            <w:vAlign w:val="center"/>
          </w:tcPr>
          <w:p>
            <w:pPr>
              <w:pStyle w:val="23"/>
            </w:pPr>
            <w:r>
              <w:rPr>
                <w:rFonts w:hint="eastAsia"/>
              </w:rPr>
              <w:t>预制框架柱</w:t>
            </w:r>
          </w:p>
        </w:tc>
        <w:tc>
          <w:tcPr>
            <w:tcW w:w="873" w:type="pct"/>
            <w:vAlign w:val="center"/>
          </w:tcPr>
          <w:p>
            <w:pPr>
              <w:pStyle w:val="23"/>
            </w:pPr>
            <w:r>
              <w:rPr>
                <w:rFonts w:hint="eastAsia"/>
              </w:rPr>
              <w:t>YKZ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预制内隔墙</w:t>
            </w:r>
          </w:p>
        </w:tc>
        <w:tc>
          <w:tcPr>
            <w:tcW w:w="856" w:type="pct"/>
            <w:vAlign w:val="center"/>
          </w:tcPr>
          <w:p>
            <w:pPr>
              <w:pStyle w:val="23"/>
            </w:pPr>
            <w:r>
              <w:rPr>
                <w:rFonts w:hint="eastAsia"/>
              </w:rPr>
              <w:t>YGQ</w:t>
            </w:r>
          </w:p>
        </w:tc>
        <w:tc>
          <w:tcPr>
            <w:tcW w:w="1422" w:type="pct"/>
            <w:vAlign w:val="center"/>
          </w:tcPr>
          <w:p>
            <w:pPr>
              <w:pStyle w:val="23"/>
            </w:pPr>
            <w:r>
              <w:rPr>
                <w:rFonts w:hint="eastAsia"/>
              </w:rPr>
              <w:t>叠合楼面板</w:t>
            </w:r>
          </w:p>
        </w:tc>
        <w:tc>
          <w:tcPr>
            <w:tcW w:w="873" w:type="pct"/>
            <w:vAlign w:val="center"/>
          </w:tcPr>
          <w:p>
            <w:pPr>
              <w:pStyle w:val="23"/>
            </w:pPr>
            <w:r>
              <w:rPr>
                <w:rFonts w:hint="eastAsia"/>
              </w:rPr>
              <w:t>YDB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预制混凝土外墙挂板</w:t>
            </w:r>
          </w:p>
        </w:tc>
        <w:tc>
          <w:tcPr>
            <w:tcW w:w="856" w:type="pct"/>
            <w:vAlign w:val="center"/>
          </w:tcPr>
          <w:p>
            <w:pPr>
              <w:pStyle w:val="23"/>
            </w:pPr>
            <w:r>
              <w:rPr>
                <w:rFonts w:hint="eastAsia"/>
              </w:rPr>
              <w:t>YGB</w:t>
            </w:r>
          </w:p>
        </w:tc>
        <w:tc>
          <w:tcPr>
            <w:tcW w:w="1422" w:type="pct"/>
            <w:vAlign w:val="center"/>
          </w:tcPr>
          <w:p>
            <w:pPr>
              <w:pStyle w:val="23"/>
            </w:pPr>
            <w:r>
              <w:rPr>
                <w:rFonts w:hint="eastAsia"/>
              </w:rPr>
              <w:t>叠合屋面板</w:t>
            </w:r>
          </w:p>
        </w:tc>
        <w:tc>
          <w:tcPr>
            <w:tcW w:w="873" w:type="pct"/>
            <w:vAlign w:val="center"/>
          </w:tcPr>
          <w:p>
            <w:pPr>
              <w:pStyle w:val="23"/>
            </w:pPr>
            <w:r>
              <w:rPr>
                <w:rFonts w:hint="eastAsia"/>
              </w:rPr>
              <w:t>YWB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预制凸窗</w:t>
            </w:r>
          </w:p>
        </w:tc>
        <w:tc>
          <w:tcPr>
            <w:tcW w:w="856" w:type="pct"/>
            <w:vAlign w:val="center"/>
          </w:tcPr>
          <w:p>
            <w:pPr>
              <w:pStyle w:val="23"/>
            </w:pPr>
            <w:r>
              <w:rPr>
                <w:rFonts w:hint="eastAsia"/>
              </w:rPr>
              <w:t>YTC</w:t>
            </w:r>
          </w:p>
        </w:tc>
        <w:tc>
          <w:tcPr>
            <w:tcW w:w="1422" w:type="pct"/>
            <w:vAlign w:val="center"/>
          </w:tcPr>
          <w:p>
            <w:pPr>
              <w:pStyle w:val="23"/>
            </w:pPr>
            <w:r>
              <w:rPr>
                <w:rFonts w:hint="eastAsia"/>
              </w:rPr>
              <w:t>叠合悬挑板</w:t>
            </w:r>
          </w:p>
        </w:tc>
        <w:tc>
          <w:tcPr>
            <w:tcW w:w="873" w:type="pct"/>
            <w:vAlign w:val="center"/>
          </w:tcPr>
          <w:p>
            <w:pPr>
              <w:pStyle w:val="23"/>
            </w:pPr>
            <w:r>
              <w:rPr>
                <w:rFonts w:hint="eastAsia"/>
              </w:rPr>
              <w:t>YXB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预制叠合梁</w:t>
            </w:r>
          </w:p>
        </w:tc>
        <w:tc>
          <w:tcPr>
            <w:tcW w:w="856" w:type="pct"/>
            <w:vAlign w:val="center"/>
          </w:tcPr>
          <w:p>
            <w:pPr>
              <w:pStyle w:val="23"/>
            </w:pPr>
            <w:r>
              <w:rPr>
                <w:rFonts w:hint="eastAsia"/>
              </w:rPr>
              <w:t>YDL</w:t>
            </w:r>
          </w:p>
        </w:tc>
        <w:tc>
          <w:tcPr>
            <w:tcW w:w="1422" w:type="pct"/>
            <w:vAlign w:val="center"/>
          </w:tcPr>
          <w:p>
            <w:pPr>
              <w:pStyle w:val="23"/>
            </w:pPr>
            <w:r>
              <w:rPr>
                <w:rFonts w:hint="eastAsia"/>
              </w:rPr>
              <w:t>预制楼梯梯段板</w:t>
            </w:r>
          </w:p>
        </w:tc>
        <w:tc>
          <w:tcPr>
            <w:tcW w:w="873" w:type="pct"/>
            <w:vAlign w:val="center"/>
          </w:tcPr>
          <w:p>
            <w:pPr>
              <w:pStyle w:val="23"/>
            </w:pPr>
            <w:r>
              <w:rPr>
                <w:rFonts w:hint="eastAsia"/>
              </w:rPr>
              <w:t>YLT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预制梁</w:t>
            </w:r>
          </w:p>
        </w:tc>
        <w:tc>
          <w:tcPr>
            <w:tcW w:w="856" w:type="pct"/>
            <w:vAlign w:val="center"/>
          </w:tcPr>
          <w:p>
            <w:pPr>
              <w:pStyle w:val="23"/>
            </w:pPr>
            <w:r>
              <w:rPr>
                <w:rFonts w:hint="eastAsia"/>
              </w:rPr>
              <w:t>YL</w:t>
            </w:r>
          </w:p>
        </w:tc>
        <w:tc>
          <w:tcPr>
            <w:tcW w:w="1422" w:type="pct"/>
            <w:vAlign w:val="center"/>
          </w:tcPr>
          <w:p>
            <w:pPr>
              <w:pStyle w:val="23"/>
            </w:pPr>
            <w:r>
              <w:rPr>
                <w:rFonts w:hint="eastAsia"/>
              </w:rPr>
              <w:t>预制阳台</w:t>
            </w:r>
          </w:p>
        </w:tc>
        <w:tc>
          <w:tcPr>
            <w:tcW w:w="873" w:type="pct"/>
            <w:vAlign w:val="center"/>
          </w:tcPr>
          <w:p>
            <w:pPr>
              <w:pStyle w:val="23"/>
            </w:pPr>
            <w:r>
              <w:rPr>
                <w:rFonts w:hint="eastAsia"/>
              </w:rPr>
              <w:t>YYT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预制屋面梁</w:t>
            </w:r>
          </w:p>
        </w:tc>
        <w:tc>
          <w:tcPr>
            <w:tcW w:w="856" w:type="pct"/>
            <w:vAlign w:val="center"/>
          </w:tcPr>
          <w:p>
            <w:pPr>
              <w:pStyle w:val="23"/>
            </w:pPr>
            <w:r>
              <w:rPr>
                <w:rFonts w:hint="eastAsia"/>
              </w:rPr>
              <w:t>YWL</w:t>
            </w:r>
          </w:p>
        </w:tc>
        <w:tc>
          <w:tcPr>
            <w:tcW w:w="1422" w:type="pct"/>
            <w:vAlign w:val="center"/>
          </w:tcPr>
          <w:p>
            <w:pPr>
              <w:pStyle w:val="23"/>
            </w:pPr>
            <w:r>
              <w:rPr>
                <w:rFonts w:hint="eastAsia"/>
              </w:rPr>
              <w:t>预制空调板</w:t>
            </w:r>
          </w:p>
        </w:tc>
        <w:tc>
          <w:tcPr>
            <w:tcW w:w="873" w:type="pct"/>
            <w:vAlign w:val="center"/>
          </w:tcPr>
          <w:p>
            <w:pPr>
              <w:pStyle w:val="23"/>
            </w:pPr>
            <w:r>
              <w:rPr>
                <w:rFonts w:hint="eastAsia"/>
              </w:rPr>
              <w:t>YKTB</w:t>
            </w:r>
          </w:p>
        </w:tc>
      </w:tr>
    </w:tbl>
    <w:p>
      <w:pPr>
        <w:adjustRightInd w:val="0"/>
        <w:snapToGrid w:val="0"/>
        <w:jc w:val="left"/>
        <w:rPr>
          <w:bCs/>
          <w:sz w:val="22"/>
        </w:rPr>
      </w:pPr>
    </w:p>
    <w:p>
      <w:pPr>
        <w:pStyle w:val="23"/>
      </w:pPr>
      <w:r>
        <w:rPr>
          <w:rFonts w:hint="eastAsia"/>
        </w:rPr>
        <w:t>表8.2.2-2 模壳构件、空腔构件代号</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7"/>
        <w:gridCol w:w="1551"/>
        <w:gridCol w:w="2578"/>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预制构件类型</w:t>
            </w:r>
          </w:p>
        </w:tc>
        <w:tc>
          <w:tcPr>
            <w:tcW w:w="856" w:type="pct"/>
            <w:vAlign w:val="center"/>
          </w:tcPr>
          <w:p>
            <w:pPr>
              <w:pStyle w:val="23"/>
            </w:pPr>
            <w:r>
              <w:rPr>
                <w:rFonts w:hint="eastAsia"/>
              </w:rPr>
              <w:t>代号</w:t>
            </w:r>
          </w:p>
        </w:tc>
        <w:tc>
          <w:tcPr>
            <w:tcW w:w="1423" w:type="pct"/>
            <w:vAlign w:val="center"/>
          </w:tcPr>
          <w:p>
            <w:pPr>
              <w:pStyle w:val="23"/>
            </w:pPr>
            <w:r>
              <w:rPr>
                <w:rFonts w:hint="eastAsia"/>
              </w:rPr>
              <w:t>预制构件类型</w:t>
            </w:r>
          </w:p>
        </w:tc>
        <w:tc>
          <w:tcPr>
            <w:tcW w:w="872" w:type="pct"/>
            <w:vAlign w:val="center"/>
          </w:tcPr>
          <w:p>
            <w:pPr>
              <w:pStyle w:val="23"/>
            </w:pPr>
            <w:r>
              <w:rPr>
                <w:rFonts w:hint="eastAsia"/>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t>模壳墙</w:t>
            </w:r>
          </w:p>
        </w:tc>
        <w:tc>
          <w:tcPr>
            <w:tcW w:w="856" w:type="pct"/>
            <w:vAlign w:val="center"/>
          </w:tcPr>
          <w:p>
            <w:pPr>
              <w:pStyle w:val="23"/>
            </w:pPr>
            <w:r>
              <w:rPr>
                <w:rFonts w:hint="eastAsia"/>
              </w:rPr>
              <w:t>MQ</w:t>
            </w:r>
          </w:p>
        </w:tc>
        <w:tc>
          <w:tcPr>
            <w:tcW w:w="1423" w:type="pct"/>
            <w:vAlign w:val="center"/>
          </w:tcPr>
          <w:p>
            <w:pPr>
              <w:pStyle w:val="23"/>
            </w:pPr>
            <w:r>
              <w:t>模壳梁</w:t>
            </w:r>
          </w:p>
        </w:tc>
        <w:tc>
          <w:tcPr>
            <w:tcW w:w="872" w:type="pct"/>
            <w:vAlign w:val="center"/>
          </w:tcPr>
          <w:p>
            <w:pPr>
              <w:pStyle w:val="23"/>
            </w:pPr>
            <w:r>
              <w:rPr>
                <w:rFonts w:hint="eastAsia"/>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L型模壳墙</w:t>
            </w:r>
          </w:p>
        </w:tc>
        <w:tc>
          <w:tcPr>
            <w:tcW w:w="856" w:type="pct"/>
            <w:vAlign w:val="center"/>
          </w:tcPr>
          <w:p>
            <w:pPr>
              <w:pStyle w:val="23"/>
            </w:pPr>
            <w:r>
              <w:rPr>
                <w:rFonts w:hint="eastAsia"/>
              </w:rPr>
              <w:t>MQL</w:t>
            </w:r>
          </w:p>
        </w:tc>
        <w:tc>
          <w:tcPr>
            <w:tcW w:w="1423" w:type="pct"/>
            <w:vAlign w:val="center"/>
          </w:tcPr>
          <w:p>
            <w:pPr>
              <w:pStyle w:val="23"/>
            </w:pPr>
            <w:r>
              <w:t>空腔预制墙</w:t>
            </w:r>
          </w:p>
        </w:tc>
        <w:tc>
          <w:tcPr>
            <w:tcW w:w="872" w:type="pct"/>
            <w:vAlign w:val="center"/>
          </w:tcPr>
          <w:p>
            <w:pPr>
              <w:pStyle w:val="23"/>
            </w:pPr>
            <w:r>
              <w:rPr>
                <w:rFonts w:hint="eastAsia"/>
              </w:rPr>
              <w:t>KQ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7" w:type="pct"/>
            <w:vAlign w:val="center"/>
          </w:tcPr>
          <w:p>
            <w:pPr>
              <w:pStyle w:val="23"/>
            </w:pPr>
            <w:r>
              <w:rPr>
                <w:rFonts w:hint="eastAsia"/>
              </w:rPr>
              <w:t>T型模壳墙</w:t>
            </w:r>
          </w:p>
        </w:tc>
        <w:tc>
          <w:tcPr>
            <w:tcW w:w="856" w:type="pct"/>
            <w:vAlign w:val="center"/>
          </w:tcPr>
          <w:p>
            <w:pPr>
              <w:pStyle w:val="23"/>
            </w:pPr>
            <w:r>
              <w:rPr>
                <w:rFonts w:hint="eastAsia"/>
              </w:rPr>
              <w:t>MQT</w:t>
            </w:r>
          </w:p>
        </w:tc>
        <w:tc>
          <w:tcPr>
            <w:tcW w:w="1423" w:type="pct"/>
            <w:vAlign w:val="center"/>
          </w:tcPr>
          <w:p>
            <w:pPr>
              <w:pStyle w:val="23"/>
            </w:pPr>
            <w:r>
              <w:rPr>
                <w:rFonts w:hint="eastAsia"/>
              </w:rPr>
              <w:t>空腔预制柱</w:t>
            </w:r>
          </w:p>
        </w:tc>
        <w:tc>
          <w:tcPr>
            <w:tcW w:w="872" w:type="pct"/>
            <w:vAlign w:val="center"/>
          </w:tcPr>
          <w:p>
            <w:pPr>
              <w:pStyle w:val="23"/>
            </w:pPr>
            <w:r>
              <w:rPr>
                <w:rFonts w:hint="eastAsia"/>
              </w:rPr>
              <w:t>KQZ</w:t>
            </w:r>
          </w:p>
        </w:tc>
      </w:tr>
    </w:tbl>
    <w:p>
      <w:pPr>
        <w:pStyle w:val="20"/>
      </w:pPr>
      <w:r>
        <w:rPr>
          <w:rFonts w:hint="eastAsia"/>
          <w:b/>
        </w:rPr>
        <w:t xml:space="preserve">8.2.3 </w:t>
      </w:r>
      <w:r>
        <w:rPr>
          <w:rFonts w:hint="eastAsia"/>
        </w:rPr>
        <w:t>预制构件在生产阶段应对原材料、半成品和预制构件产品进行标识。原材料需包括产品名称、产品型号、供应商信息以及检验状态等。半成品需标识名称、加工班组、加工日期、检验状态等。</w:t>
      </w:r>
    </w:p>
    <w:p>
      <w:pPr>
        <w:pStyle w:val="20"/>
      </w:pPr>
      <w:r>
        <w:rPr>
          <w:rFonts w:hint="eastAsia"/>
          <w:b/>
        </w:rPr>
        <w:t xml:space="preserve">8.2.4 </w:t>
      </w:r>
      <w:r>
        <w:rPr>
          <w:rFonts w:hint="eastAsia"/>
        </w:rPr>
        <w:t>预制构件产品标识可采用喷涂、射频识别（RFID）、二维码等形式，标识内容应包含：项目名称、构件生产单位、产品类型、部位、产品编号、安装方向等。如二维码、RFID同时应用于可追溯系统时，还应包含：合格证、建设单位名称、监理单位名称、设计单位名称、施工单位名称以及产品尺寸、重量、生产日期、质量检验等内容。</w:t>
      </w:r>
    </w:p>
    <w:p>
      <w:pPr>
        <w:pStyle w:val="20"/>
      </w:pPr>
      <w:r>
        <w:rPr>
          <w:rFonts w:hint="eastAsia"/>
          <w:b/>
        </w:rPr>
        <w:t xml:space="preserve">8.2.5 </w:t>
      </w:r>
      <w:r>
        <w:rPr>
          <w:rFonts w:hint="eastAsia"/>
        </w:rPr>
        <w:t>预制构件生产企业应按照有关标准规定或合同要求，对供应的产品签发合格证，明确重要技术参数和主要指标，有特殊要求的产品还应提供安装说明书。</w:t>
      </w:r>
    </w:p>
    <w:p>
      <w:pPr>
        <w:pStyle w:val="3"/>
        <w:spacing w:before="312" w:after="312"/>
      </w:pPr>
      <w:bookmarkStart w:id="487" w:name="_Toc5356"/>
      <w:bookmarkStart w:id="488" w:name="_Toc10117"/>
      <w:bookmarkStart w:id="489" w:name="_Toc2300"/>
      <w:bookmarkStart w:id="490" w:name="_Toc10726"/>
      <w:bookmarkStart w:id="491" w:name="_Toc14772"/>
      <w:bookmarkStart w:id="492" w:name="_Toc9690"/>
      <w:bookmarkStart w:id="493" w:name="_Toc29433"/>
      <w:bookmarkStart w:id="494" w:name="_Toc16409"/>
      <w:bookmarkStart w:id="495" w:name="_Toc25690"/>
      <w:bookmarkStart w:id="496" w:name="_Toc5430"/>
      <w:bookmarkStart w:id="497" w:name="_Toc189"/>
      <w:bookmarkStart w:id="498" w:name="_Toc14713"/>
      <w:bookmarkStart w:id="499" w:name="_Toc19804"/>
      <w:bookmarkStart w:id="500" w:name="_Toc29226"/>
      <w:bookmarkStart w:id="501" w:name="_Toc7343"/>
      <w:bookmarkStart w:id="502" w:name="_Toc30898"/>
      <w:r>
        <w:rPr>
          <w:rFonts w:hint="eastAsia"/>
        </w:rPr>
        <w:t>8.3 信息化管理</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Style w:val="20"/>
      </w:pPr>
      <w:r>
        <w:rPr>
          <w:rFonts w:hint="eastAsia"/>
          <w:b/>
        </w:rPr>
        <w:t xml:space="preserve">8.3.1 </w:t>
      </w:r>
      <w:r>
        <w:rPr>
          <w:rFonts w:hint="eastAsia"/>
        </w:rPr>
        <w:t>预制构件设计企业应创建预制构件的建筑信息模型，设计阶段建筑信息模型包含但不限于以下细节：</w:t>
      </w:r>
    </w:p>
    <w:p>
      <w:pPr>
        <w:pStyle w:val="22"/>
        <w:ind w:firstLine="482"/>
      </w:pPr>
      <w:r>
        <w:rPr>
          <w:rFonts w:hint="eastAsia"/>
          <w:b/>
          <w:bCs/>
        </w:rPr>
        <w:t xml:space="preserve">1 </w:t>
      </w:r>
      <w:r>
        <w:rPr>
          <w:rFonts w:hint="eastAsia"/>
        </w:rPr>
        <w:t>几何信息。</w:t>
      </w:r>
    </w:p>
    <w:p>
      <w:pPr>
        <w:pStyle w:val="22"/>
        <w:ind w:firstLine="482"/>
      </w:pPr>
      <w:r>
        <w:rPr>
          <w:rFonts w:hint="eastAsia"/>
          <w:b/>
          <w:bCs/>
        </w:rPr>
        <w:t>2</w:t>
      </w:r>
      <w:r>
        <w:rPr>
          <w:rFonts w:hint="eastAsia"/>
        </w:rPr>
        <w:t xml:space="preserve"> 材料信息，如混凝土强度等级，钢筋的直径、长度、数量、形状等。</w:t>
      </w:r>
    </w:p>
    <w:p>
      <w:pPr>
        <w:pStyle w:val="22"/>
        <w:ind w:firstLine="482"/>
      </w:pPr>
      <w:r>
        <w:rPr>
          <w:rFonts w:hint="eastAsia"/>
          <w:b/>
          <w:bCs/>
        </w:rPr>
        <w:t>3</w:t>
      </w:r>
      <w:r>
        <w:rPr>
          <w:rFonts w:hint="eastAsia"/>
        </w:rPr>
        <w:t xml:space="preserve"> 结构预埋件和连接件、水暖电综合管线预留预埋件信息。</w:t>
      </w:r>
    </w:p>
    <w:p>
      <w:pPr>
        <w:pStyle w:val="22"/>
        <w:ind w:firstLine="0" w:firstLineChars="0"/>
      </w:pPr>
      <w:r>
        <w:rPr>
          <w:rFonts w:hint="eastAsia"/>
          <w:b/>
        </w:rPr>
        <w:t xml:space="preserve">8.3.2 </w:t>
      </w:r>
      <w:r>
        <w:rPr>
          <w:rFonts w:hint="eastAsia"/>
        </w:rPr>
        <w:t>预制构件生产企业宜延续采用设计阶段形成的建筑信息模型，并对预制构件的生产状态进行更新，如原材料入场状态、模具状态、钢筋绑扎状态、混凝土浇筑状态、养护状态、存放状态等。</w:t>
      </w:r>
    </w:p>
    <w:p>
      <w:pPr>
        <w:pStyle w:val="22"/>
        <w:ind w:firstLine="0" w:firstLineChars="0"/>
      </w:pPr>
      <w:r>
        <w:rPr>
          <w:rFonts w:hint="eastAsia"/>
          <w:b/>
          <w:bCs/>
        </w:rPr>
        <w:t>8.3.3</w:t>
      </w:r>
      <w:r>
        <w:rPr>
          <w:rFonts w:hint="eastAsia"/>
        </w:rPr>
        <w:t xml:space="preserve"> 预制构件运输企业宜延续采用生产阶段形成的建筑信息模型，并对预制构件的运输状态进行更新。</w:t>
      </w:r>
    </w:p>
    <w:p>
      <w:pPr>
        <w:pStyle w:val="22"/>
        <w:ind w:firstLine="0" w:firstLineChars="0"/>
      </w:pPr>
      <w:r>
        <w:rPr>
          <w:rFonts w:hint="eastAsia"/>
          <w:b/>
          <w:bCs/>
        </w:rPr>
        <w:t xml:space="preserve">8.3.4 </w:t>
      </w:r>
      <w:r>
        <w:rPr>
          <w:rFonts w:hint="eastAsia"/>
        </w:rPr>
        <w:t>预制构件施工企业宜延续采用运输阶段形成的建筑信息模型，并对预制构件的安装状态进行更新。</w:t>
      </w:r>
    </w:p>
    <w:p>
      <w:pPr>
        <w:pStyle w:val="22"/>
        <w:ind w:firstLine="0" w:firstLineChars="0"/>
      </w:pPr>
      <w:r>
        <w:rPr>
          <w:rFonts w:hint="eastAsia"/>
          <w:b/>
        </w:rPr>
        <w:t xml:space="preserve">8.3.5 </w:t>
      </w:r>
      <w:r>
        <w:rPr>
          <w:rFonts w:hint="eastAsia"/>
        </w:rPr>
        <w:t>预制构件的建筑信息模型应采用易读取的二维码或条形码存储，以实现预制构件的追溯和识别。</w:t>
      </w:r>
    </w:p>
    <w:p>
      <w:pPr>
        <w:pStyle w:val="22"/>
        <w:ind w:firstLine="0" w:firstLineChars="0"/>
      </w:pPr>
      <w:r>
        <w:rPr>
          <w:rFonts w:hint="eastAsia"/>
          <w:b/>
          <w:bCs/>
        </w:rPr>
        <w:t>8.3.6</w:t>
      </w:r>
      <w:r>
        <w:rPr>
          <w:rFonts w:hint="eastAsia"/>
        </w:rPr>
        <w:t xml:space="preserve"> 预制构件施工企业或监理企业代表在对进场时不做结构性能检验的预制构件驻厂监督生产时，可采用信息化方式实行。</w:t>
      </w:r>
    </w:p>
    <w:p>
      <w:pPr>
        <w:pStyle w:val="20"/>
      </w:pPr>
      <w:r>
        <w:rPr>
          <w:rFonts w:hint="eastAsia"/>
          <w:b/>
          <w:bCs/>
        </w:rPr>
        <w:t>8.3.7</w:t>
      </w:r>
      <w:r>
        <w:rPr>
          <w:rFonts w:hint="eastAsia"/>
        </w:rPr>
        <w:t xml:space="preserve"> 建设单位或其委托的监理等第三方所形成的质量证明文件宜采用信息化手段进行采集、传递和存储。</w:t>
      </w:r>
    </w:p>
    <w:p>
      <w:pPr>
        <w:pStyle w:val="20"/>
      </w:pPr>
      <w:r>
        <w:rPr>
          <w:rFonts w:hint="eastAsia"/>
          <w:b/>
        </w:rPr>
        <w:t xml:space="preserve">8.3.8 </w:t>
      </w:r>
      <w:r>
        <w:rPr>
          <w:rFonts w:hint="eastAsia"/>
        </w:rPr>
        <w:t>相关企业和人员应按照规定，对建筑信息模型进行审核和验收，并上传至“海南省装配式建筑部品部件质量可追溯系统”。</w:t>
      </w:r>
    </w:p>
    <w:p>
      <w:pPr>
        <w:pStyle w:val="20"/>
      </w:pPr>
      <w:r>
        <w:rPr>
          <w:rFonts w:hint="eastAsia"/>
          <w:b/>
          <w:bCs/>
        </w:rPr>
        <w:t>8.3.9</w:t>
      </w:r>
      <w:r>
        <w:rPr>
          <w:rFonts w:hint="eastAsia"/>
        </w:rPr>
        <w:t xml:space="preserve"> 全过程信息化资料应分级分类管理和存档。</w:t>
      </w:r>
      <w:r>
        <w:rPr>
          <w:rFonts w:hint="eastAsia"/>
        </w:rPr>
        <w:br w:type="page"/>
      </w:r>
    </w:p>
    <w:p>
      <w:pPr>
        <w:pStyle w:val="3"/>
        <w:spacing w:before="312" w:after="312"/>
      </w:pPr>
      <w:bookmarkStart w:id="503" w:name="_Toc10862"/>
      <w:bookmarkStart w:id="504" w:name="_Toc32038"/>
      <w:bookmarkStart w:id="505" w:name="_Toc28427"/>
      <w:bookmarkStart w:id="506" w:name="_Toc31126"/>
      <w:bookmarkStart w:id="507" w:name="_Toc10629"/>
      <w:bookmarkStart w:id="508" w:name="_Toc14092"/>
      <w:bookmarkStart w:id="509" w:name="_Toc32135"/>
      <w:r>
        <w:rPr>
          <w:kern w:val="44"/>
          <w:sz w:val="28"/>
        </w:rPr>
        <w:t>附录A 《吊装令》示例</w:t>
      </w:r>
      <w:bookmarkEnd w:id="503"/>
      <w:bookmarkEnd w:id="504"/>
      <w:bookmarkEnd w:id="505"/>
      <w:bookmarkEnd w:id="506"/>
      <w:bookmarkEnd w:id="507"/>
      <w:bookmarkEnd w:id="508"/>
      <w:bookmarkEnd w:id="509"/>
    </w:p>
    <w:p>
      <w:pPr>
        <w:spacing w:before="624" w:beforeLines="200"/>
        <w:jc w:val="center"/>
        <w:rPr>
          <w:rFonts w:ascii="Times New Roman" w:hAnsi="Times New Roman" w:eastAsia="宋体" w:cs="Times New Roman"/>
          <w:sz w:val="24"/>
        </w:rPr>
      </w:pPr>
      <w:r>
        <w:rPr>
          <w:rFonts w:ascii="Times New Roman" w:hAnsi="Times New Roman" w:eastAsia="宋体" w:cs="Times New Roman"/>
          <w:sz w:val="24"/>
        </w:rPr>
        <w:t>表A.0.1《吊装令》</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3121"/>
        <w:gridCol w:w="1376"/>
        <w:gridCol w:w="152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Borders>
              <w:top w:val="nil"/>
              <w:left w:val="nil"/>
              <w:bottom w:val="single" w:color="auto" w:sz="4" w:space="0"/>
              <w:right w:val="nil"/>
            </w:tcBorders>
          </w:tcPr>
          <w:p>
            <w:pPr>
              <w:jc w:val="left"/>
              <w:rPr>
                <w:rFonts w:ascii="Times New Roman" w:hAnsi="Times New Roman" w:eastAsia="宋体" w:cs="Times New Roman"/>
                <w:sz w:val="24"/>
              </w:rPr>
            </w:pPr>
            <w:r>
              <w:rPr>
                <w:rFonts w:hint="eastAsia" w:ascii="Times New Roman" w:hAnsi="Times New Roman" w:eastAsia="宋体" w:cs="Times New Roman"/>
                <w:sz w:val="24"/>
              </w:rPr>
              <w:t>编号：</w:t>
            </w:r>
          </w:p>
        </w:tc>
        <w:tc>
          <w:tcPr>
            <w:tcW w:w="4530" w:type="dxa"/>
            <w:gridSpan w:val="3"/>
            <w:tcBorders>
              <w:top w:val="nil"/>
              <w:left w:val="nil"/>
              <w:bottom w:val="single" w:color="auto" w:sz="4" w:space="0"/>
              <w:right w:val="nil"/>
            </w:tcBorders>
          </w:tcPr>
          <w:p>
            <w:pPr>
              <w:jc w:val="center"/>
              <w:rPr>
                <w:rFonts w:ascii="Times New Roman" w:hAnsi="Times New Roman" w:eastAsia="宋体" w:cs="Times New Roman"/>
                <w:sz w:val="24"/>
              </w:rPr>
            </w:pPr>
            <w:r>
              <w:rPr>
                <w:rFonts w:hint="eastAsia" w:ascii="Times New Roman" w:hAnsi="Times New Roman" w:eastAsia="宋体" w:cs="Times New Roman"/>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9" w:type="dxa"/>
            <w:tcBorders>
              <w:top w:val="single" w:color="auto"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工程名称</w:t>
            </w:r>
          </w:p>
        </w:tc>
        <w:tc>
          <w:tcPr>
            <w:tcW w:w="3121" w:type="dxa"/>
            <w:tcBorders>
              <w:top w:val="single" w:color="auto" w:sz="4" w:space="0"/>
            </w:tcBorders>
            <w:vAlign w:val="center"/>
          </w:tcPr>
          <w:p>
            <w:pPr>
              <w:jc w:val="center"/>
              <w:rPr>
                <w:rFonts w:ascii="Times New Roman" w:hAnsi="Times New Roman" w:eastAsia="宋体" w:cs="Times New Roman"/>
                <w:sz w:val="24"/>
              </w:rPr>
            </w:pPr>
          </w:p>
        </w:tc>
        <w:tc>
          <w:tcPr>
            <w:tcW w:w="1376" w:type="dxa"/>
            <w:tcBorders>
              <w:top w:val="single" w:color="auto"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施工部位</w:t>
            </w:r>
          </w:p>
        </w:tc>
        <w:tc>
          <w:tcPr>
            <w:tcW w:w="3154" w:type="dxa"/>
            <w:gridSpan w:val="2"/>
            <w:tcBorders>
              <w:top w:val="single" w:color="auto" w:sz="4" w:space="0"/>
            </w:tcBorders>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9"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施工单位</w:t>
            </w:r>
          </w:p>
        </w:tc>
        <w:tc>
          <w:tcPr>
            <w:tcW w:w="3121" w:type="dxa"/>
            <w:vAlign w:val="center"/>
          </w:tcPr>
          <w:p>
            <w:pPr>
              <w:jc w:val="center"/>
              <w:rPr>
                <w:rFonts w:ascii="Times New Roman" w:hAnsi="Times New Roman" w:eastAsia="宋体" w:cs="Times New Roman"/>
                <w:sz w:val="24"/>
              </w:rPr>
            </w:pPr>
          </w:p>
        </w:tc>
        <w:tc>
          <w:tcPr>
            <w:tcW w:w="137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监理单位</w:t>
            </w:r>
          </w:p>
        </w:tc>
        <w:tc>
          <w:tcPr>
            <w:tcW w:w="3154" w:type="dxa"/>
            <w:gridSpan w:val="2"/>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9"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构件型号</w:t>
            </w:r>
          </w:p>
        </w:tc>
        <w:tc>
          <w:tcPr>
            <w:tcW w:w="7651" w:type="dxa"/>
            <w:gridSpan w:val="4"/>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1409"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吊装工况</w:t>
            </w:r>
          </w:p>
        </w:tc>
        <w:tc>
          <w:tcPr>
            <w:tcW w:w="7651" w:type="dxa"/>
            <w:gridSpan w:val="4"/>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（重量、尺寸、三维立体构件、协作吊装、安装高度等内容）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9"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项目</w:t>
            </w:r>
          </w:p>
        </w:tc>
        <w:tc>
          <w:tcPr>
            <w:tcW w:w="6017"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内容</w:t>
            </w:r>
          </w:p>
        </w:tc>
        <w:tc>
          <w:tcPr>
            <w:tcW w:w="1634"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负责人</w:t>
            </w:r>
          </w:p>
          <w:p>
            <w:pPr>
              <w:jc w:val="center"/>
              <w:rPr>
                <w:rFonts w:ascii="Times New Roman" w:hAnsi="Times New Roman" w:eastAsia="宋体" w:cs="Times New Roman"/>
                <w:sz w:val="24"/>
              </w:rPr>
            </w:pPr>
            <w:r>
              <w:rPr>
                <w:rFonts w:hint="eastAsia" w:ascii="Times New Roman" w:hAnsi="Times New Roman" w:eastAsia="宋体" w:cs="Times New Roman"/>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409"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技术准备</w:t>
            </w:r>
          </w:p>
        </w:tc>
        <w:tc>
          <w:tcPr>
            <w:tcW w:w="6017"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（设计文件、施工方案、质量措施等）</w:t>
            </w:r>
          </w:p>
        </w:tc>
        <w:tc>
          <w:tcPr>
            <w:tcW w:w="1634"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409"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生产准备</w:t>
            </w:r>
          </w:p>
        </w:tc>
        <w:tc>
          <w:tcPr>
            <w:tcW w:w="6017"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（场地、材料、工具、设备、工人等）</w:t>
            </w:r>
          </w:p>
        </w:tc>
        <w:tc>
          <w:tcPr>
            <w:tcW w:w="1634"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409"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构件准备</w:t>
            </w:r>
          </w:p>
        </w:tc>
        <w:tc>
          <w:tcPr>
            <w:tcW w:w="6017"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（构件进场、验收、临时存放等）</w:t>
            </w:r>
          </w:p>
        </w:tc>
        <w:tc>
          <w:tcPr>
            <w:tcW w:w="1634"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426" w:type="dxa"/>
            <w:gridSpan w:val="4"/>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项目经理签章</w:t>
            </w:r>
          </w:p>
        </w:tc>
        <w:tc>
          <w:tcPr>
            <w:tcW w:w="1634"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5"/>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监理核验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9060" w:type="dxa"/>
            <w:gridSpan w:val="5"/>
          </w:tcPr>
          <w:p>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□技术准备</w:t>
            </w:r>
          </w:p>
          <w:p>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□生产准备</w:t>
            </w:r>
          </w:p>
          <w:p>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□构件准备</w:t>
            </w:r>
          </w:p>
          <w:p>
            <w:pPr>
              <w:wordWrap w:val="0"/>
              <w:jc w:val="right"/>
              <w:rPr>
                <w:rFonts w:ascii="Times New Roman" w:hAnsi="Times New Roman" w:eastAsia="宋体" w:cs="Times New Roman"/>
                <w:sz w:val="24"/>
              </w:rPr>
            </w:pPr>
            <w:r>
              <w:rPr>
                <w:rFonts w:hint="eastAsia" w:ascii="Times New Roman" w:hAnsi="Times New Roman" w:eastAsia="宋体" w:cs="Times New Roman"/>
                <w:sz w:val="24"/>
              </w:rPr>
              <w:t xml:space="preserve">总监理工程师签章：          </w:t>
            </w:r>
          </w:p>
        </w:tc>
      </w:tr>
    </w:tbl>
    <w:p>
      <w:pPr>
        <w:jc w:val="center"/>
        <w:rPr>
          <w:rFonts w:ascii="Times New Roman" w:hAnsi="Times New Roman" w:eastAsia="宋体" w:cs="Times New Roman"/>
          <w:sz w:val="22"/>
        </w:rPr>
      </w:pPr>
    </w:p>
    <w:p>
      <w:r>
        <w:rPr>
          <w:rFonts w:hint="eastAsia"/>
        </w:rPr>
        <w:br w:type="page"/>
      </w:r>
    </w:p>
    <w:p>
      <w:pPr>
        <w:pStyle w:val="20"/>
      </w:pPr>
    </w:p>
    <w:p>
      <w:pPr>
        <w:pStyle w:val="2"/>
        <w:spacing w:before="312" w:after="312"/>
        <w:rPr>
          <w:sz w:val="32"/>
          <w:szCs w:val="32"/>
        </w:rPr>
      </w:pPr>
      <w:bookmarkStart w:id="510" w:name="_Toc20965"/>
      <w:bookmarkStart w:id="511" w:name="_Toc9816"/>
      <w:bookmarkStart w:id="512" w:name="_Toc29520"/>
      <w:bookmarkStart w:id="513" w:name="_Toc22781"/>
      <w:bookmarkStart w:id="514" w:name="_Toc23847"/>
      <w:bookmarkStart w:id="515" w:name="_Toc31826"/>
      <w:bookmarkStart w:id="516" w:name="_Toc3526"/>
      <w:bookmarkStart w:id="517" w:name="_Toc8400"/>
      <w:bookmarkStart w:id="518" w:name="_Toc20932"/>
      <w:bookmarkStart w:id="519" w:name="_Toc3851"/>
      <w:bookmarkStart w:id="520" w:name="_Toc14785"/>
      <w:bookmarkStart w:id="521" w:name="_Toc31529"/>
      <w:bookmarkStart w:id="522" w:name="_Toc12107"/>
      <w:bookmarkStart w:id="523" w:name="_Toc22002"/>
      <w:bookmarkStart w:id="524" w:name="_Toc5841"/>
      <w:bookmarkStart w:id="525" w:name="_Toc15904"/>
      <w:r>
        <w:rPr>
          <w:rFonts w:hint="eastAsia"/>
          <w:szCs w:val="28"/>
        </w:rPr>
        <w:t>本标准用词说明</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pStyle w:val="20"/>
      </w:pPr>
    </w:p>
    <w:p>
      <w:pPr>
        <w:pStyle w:val="21"/>
        <w:ind w:firstLine="480" w:firstLineChars="200"/>
        <w:rPr>
          <w:szCs w:val="24"/>
        </w:rPr>
      </w:pPr>
      <w:r>
        <w:rPr>
          <w:szCs w:val="24"/>
        </w:rPr>
        <w:t>1 为便于在执行本标准条文时区别对待，对要求严格程度不同的用词说明如下</w:t>
      </w:r>
      <w:r>
        <w:rPr>
          <w:rFonts w:hint="eastAsia"/>
          <w:szCs w:val="24"/>
        </w:rPr>
        <w:t>：</w:t>
      </w:r>
    </w:p>
    <w:p>
      <w:pPr>
        <w:pStyle w:val="21"/>
        <w:ind w:firstLine="720" w:firstLineChars="300"/>
        <w:rPr>
          <w:szCs w:val="24"/>
        </w:rPr>
      </w:pPr>
      <w:r>
        <w:rPr>
          <w:szCs w:val="24"/>
        </w:rPr>
        <w:t>1</w:t>
      </w:r>
      <w:r>
        <w:rPr>
          <w:rFonts w:hint="eastAsia"/>
          <w:szCs w:val="24"/>
        </w:rPr>
        <w:t>）</w:t>
      </w:r>
      <w:r>
        <w:rPr>
          <w:szCs w:val="24"/>
        </w:rPr>
        <w:t>表示很严格</w:t>
      </w:r>
      <w:r>
        <w:rPr>
          <w:rFonts w:hint="eastAsia"/>
          <w:szCs w:val="24"/>
        </w:rPr>
        <w:t>，</w:t>
      </w:r>
      <w:r>
        <w:rPr>
          <w:szCs w:val="24"/>
        </w:rPr>
        <w:t>非这样做不可的</w:t>
      </w:r>
      <w:r>
        <w:rPr>
          <w:rFonts w:hint="eastAsia"/>
          <w:szCs w:val="24"/>
        </w:rPr>
        <w:t>：</w:t>
      </w:r>
    </w:p>
    <w:p>
      <w:pPr>
        <w:pStyle w:val="21"/>
        <w:ind w:firstLine="720" w:firstLineChars="300"/>
        <w:rPr>
          <w:szCs w:val="24"/>
        </w:rPr>
      </w:pPr>
      <w:r>
        <w:rPr>
          <w:szCs w:val="24"/>
        </w:rPr>
        <w:t>正面词采用</w:t>
      </w:r>
      <w:r>
        <w:rPr>
          <w:rFonts w:hint="eastAsia"/>
          <w:szCs w:val="24"/>
        </w:rPr>
        <w:t>“</w:t>
      </w:r>
      <w:r>
        <w:rPr>
          <w:szCs w:val="24"/>
        </w:rPr>
        <w:t>必须</w:t>
      </w:r>
      <w:r>
        <w:rPr>
          <w:rFonts w:hint="eastAsia"/>
          <w:szCs w:val="24"/>
        </w:rPr>
        <w:t>”，</w:t>
      </w:r>
      <w:r>
        <w:rPr>
          <w:szCs w:val="24"/>
        </w:rPr>
        <w:t>反面词采用</w:t>
      </w:r>
      <w:r>
        <w:rPr>
          <w:rFonts w:hint="eastAsia"/>
          <w:szCs w:val="24"/>
        </w:rPr>
        <w:t>“</w:t>
      </w:r>
      <w:r>
        <w:rPr>
          <w:szCs w:val="24"/>
        </w:rPr>
        <w:t>严禁</w:t>
      </w:r>
      <w:r>
        <w:rPr>
          <w:rFonts w:hint="eastAsia"/>
          <w:szCs w:val="24"/>
        </w:rPr>
        <w:t>”；</w:t>
      </w:r>
    </w:p>
    <w:p>
      <w:pPr>
        <w:pStyle w:val="21"/>
        <w:numPr>
          <w:ilvl w:val="0"/>
          <w:numId w:val="1"/>
        </w:numPr>
        <w:ind w:firstLine="720" w:firstLineChars="300"/>
        <w:rPr>
          <w:szCs w:val="24"/>
        </w:rPr>
      </w:pPr>
      <w:r>
        <w:rPr>
          <w:szCs w:val="24"/>
        </w:rPr>
        <w:t>表示严格</w:t>
      </w:r>
      <w:r>
        <w:rPr>
          <w:rFonts w:hint="eastAsia"/>
          <w:szCs w:val="24"/>
        </w:rPr>
        <w:t>，</w:t>
      </w:r>
      <w:r>
        <w:rPr>
          <w:szCs w:val="24"/>
        </w:rPr>
        <w:t>在正常情况下均应这样做的</w:t>
      </w:r>
      <w:r>
        <w:rPr>
          <w:rFonts w:hint="eastAsia"/>
          <w:szCs w:val="24"/>
        </w:rPr>
        <w:t>：</w:t>
      </w:r>
    </w:p>
    <w:p>
      <w:pPr>
        <w:pStyle w:val="21"/>
        <w:ind w:firstLine="720" w:firstLineChars="300"/>
        <w:rPr>
          <w:szCs w:val="24"/>
        </w:rPr>
      </w:pPr>
      <w:r>
        <w:rPr>
          <w:szCs w:val="24"/>
        </w:rPr>
        <w:t>正面词采用</w:t>
      </w:r>
      <w:r>
        <w:rPr>
          <w:rFonts w:hint="eastAsia"/>
          <w:szCs w:val="24"/>
        </w:rPr>
        <w:t>“应”，</w:t>
      </w:r>
      <w:r>
        <w:rPr>
          <w:szCs w:val="24"/>
        </w:rPr>
        <w:t>反面词采用</w:t>
      </w:r>
      <w:r>
        <w:rPr>
          <w:rFonts w:hint="eastAsia"/>
          <w:szCs w:val="24"/>
        </w:rPr>
        <w:t>“</w:t>
      </w:r>
      <w:r>
        <w:rPr>
          <w:szCs w:val="24"/>
        </w:rPr>
        <w:t>不应</w:t>
      </w:r>
      <w:r>
        <w:rPr>
          <w:rFonts w:hint="eastAsia"/>
          <w:szCs w:val="24"/>
        </w:rPr>
        <w:t>”</w:t>
      </w:r>
      <w:r>
        <w:rPr>
          <w:szCs w:val="24"/>
        </w:rPr>
        <w:t>或</w:t>
      </w:r>
      <w:r>
        <w:rPr>
          <w:rFonts w:hint="eastAsia"/>
          <w:szCs w:val="24"/>
        </w:rPr>
        <w:t>“</w:t>
      </w:r>
      <w:r>
        <w:rPr>
          <w:szCs w:val="24"/>
        </w:rPr>
        <w:t>不得</w:t>
      </w:r>
      <w:r>
        <w:rPr>
          <w:rFonts w:hint="eastAsia"/>
          <w:szCs w:val="24"/>
        </w:rPr>
        <w:t>”；</w:t>
      </w:r>
    </w:p>
    <w:p>
      <w:pPr>
        <w:pStyle w:val="21"/>
        <w:numPr>
          <w:ilvl w:val="0"/>
          <w:numId w:val="1"/>
        </w:numPr>
        <w:ind w:firstLine="720" w:firstLineChars="300"/>
        <w:rPr>
          <w:szCs w:val="24"/>
        </w:rPr>
      </w:pPr>
      <w:r>
        <w:rPr>
          <w:szCs w:val="24"/>
        </w:rPr>
        <w:t>表示允许稍有选择</w:t>
      </w:r>
      <w:r>
        <w:rPr>
          <w:rFonts w:hint="eastAsia"/>
          <w:szCs w:val="24"/>
        </w:rPr>
        <w:t>，</w:t>
      </w:r>
      <w:r>
        <w:rPr>
          <w:szCs w:val="24"/>
        </w:rPr>
        <w:t>在条件许可时首先应这样做的</w:t>
      </w:r>
      <w:r>
        <w:rPr>
          <w:rFonts w:hint="eastAsia"/>
          <w:szCs w:val="24"/>
        </w:rPr>
        <w:t>：</w:t>
      </w:r>
    </w:p>
    <w:p>
      <w:pPr>
        <w:pStyle w:val="21"/>
        <w:ind w:firstLine="720" w:firstLineChars="300"/>
        <w:rPr>
          <w:szCs w:val="24"/>
        </w:rPr>
      </w:pPr>
      <w:r>
        <w:rPr>
          <w:szCs w:val="24"/>
        </w:rPr>
        <w:t>正面词采用</w:t>
      </w:r>
      <w:r>
        <w:rPr>
          <w:rFonts w:hint="eastAsia"/>
          <w:szCs w:val="24"/>
        </w:rPr>
        <w:t>“</w:t>
      </w:r>
      <w:r>
        <w:rPr>
          <w:szCs w:val="24"/>
        </w:rPr>
        <w:t>宜</w:t>
      </w:r>
      <w:r>
        <w:rPr>
          <w:rFonts w:hint="eastAsia"/>
          <w:szCs w:val="24"/>
        </w:rPr>
        <w:t>”，</w:t>
      </w:r>
      <w:r>
        <w:rPr>
          <w:szCs w:val="24"/>
        </w:rPr>
        <w:t>反面词采用</w:t>
      </w:r>
      <w:r>
        <w:rPr>
          <w:rFonts w:hint="eastAsia"/>
          <w:szCs w:val="24"/>
        </w:rPr>
        <w:t>“</w:t>
      </w:r>
      <w:r>
        <w:rPr>
          <w:szCs w:val="24"/>
        </w:rPr>
        <w:t>不宜</w:t>
      </w:r>
      <w:r>
        <w:rPr>
          <w:rFonts w:hint="eastAsia"/>
          <w:szCs w:val="24"/>
        </w:rPr>
        <w:t>”；</w:t>
      </w:r>
    </w:p>
    <w:p>
      <w:pPr>
        <w:pStyle w:val="21"/>
        <w:numPr>
          <w:ilvl w:val="0"/>
          <w:numId w:val="1"/>
        </w:numPr>
        <w:ind w:firstLine="720" w:firstLineChars="300"/>
        <w:rPr>
          <w:szCs w:val="24"/>
        </w:rPr>
      </w:pPr>
      <w:r>
        <w:rPr>
          <w:szCs w:val="24"/>
        </w:rPr>
        <w:t>表示有选择</w:t>
      </w:r>
      <w:r>
        <w:rPr>
          <w:rFonts w:hint="eastAsia"/>
          <w:szCs w:val="24"/>
        </w:rPr>
        <w:t>，</w:t>
      </w:r>
      <w:r>
        <w:rPr>
          <w:szCs w:val="24"/>
        </w:rPr>
        <w:t>在一定条件下可以这样做的采用</w:t>
      </w:r>
      <w:r>
        <w:rPr>
          <w:rFonts w:hint="eastAsia"/>
          <w:szCs w:val="24"/>
        </w:rPr>
        <w:t>“可”</w:t>
      </w:r>
      <w:r>
        <w:rPr>
          <w:szCs w:val="24"/>
        </w:rPr>
        <w:t>。</w:t>
      </w:r>
    </w:p>
    <w:p>
      <w:pPr>
        <w:pStyle w:val="21"/>
        <w:ind w:left="420" w:leftChars="200"/>
        <w:rPr>
          <w:szCs w:val="24"/>
        </w:rPr>
      </w:pPr>
      <w:r>
        <w:rPr>
          <w:szCs w:val="24"/>
        </w:rPr>
        <w:t>2 条文中指明应按其他有关标准执行的写法为</w:t>
      </w:r>
      <w:r>
        <w:rPr>
          <w:rFonts w:hint="eastAsia"/>
          <w:szCs w:val="24"/>
        </w:rPr>
        <w:t>：“</w:t>
      </w:r>
      <w:r>
        <w:rPr>
          <w:szCs w:val="24"/>
        </w:rPr>
        <w:t>应符合</w:t>
      </w:r>
      <w:r>
        <w:rPr>
          <w:rFonts w:hint="eastAsia"/>
          <w:szCs w:val="24"/>
        </w:rPr>
        <w:t>……</w:t>
      </w:r>
      <w:r>
        <w:rPr>
          <w:szCs w:val="24"/>
        </w:rPr>
        <w:t>的规定</w:t>
      </w:r>
      <w:r>
        <w:rPr>
          <w:rFonts w:hint="eastAsia"/>
          <w:szCs w:val="24"/>
        </w:rPr>
        <w:t>”</w:t>
      </w:r>
      <w:r>
        <w:rPr>
          <w:szCs w:val="24"/>
        </w:rPr>
        <w:t>或</w:t>
      </w:r>
      <w:r>
        <w:rPr>
          <w:rFonts w:hint="eastAsia"/>
          <w:szCs w:val="24"/>
        </w:rPr>
        <w:t>“</w:t>
      </w:r>
      <w:r>
        <w:rPr>
          <w:szCs w:val="24"/>
        </w:rPr>
        <w:t>应按</w:t>
      </w:r>
      <w:r>
        <w:rPr>
          <w:rFonts w:hint="eastAsia"/>
          <w:szCs w:val="24"/>
        </w:rPr>
        <w:t>……</w:t>
      </w:r>
      <w:r>
        <w:rPr>
          <w:szCs w:val="24"/>
        </w:rPr>
        <w:t>执行</w:t>
      </w:r>
      <w:r>
        <w:rPr>
          <w:rFonts w:hint="eastAsia"/>
          <w:szCs w:val="24"/>
        </w:rPr>
        <w:t>”</w:t>
      </w:r>
      <w:r>
        <w:rPr>
          <w:szCs w:val="24"/>
        </w:rPr>
        <w:t>。</w:t>
      </w:r>
    </w:p>
    <w:p>
      <w:r>
        <w:br w:type="page"/>
      </w:r>
    </w:p>
    <w:p>
      <w:pPr>
        <w:pStyle w:val="2"/>
        <w:spacing w:before="312" w:after="312"/>
      </w:pPr>
      <w:bookmarkStart w:id="526" w:name="_Toc5506"/>
      <w:bookmarkStart w:id="527" w:name="_Toc9486"/>
      <w:bookmarkStart w:id="528" w:name="_Toc11701"/>
      <w:bookmarkStart w:id="529" w:name="_Toc2782"/>
      <w:bookmarkStart w:id="530" w:name="_Toc15000"/>
      <w:bookmarkStart w:id="531" w:name="_Toc4658"/>
      <w:bookmarkStart w:id="532" w:name="_Toc15364"/>
      <w:bookmarkStart w:id="533" w:name="_Toc32116"/>
      <w:bookmarkStart w:id="534" w:name="_Toc22607"/>
      <w:bookmarkStart w:id="535" w:name="_Toc4736"/>
      <w:bookmarkStart w:id="536" w:name="_Toc19292"/>
      <w:r>
        <w:rPr>
          <w:rFonts w:hint="eastAsia"/>
        </w:rPr>
        <w:t>引用标准名录</w:t>
      </w:r>
      <w:bookmarkEnd w:id="526"/>
      <w:bookmarkEnd w:id="527"/>
      <w:bookmarkEnd w:id="528"/>
      <w:bookmarkEnd w:id="529"/>
      <w:bookmarkEnd w:id="530"/>
      <w:bookmarkEnd w:id="531"/>
      <w:bookmarkEnd w:id="532"/>
      <w:bookmarkEnd w:id="533"/>
      <w:bookmarkEnd w:id="534"/>
      <w:bookmarkEnd w:id="535"/>
      <w:bookmarkEnd w:id="536"/>
    </w:p>
    <w:p>
      <w:pPr>
        <w:pStyle w:val="22"/>
        <w:ind w:firstLine="480"/>
      </w:pPr>
      <w:r>
        <w:rPr>
          <w:rFonts w:hint="eastAsia"/>
        </w:rPr>
        <w:t>1.《混凝土结构设计规范》GB 50010</w:t>
      </w:r>
    </w:p>
    <w:p>
      <w:pPr>
        <w:pStyle w:val="22"/>
        <w:ind w:firstLine="480"/>
      </w:pPr>
      <w:r>
        <w:rPr>
          <w:rFonts w:hint="eastAsia"/>
        </w:rPr>
        <w:t>2.《建筑工程施工质量统一验收标准》GB 50300</w:t>
      </w:r>
    </w:p>
    <w:p>
      <w:pPr>
        <w:pStyle w:val="22"/>
        <w:ind w:firstLine="480"/>
      </w:pPr>
      <w:r>
        <w:rPr>
          <w:rFonts w:hint="eastAsia"/>
        </w:rPr>
        <w:t>3.《混凝土结构工程施工规范》GB 50666</w:t>
      </w:r>
    </w:p>
    <w:p>
      <w:pPr>
        <w:pStyle w:val="22"/>
        <w:ind w:firstLine="480"/>
      </w:pPr>
      <w:r>
        <w:rPr>
          <w:rFonts w:hint="eastAsia"/>
        </w:rPr>
        <w:t>4.《混凝土结构工程施工质量验收规范》GB 50204</w:t>
      </w:r>
    </w:p>
    <w:p>
      <w:pPr>
        <w:pStyle w:val="22"/>
        <w:ind w:firstLine="480"/>
      </w:pPr>
      <w:r>
        <w:rPr>
          <w:rFonts w:hint="eastAsia"/>
        </w:rPr>
        <w:t>5.《装配式混凝土建筑技术标准》GB/T 51231</w:t>
      </w:r>
    </w:p>
    <w:p>
      <w:pPr>
        <w:pStyle w:val="22"/>
        <w:ind w:firstLine="480"/>
      </w:pPr>
      <w:r>
        <w:rPr>
          <w:rFonts w:hint="eastAsia"/>
        </w:rPr>
        <w:t>6.《混凝土物理力学性能试验方法标准》GB/T 50081</w:t>
      </w:r>
    </w:p>
    <w:p>
      <w:pPr>
        <w:pStyle w:val="22"/>
        <w:ind w:firstLine="480"/>
      </w:pPr>
      <w:r>
        <w:rPr>
          <w:rFonts w:hint="eastAsia"/>
        </w:rPr>
        <w:t>7.《混凝土强度检验评定标准》GB/T 50107</w:t>
      </w:r>
    </w:p>
    <w:p>
      <w:pPr>
        <w:pStyle w:val="22"/>
        <w:ind w:firstLine="480"/>
      </w:pPr>
      <w:r>
        <w:rPr>
          <w:rFonts w:hint="eastAsia"/>
        </w:rPr>
        <w:t>8.《装配式混凝土结构技术规程》JGJ 1</w:t>
      </w:r>
    </w:p>
    <w:p>
      <w:pPr>
        <w:pStyle w:val="22"/>
        <w:ind w:firstLine="480"/>
      </w:pPr>
      <w:r>
        <w:rPr>
          <w:rFonts w:hint="eastAsia"/>
        </w:rPr>
        <w:t>9.《工厂预制混凝土构件质量管理标准》JG/T 565</w:t>
      </w:r>
    </w:p>
    <w:p>
      <w:pPr>
        <w:pStyle w:val="22"/>
        <w:ind w:firstLine="480"/>
      </w:pPr>
      <w:r>
        <w:rPr>
          <w:rFonts w:hint="eastAsia"/>
        </w:rPr>
        <w:t>10.《海南省预拌混凝土应用技术标准》DBJ 46-018</w:t>
      </w:r>
    </w:p>
    <w:p>
      <w:pPr>
        <w:pStyle w:val="22"/>
        <w:ind w:firstLine="480"/>
      </w:pPr>
      <w:r>
        <w:rPr>
          <w:rFonts w:hint="eastAsia"/>
        </w:rPr>
        <w:t>11.《海南省装配式混凝土结构工程施工质量验收标准》DBJ 46-047</w:t>
      </w:r>
    </w:p>
    <w:p>
      <w:pPr>
        <w:pStyle w:val="22"/>
        <w:ind w:firstLine="480"/>
      </w:pPr>
      <w:r>
        <w:rPr>
          <w:rFonts w:hint="eastAsia"/>
        </w:rPr>
        <w:t>12.《海南省装配式混凝土预制构件生产和安装技术标准》DBJ 46-058</w:t>
      </w:r>
    </w:p>
    <w:p>
      <w:pPr>
        <w:pStyle w:val="22"/>
        <w:ind w:firstLine="480"/>
      </w:pPr>
      <w:r>
        <w:rPr>
          <w:rFonts w:hint="eastAsia"/>
        </w:rPr>
        <w:t>13.《海南省装配式建筑标准化设计技术标准》DBJ 46-061</w:t>
      </w:r>
    </w:p>
    <w:p>
      <w:r>
        <w:rPr>
          <w:rFonts w:hint="eastAsia"/>
        </w:rPr>
        <w:br w:type="page"/>
      </w:r>
    </w:p>
    <w:p>
      <w:pPr>
        <w:rPr>
          <w:sz w:val="22"/>
          <w:szCs w:val="22"/>
        </w:rPr>
      </w:pPr>
    </w:p>
    <w:p>
      <w:pPr>
        <w:pStyle w:val="20"/>
      </w:pPr>
    </w:p>
    <w:p/>
    <w:p>
      <w:pPr>
        <w:jc w:val="center"/>
        <w:rPr>
          <w:rFonts w:ascii="黑体" w:hAnsi="黑体" w:eastAsia="黑体" w:cs="黑体"/>
          <w:spacing w:val="20"/>
          <w:sz w:val="30"/>
          <w:szCs w:val="30"/>
        </w:rPr>
      </w:pPr>
      <w:r>
        <w:rPr>
          <w:rFonts w:hint="eastAsia" w:ascii="黑体" w:hAnsi="黑体" w:eastAsia="黑体" w:cs="黑体"/>
          <w:spacing w:val="20"/>
          <w:sz w:val="30"/>
          <w:szCs w:val="30"/>
        </w:rPr>
        <w:t>海南省工程建设地方标准</w:t>
      </w: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spacing w:line="360" w:lineRule="auto"/>
        <w:jc w:val="center"/>
        <w:rPr>
          <w:b/>
          <w:bCs/>
          <w:sz w:val="36"/>
          <w:szCs w:val="36"/>
        </w:rPr>
      </w:pPr>
      <w:r>
        <w:rPr>
          <w:rFonts w:hint="eastAsia"/>
          <w:b/>
          <w:bCs/>
          <w:sz w:val="36"/>
          <w:szCs w:val="36"/>
        </w:rPr>
        <w:t>海南省装配式建筑预制混凝土构件</w:t>
      </w:r>
    </w:p>
    <w:p>
      <w:pPr>
        <w:spacing w:line="360" w:lineRule="auto"/>
        <w:jc w:val="center"/>
        <w:rPr>
          <w:b/>
          <w:bCs/>
          <w:sz w:val="36"/>
          <w:szCs w:val="36"/>
        </w:rPr>
      </w:pPr>
      <w:r>
        <w:rPr>
          <w:rFonts w:hint="eastAsia"/>
          <w:b/>
          <w:bCs/>
          <w:sz w:val="36"/>
          <w:szCs w:val="36"/>
        </w:rPr>
        <w:t>质量管理标准</w:t>
      </w:r>
    </w:p>
    <w:p>
      <w:pPr>
        <w:spacing w:before="62" w:beforeLines="20"/>
        <w:jc w:val="center"/>
        <w:rPr>
          <w:rFonts w:ascii="Times New Roman" w:hAnsi="Times New Roman" w:cs="Times New Roman"/>
          <w:b/>
          <w:bCs/>
          <w:sz w:val="28"/>
          <w:szCs w:val="28"/>
        </w:rPr>
      </w:pPr>
      <w:r>
        <w:rPr>
          <w:rFonts w:ascii="Times New Roman" w:hAnsi="Times New Roman" w:cs="Times New Roman"/>
          <w:b/>
          <w:bCs/>
          <w:sz w:val="28"/>
          <w:szCs w:val="28"/>
        </w:rPr>
        <w:t xml:space="preserve">Quality management standard for precast concrete components of </w:t>
      </w:r>
    </w:p>
    <w:p>
      <w:pPr>
        <w:spacing w:before="62" w:beforeLines="20"/>
        <w:jc w:val="center"/>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b/>
          <w:bCs/>
          <w:sz w:val="28"/>
          <w:szCs w:val="28"/>
        </w:rPr>
        <w:t>p</w:t>
      </w:r>
      <w:r>
        <w:rPr>
          <w:rFonts w:ascii="Times New Roman" w:hAnsi="Times New Roman" w:cs="Times New Roman"/>
          <w:b/>
          <w:bCs/>
          <w:sz w:val="28"/>
          <w:szCs w:val="28"/>
        </w:rPr>
        <w:t>refabricated building in Hainan</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eastAsiaTheme="minorEastAsia"/>
          <w:b/>
          <w:bCs/>
          <w:color w:val="auto"/>
          <w:w w:val="100"/>
          <w:sz w:val="28"/>
          <w:szCs w:val="28"/>
          <w:highlight w:val="none"/>
        </w:rPr>
        <w:t>Province</w:t>
      </w:r>
    </w:p>
    <w:p>
      <w:pPr>
        <w:jc w:val="center"/>
        <w:rPr>
          <w:rFonts w:ascii="黑体" w:hAnsi="黑体" w:eastAsia="黑体" w:cs="黑体"/>
          <w:spacing w:val="20"/>
          <w:sz w:val="40"/>
          <w:szCs w:val="40"/>
        </w:rPr>
      </w:pPr>
    </w:p>
    <w:p>
      <w:pPr>
        <w:jc w:val="center"/>
        <w:rPr>
          <w:rFonts w:ascii="黑体" w:hAnsi="黑体" w:eastAsia="黑体" w:cs="黑体"/>
          <w:spacing w:val="20"/>
          <w:sz w:val="40"/>
          <w:szCs w:val="40"/>
        </w:rPr>
      </w:pPr>
    </w:p>
    <w:p>
      <w:pPr>
        <w:jc w:val="center"/>
        <w:outlineLvl w:val="0"/>
        <w:rPr>
          <w:rFonts w:ascii="宋体" w:hAnsi="宋体" w:eastAsia="宋体" w:cs="宋体"/>
          <w:b/>
          <w:bCs/>
          <w:spacing w:val="20"/>
          <w:sz w:val="28"/>
          <w:szCs w:val="28"/>
        </w:rPr>
      </w:pPr>
      <w:bookmarkStart w:id="537" w:name="_Toc15302"/>
      <w:bookmarkStart w:id="538" w:name="_Toc23065"/>
      <w:bookmarkStart w:id="539" w:name="_Toc12739"/>
      <w:bookmarkStart w:id="540" w:name="_Toc491"/>
      <w:bookmarkStart w:id="541" w:name="_Toc16419"/>
      <w:bookmarkStart w:id="542" w:name="_Toc22290"/>
      <w:bookmarkStart w:id="543" w:name="_Toc24394"/>
      <w:bookmarkStart w:id="544" w:name="_Toc9093"/>
      <w:bookmarkStart w:id="545" w:name="_Toc27517"/>
      <w:bookmarkStart w:id="546" w:name="_Toc7425"/>
      <w:bookmarkStart w:id="547" w:name="_Toc18094"/>
      <w:bookmarkStart w:id="548" w:name="_Toc10101"/>
      <w:bookmarkStart w:id="549" w:name="_Toc26081"/>
      <w:bookmarkStart w:id="550" w:name="_Toc32355"/>
      <w:bookmarkStart w:id="551" w:name="_Toc17882"/>
      <w:bookmarkStart w:id="552" w:name="_Toc3216"/>
      <w:r>
        <w:rPr>
          <w:rFonts w:hint="eastAsia" w:ascii="宋体" w:hAnsi="宋体" w:eastAsia="宋体" w:cs="宋体"/>
          <w:b/>
          <w:bCs/>
          <w:spacing w:val="20"/>
          <w:sz w:val="28"/>
          <w:szCs w:val="28"/>
        </w:rPr>
        <w:t>条文说明</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jc w:val="center"/>
        <w:rPr>
          <w:rFonts w:ascii="Times New Roman" w:hAnsi="Times New Roman" w:eastAsia="黑体" w:cs="Times New Roman"/>
          <w:spacing w:val="20"/>
          <w:sz w:val="28"/>
          <w:szCs w:val="28"/>
        </w:rPr>
      </w:pPr>
    </w:p>
    <w:p>
      <w:pPr>
        <w:rPr>
          <w:sz w:val="22"/>
          <w:szCs w:val="22"/>
        </w:rPr>
      </w:pPr>
      <w:r>
        <w:rPr>
          <w:sz w:val="22"/>
          <w:szCs w:val="22"/>
        </w:rPr>
        <w:br w:type="page"/>
      </w:r>
    </w:p>
    <w:sdt>
      <w:sdtPr>
        <w:rPr>
          <w:rFonts w:ascii="宋体" w:hAnsi="宋体" w:eastAsia="宋体"/>
          <w:sz w:val="28"/>
          <w:szCs w:val="28"/>
        </w:rPr>
        <w:id w:val="147474272"/>
        <w15:color w:val="DBDBDB"/>
        <w:docPartObj>
          <w:docPartGallery w:val="Table of Contents"/>
          <w:docPartUnique/>
        </w:docPartObj>
      </w:sdtPr>
      <w:sdtEndPr>
        <w:rPr>
          <w:rFonts w:ascii="宋体" w:hAnsi="宋体" w:eastAsia="宋体"/>
          <w:b/>
          <w:vanish/>
          <w:sz w:val="28"/>
          <w:szCs w:val="28"/>
        </w:rPr>
      </w:sdtEndPr>
      <w:sdtContent>
        <w:p>
          <w:pPr>
            <w:jc w:val="center"/>
          </w:pPr>
          <w:r>
            <w:rPr>
              <w:rFonts w:ascii="宋体" w:hAnsi="宋体" w:eastAsia="宋体"/>
              <w:sz w:val="28"/>
              <w:szCs w:val="28"/>
            </w:rPr>
            <w:t>目</w:t>
          </w:r>
          <w:r>
            <w:rPr>
              <w:rFonts w:hint="eastAsia" w:ascii="宋体" w:hAnsi="宋体" w:eastAsia="宋体"/>
              <w:sz w:val="28"/>
              <w:szCs w:val="28"/>
            </w:rPr>
            <w:t xml:space="preserve">  次</w:t>
          </w:r>
          <w:r>
            <w:fldChar w:fldCharType="begin"/>
          </w:r>
          <w:r>
            <w:instrText xml:space="preserve">TOC \o "1-2" \h \u </w:instrText>
          </w:r>
          <w:r>
            <w:fldChar w:fldCharType="separate"/>
          </w:r>
        </w:p>
        <w:p>
          <w:pPr>
            <w:pStyle w:val="11"/>
            <w:tabs>
              <w:tab w:val="right" w:leader="dot" w:pos="8844"/>
            </w:tabs>
            <w:spacing w:line="460" w:lineRule="exact"/>
          </w:pPr>
          <w:r>
            <w:fldChar w:fldCharType="begin"/>
          </w:r>
          <w:r>
            <w:instrText xml:space="preserve"> HYPERLINK \l _Toc26327 </w:instrText>
          </w:r>
          <w:r>
            <w:fldChar w:fldCharType="separate"/>
          </w:r>
          <w:r>
            <w:t>1 总则</w:t>
          </w:r>
          <w:r>
            <w:tab/>
          </w:r>
          <w:r>
            <w:fldChar w:fldCharType="end"/>
          </w:r>
          <w:r>
            <w:rPr>
              <w:rFonts w:hint="eastAsia"/>
            </w:rPr>
            <w:t>45</w:t>
          </w:r>
        </w:p>
        <w:p>
          <w:pPr>
            <w:pStyle w:val="11"/>
            <w:tabs>
              <w:tab w:val="right" w:leader="dot" w:pos="8844"/>
            </w:tabs>
            <w:spacing w:line="460" w:lineRule="exact"/>
          </w:pPr>
          <w:r>
            <w:fldChar w:fldCharType="begin"/>
          </w:r>
          <w:r>
            <w:instrText xml:space="preserve"> HYPERLINK \l _Toc19022 </w:instrText>
          </w:r>
          <w:r>
            <w:fldChar w:fldCharType="separate"/>
          </w:r>
          <w:r>
            <w:rPr>
              <w:rFonts w:hint="eastAsia"/>
            </w:rPr>
            <w:t>3基本规定</w:t>
          </w:r>
          <w:r>
            <w:tab/>
          </w:r>
          <w:r>
            <w:fldChar w:fldCharType="end"/>
          </w:r>
          <w:r>
            <w:rPr>
              <w:rFonts w:hint="eastAsia"/>
            </w:rPr>
            <w:t>45</w:t>
          </w:r>
        </w:p>
        <w:p>
          <w:pPr>
            <w:pStyle w:val="11"/>
            <w:tabs>
              <w:tab w:val="right" w:leader="dot" w:pos="8844"/>
            </w:tabs>
            <w:spacing w:line="460" w:lineRule="exact"/>
          </w:pPr>
          <w:r>
            <w:fldChar w:fldCharType="begin"/>
          </w:r>
          <w:r>
            <w:instrText xml:space="preserve"> HYPERLINK \l _Toc7601 </w:instrText>
          </w:r>
          <w:r>
            <w:fldChar w:fldCharType="separate"/>
          </w:r>
          <w:r>
            <w:rPr>
              <w:rFonts w:hint="eastAsia"/>
            </w:rPr>
            <w:t>4 质量管理体系</w:t>
          </w:r>
          <w:r>
            <w:tab/>
          </w:r>
          <w:r>
            <w:fldChar w:fldCharType="begin"/>
          </w:r>
          <w:r>
            <w:instrText xml:space="preserve"> PAGEREF _Toc7601 \h </w:instrText>
          </w:r>
          <w:r>
            <w:fldChar w:fldCharType="separate"/>
          </w:r>
          <w:r>
            <w:t>4</w:t>
          </w:r>
          <w:r>
            <w:fldChar w:fldCharType="end"/>
          </w:r>
          <w:r>
            <w:fldChar w:fldCharType="end"/>
          </w:r>
          <w:r>
            <w:rPr>
              <w:rFonts w:hint="eastAsia"/>
            </w:rPr>
            <w:t>7</w:t>
          </w:r>
        </w:p>
        <w:p>
          <w:pPr>
            <w:pStyle w:val="12"/>
            <w:tabs>
              <w:tab w:val="right" w:leader="dot" w:pos="8844"/>
            </w:tabs>
            <w:spacing w:line="460" w:lineRule="exact"/>
          </w:pPr>
          <w:r>
            <w:fldChar w:fldCharType="begin"/>
          </w:r>
          <w:r>
            <w:instrText xml:space="preserve"> HYPERLINK \l _Toc27681 </w:instrText>
          </w:r>
          <w:r>
            <w:fldChar w:fldCharType="separate"/>
          </w:r>
          <w:r>
            <w:rPr>
              <w:rFonts w:hint="eastAsia"/>
            </w:rPr>
            <w:t>4.1 质量管理体系建立</w:t>
          </w:r>
          <w:r>
            <w:tab/>
          </w:r>
          <w:r>
            <w:fldChar w:fldCharType="begin"/>
          </w:r>
          <w:r>
            <w:instrText xml:space="preserve"> PAGEREF _Toc27681 \h </w:instrText>
          </w:r>
          <w:r>
            <w:fldChar w:fldCharType="separate"/>
          </w:r>
          <w:r>
            <w:t>4</w:t>
          </w:r>
          <w:r>
            <w:fldChar w:fldCharType="end"/>
          </w:r>
          <w:r>
            <w:fldChar w:fldCharType="end"/>
          </w:r>
          <w:r>
            <w:rPr>
              <w:rFonts w:hint="eastAsia"/>
            </w:rPr>
            <w:t>7</w:t>
          </w:r>
        </w:p>
        <w:p>
          <w:pPr>
            <w:pStyle w:val="12"/>
            <w:tabs>
              <w:tab w:val="right" w:leader="dot" w:pos="8844"/>
            </w:tabs>
            <w:spacing w:line="460" w:lineRule="exact"/>
          </w:pPr>
          <w:r>
            <w:fldChar w:fldCharType="begin"/>
          </w:r>
          <w:r>
            <w:instrText xml:space="preserve"> HYPERLINK \l _Toc8502 </w:instrText>
          </w:r>
          <w:r>
            <w:fldChar w:fldCharType="separate"/>
          </w:r>
          <w:r>
            <w:rPr>
              <w:rFonts w:hint="eastAsia"/>
            </w:rPr>
            <w:t>4.2 预制构件制造能力等级评定及资源配置要求</w:t>
          </w:r>
          <w:r>
            <w:tab/>
          </w:r>
          <w:r>
            <w:fldChar w:fldCharType="begin"/>
          </w:r>
          <w:r>
            <w:instrText xml:space="preserve"> PAGEREF _Toc8502 \h </w:instrText>
          </w:r>
          <w:r>
            <w:fldChar w:fldCharType="separate"/>
          </w:r>
          <w:r>
            <w:t>4</w:t>
          </w:r>
          <w:r>
            <w:fldChar w:fldCharType="end"/>
          </w:r>
          <w:r>
            <w:fldChar w:fldCharType="end"/>
          </w:r>
          <w:r>
            <w:rPr>
              <w:rFonts w:hint="eastAsia"/>
            </w:rPr>
            <w:t>7</w:t>
          </w:r>
        </w:p>
        <w:p>
          <w:pPr>
            <w:pStyle w:val="12"/>
            <w:tabs>
              <w:tab w:val="right" w:leader="dot" w:pos="8844"/>
            </w:tabs>
            <w:spacing w:line="460" w:lineRule="exact"/>
          </w:pPr>
          <w:r>
            <w:fldChar w:fldCharType="begin"/>
          </w:r>
          <w:r>
            <w:instrText xml:space="preserve"> HYPERLINK \l _Toc29239 </w:instrText>
          </w:r>
          <w:r>
            <w:fldChar w:fldCharType="separate"/>
          </w:r>
          <w:r>
            <w:rPr>
              <w:rFonts w:hint="eastAsia"/>
            </w:rPr>
            <w:t>4.3预制构件安装能力及资源配置要求</w:t>
          </w:r>
          <w:r>
            <w:tab/>
          </w:r>
          <w:r>
            <w:fldChar w:fldCharType="begin"/>
          </w:r>
          <w:r>
            <w:instrText xml:space="preserve"> PAGEREF _Toc29239 \h </w:instrText>
          </w:r>
          <w:r>
            <w:fldChar w:fldCharType="separate"/>
          </w:r>
          <w:r>
            <w:t>4</w:t>
          </w:r>
          <w:r>
            <w:fldChar w:fldCharType="end"/>
          </w:r>
          <w:r>
            <w:fldChar w:fldCharType="end"/>
          </w:r>
          <w:r>
            <w:rPr>
              <w:rFonts w:hint="eastAsia"/>
            </w:rPr>
            <w:t>9</w:t>
          </w:r>
        </w:p>
        <w:p>
          <w:pPr>
            <w:pStyle w:val="11"/>
            <w:tabs>
              <w:tab w:val="right" w:leader="dot" w:pos="8844"/>
            </w:tabs>
            <w:spacing w:line="460" w:lineRule="exact"/>
          </w:pPr>
          <w:r>
            <w:fldChar w:fldCharType="begin"/>
          </w:r>
          <w:r>
            <w:instrText xml:space="preserve"> HYPERLINK \l _Toc31271 </w:instrText>
          </w:r>
          <w:r>
            <w:fldChar w:fldCharType="separate"/>
          </w:r>
          <w:r>
            <w:rPr>
              <w:rFonts w:hint="eastAsia"/>
            </w:rPr>
            <w:t>5 生产质量管理</w:t>
          </w:r>
          <w:r>
            <w:tab/>
          </w:r>
          <w:r>
            <w:fldChar w:fldCharType="end"/>
          </w:r>
          <w:r>
            <w:rPr>
              <w:rFonts w:hint="eastAsia"/>
            </w:rPr>
            <w:t>50</w:t>
          </w:r>
        </w:p>
        <w:p>
          <w:pPr>
            <w:pStyle w:val="12"/>
            <w:tabs>
              <w:tab w:val="right" w:leader="dot" w:pos="8844"/>
            </w:tabs>
            <w:spacing w:line="460" w:lineRule="exact"/>
          </w:pPr>
          <w:r>
            <w:fldChar w:fldCharType="begin"/>
          </w:r>
          <w:r>
            <w:instrText xml:space="preserve"> HYPERLINK \l _Toc13950 </w:instrText>
          </w:r>
          <w:r>
            <w:fldChar w:fldCharType="separate"/>
          </w:r>
          <w:r>
            <w:rPr>
              <w:rFonts w:hint="eastAsia"/>
            </w:rPr>
            <w:t>5.1生产技术准备</w:t>
          </w:r>
          <w:r>
            <w:tab/>
          </w:r>
          <w:r>
            <w:fldChar w:fldCharType="end"/>
          </w:r>
          <w:r>
            <w:rPr>
              <w:rFonts w:hint="eastAsia"/>
            </w:rPr>
            <w:t>50</w:t>
          </w:r>
        </w:p>
        <w:p>
          <w:pPr>
            <w:pStyle w:val="12"/>
            <w:tabs>
              <w:tab w:val="right" w:leader="dot" w:pos="8844"/>
            </w:tabs>
            <w:spacing w:line="460" w:lineRule="exact"/>
          </w:pPr>
          <w:r>
            <w:fldChar w:fldCharType="begin"/>
          </w:r>
          <w:r>
            <w:instrText xml:space="preserve"> HYPERLINK \l _Toc5135 </w:instrText>
          </w:r>
          <w:r>
            <w:fldChar w:fldCharType="separate"/>
          </w:r>
          <w:r>
            <w:rPr>
              <w:rFonts w:hint="eastAsia"/>
            </w:rPr>
            <w:t>5.2模具质量管理</w:t>
          </w:r>
          <w:r>
            <w:tab/>
          </w:r>
          <w:r>
            <w:fldChar w:fldCharType="end"/>
          </w:r>
          <w:r>
            <w:rPr>
              <w:rFonts w:hint="eastAsia"/>
            </w:rPr>
            <w:t>51</w:t>
          </w:r>
        </w:p>
        <w:p>
          <w:pPr>
            <w:pStyle w:val="12"/>
            <w:tabs>
              <w:tab w:val="right" w:leader="dot" w:pos="8844"/>
            </w:tabs>
            <w:spacing w:line="460" w:lineRule="exact"/>
          </w:pPr>
          <w:r>
            <w:fldChar w:fldCharType="begin"/>
          </w:r>
          <w:r>
            <w:instrText xml:space="preserve"> HYPERLINK \l _Toc11476 </w:instrText>
          </w:r>
          <w:r>
            <w:fldChar w:fldCharType="separate"/>
          </w:r>
          <w:r>
            <w:rPr>
              <w:rFonts w:hint="eastAsia"/>
            </w:rPr>
            <w:t>5.</w:t>
          </w:r>
          <w:r>
            <w:t>3</w:t>
          </w:r>
          <w:r>
            <w:rPr>
              <w:rFonts w:hint="eastAsia"/>
            </w:rPr>
            <w:t>物资质量管理</w:t>
          </w:r>
          <w:r>
            <w:tab/>
          </w:r>
          <w:r>
            <w:fldChar w:fldCharType="end"/>
          </w:r>
          <w:r>
            <w:rPr>
              <w:rFonts w:hint="eastAsia"/>
            </w:rPr>
            <w:t>52</w:t>
          </w:r>
        </w:p>
        <w:p>
          <w:pPr>
            <w:pStyle w:val="12"/>
            <w:tabs>
              <w:tab w:val="right" w:leader="dot" w:pos="8844"/>
            </w:tabs>
            <w:spacing w:line="460" w:lineRule="exact"/>
          </w:pPr>
          <w:r>
            <w:fldChar w:fldCharType="begin"/>
          </w:r>
          <w:r>
            <w:instrText xml:space="preserve"> HYPERLINK \l _Toc13832 </w:instrText>
          </w:r>
          <w:r>
            <w:fldChar w:fldCharType="separate"/>
          </w:r>
          <w:r>
            <w:rPr>
              <w:rFonts w:hint="eastAsia"/>
            </w:rPr>
            <w:t>5.</w:t>
          </w:r>
          <w:r>
            <w:t>4</w:t>
          </w:r>
          <w:r>
            <w:rPr>
              <w:rFonts w:hint="eastAsia"/>
            </w:rPr>
            <w:t>生产作业质量管理</w:t>
          </w:r>
          <w:r>
            <w:tab/>
          </w:r>
          <w:r>
            <w:fldChar w:fldCharType="end"/>
          </w:r>
          <w:r>
            <w:rPr>
              <w:rFonts w:hint="eastAsia"/>
            </w:rPr>
            <w:t>54</w:t>
          </w:r>
        </w:p>
        <w:p>
          <w:pPr>
            <w:pStyle w:val="12"/>
            <w:tabs>
              <w:tab w:val="right" w:leader="dot" w:pos="8844"/>
            </w:tabs>
            <w:spacing w:line="460" w:lineRule="exact"/>
          </w:pPr>
          <w:r>
            <w:fldChar w:fldCharType="begin"/>
          </w:r>
          <w:r>
            <w:instrText xml:space="preserve"> HYPERLINK \l _Toc20605 </w:instrText>
          </w:r>
          <w:r>
            <w:fldChar w:fldCharType="separate"/>
          </w:r>
          <w:r>
            <w:rPr>
              <w:rFonts w:hint="eastAsia"/>
            </w:rPr>
            <w:t>5.</w:t>
          </w:r>
          <w:r>
            <w:t>5</w:t>
          </w:r>
          <w:r>
            <w:rPr>
              <w:rFonts w:hint="eastAsia"/>
            </w:rPr>
            <w:t>储运管理</w:t>
          </w:r>
          <w:r>
            <w:tab/>
          </w:r>
          <w:r>
            <w:fldChar w:fldCharType="begin"/>
          </w:r>
          <w:r>
            <w:instrText xml:space="preserve"> PAGEREF _Toc20605 \h </w:instrText>
          </w:r>
          <w:r>
            <w:fldChar w:fldCharType="separate"/>
          </w:r>
          <w:r>
            <w:rPr>
              <w:rFonts w:hint="eastAsia"/>
            </w:rPr>
            <w:t>5</w:t>
          </w:r>
          <w:r>
            <w:t>6</w:t>
          </w:r>
          <w:r>
            <w:fldChar w:fldCharType="end"/>
          </w:r>
          <w:r>
            <w:fldChar w:fldCharType="end"/>
          </w:r>
        </w:p>
        <w:p>
          <w:pPr>
            <w:pStyle w:val="12"/>
            <w:tabs>
              <w:tab w:val="right" w:leader="dot" w:pos="8844"/>
            </w:tabs>
            <w:spacing w:line="460" w:lineRule="exact"/>
          </w:pPr>
          <w:r>
            <w:fldChar w:fldCharType="begin"/>
          </w:r>
          <w:r>
            <w:instrText xml:space="preserve"> HYPERLINK \l _Toc9556 </w:instrText>
          </w:r>
          <w:r>
            <w:fldChar w:fldCharType="separate"/>
          </w:r>
          <w:r>
            <w:rPr>
              <w:rFonts w:hint="eastAsia"/>
            </w:rPr>
            <w:t>5.</w:t>
          </w:r>
          <w:r>
            <w:t>6</w:t>
          </w:r>
          <w:r>
            <w:rPr>
              <w:rFonts w:hint="eastAsia"/>
            </w:rPr>
            <w:t>试验检验及验收管理</w:t>
          </w:r>
          <w:r>
            <w:tab/>
          </w:r>
          <w:r>
            <w:fldChar w:fldCharType="begin"/>
          </w:r>
          <w:r>
            <w:instrText xml:space="preserve"> PAGEREF _Toc9556 \h </w:instrText>
          </w:r>
          <w:r>
            <w:fldChar w:fldCharType="separate"/>
          </w:r>
          <w:r>
            <w:rPr>
              <w:rFonts w:hint="eastAsia"/>
            </w:rPr>
            <w:t>5</w:t>
          </w:r>
          <w:r>
            <w:t>7</w:t>
          </w:r>
          <w:r>
            <w:fldChar w:fldCharType="end"/>
          </w:r>
          <w:r>
            <w:fldChar w:fldCharType="end"/>
          </w:r>
        </w:p>
        <w:p>
          <w:pPr>
            <w:pStyle w:val="12"/>
            <w:tabs>
              <w:tab w:val="right" w:leader="dot" w:pos="8844"/>
            </w:tabs>
            <w:spacing w:line="460" w:lineRule="exact"/>
          </w:pPr>
          <w:r>
            <w:fldChar w:fldCharType="begin"/>
          </w:r>
          <w:r>
            <w:instrText xml:space="preserve"> HYPERLINK \l _Toc8044 </w:instrText>
          </w:r>
          <w:r>
            <w:fldChar w:fldCharType="separate"/>
          </w:r>
          <w:r>
            <w:rPr>
              <w:rFonts w:hint="eastAsia"/>
            </w:rPr>
            <w:t>5.</w:t>
          </w:r>
          <w:r>
            <w:t>7</w:t>
          </w:r>
          <w:r>
            <w:rPr>
              <w:rFonts w:hint="eastAsia"/>
            </w:rPr>
            <w:t>不合格品管理</w:t>
          </w:r>
          <w:r>
            <w:tab/>
          </w:r>
          <w:r>
            <w:fldChar w:fldCharType="begin"/>
          </w:r>
          <w:r>
            <w:instrText xml:space="preserve"> PAGEREF _Toc8044 \h </w:instrText>
          </w:r>
          <w:r>
            <w:fldChar w:fldCharType="separate"/>
          </w:r>
          <w:r>
            <w:rPr>
              <w:rFonts w:hint="eastAsia"/>
            </w:rPr>
            <w:t>5</w:t>
          </w:r>
          <w:r>
            <w:t>8</w:t>
          </w:r>
          <w:r>
            <w:fldChar w:fldCharType="end"/>
          </w:r>
          <w:r>
            <w:fldChar w:fldCharType="end"/>
          </w:r>
        </w:p>
        <w:p>
          <w:pPr>
            <w:pStyle w:val="12"/>
            <w:tabs>
              <w:tab w:val="right" w:leader="dot" w:pos="8844"/>
            </w:tabs>
            <w:spacing w:line="460" w:lineRule="exact"/>
          </w:pPr>
          <w:r>
            <w:fldChar w:fldCharType="begin"/>
          </w:r>
          <w:r>
            <w:instrText xml:space="preserve"> HYPERLINK \l _Toc24190 </w:instrText>
          </w:r>
          <w:r>
            <w:fldChar w:fldCharType="separate"/>
          </w:r>
          <w:r>
            <w:rPr>
              <w:rFonts w:hint="eastAsia"/>
            </w:rPr>
            <w:t>5.</w:t>
          </w:r>
          <w:r>
            <w:t>8</w:t>
          </w:r>
          <w:r>
            <w:rPr>
              <w:rFonts w:hint="eastAsia"/>
            </w:rPr>
            <w:t>质量分析和持续改进</w:t>
          </w:r>
          <w:r>
            <w:tab/>
          </w:r>
          <w:r>
            <w:fldChar w:fldCharType="begin"/>
          </w:r>
          <w:r>
            <w:instrText xml:space="preserve"> PAGEREF _Toc24190 \h </w:instrText>
          </w:r>
          <w:r>
            <w:fldChar w:fldCharType="separate"/>
          </w:r>
          <w:r>
            <w:rPr>
              <w:rFonts w:hint="eastAsia"/>
            </w:rPr>
            <w:t>5</w:t>
          </w:r>
          <w:r>
            <w:t>8</w:t>
          </w:r>
          <w:r>
            <w:fldChar w:fldCharType="end"/>
          </w:r>
          <w:r>
            <w:fldChar w:fldCharType="end"/>
          </w:r>
        </w:p>
        <w:p>
          <w:pPr>
            <w:pStyle w:val="11"/>
            <w:tabs>
              <w:tab w:val="right" w:leader="dot" w:pos="8844"/>
            </w:tabs>
            <w:spacing w:line="460" w:lineRule="exact"/>
          </w:pPr>
          <w:r>
            <w:fldChar w:fldCharType="begin"/>
          </w:r>
          <w:r>
            <w:instrText xml:space="preserve"> HYPERLINK \l _Toc5028 </w:instrText>
          </w:r>
          <w:r>
            <w:fldChar w:fldCharType="separate"/>
          </w:r>
          <w:r>
            <w:rPr>
              <w:rFonts w:hint="eastAsia"/>
            </w:rPr>
            <w:t>7 安装质量管理</w:t>
          </w:r>
          <w:r>
            <w:tab/>
          </w:r>
          <w:r>
            <w:fldChar w:fldCharType="end"/>
          </w:r>
          <w:r>
            <w:rPr>
              <w:rFonts w:hint="eastAsia"/>
            </w:rPr>
            <w:t>60</w:t>
          </w:r>
        </w:p>
        <w:p>
          <w:pPr>
            <w:pStyle w:val="12"/>
            <w:tabs>
              <w:tab w:val="right" w:leader="dot" w:pos="8844"/>
            </w:tabs>
            <w:spacing w:line="460" w:lineRule="exact"/>
          </w:pPr>
          <w:r>
            <w:fldChar w:fldCharType="begin"/>
          </w:r>
          <w:r>
            <w:instrText xml:space="preserve"> HYPERLINK \l _Toc28109 </w:instrText>
          </w:r>
          <w:r>
            <w:fldChar w:fldCharType="separate"/>
          </w:r>
          <w:r>
            <w:rPr>
              <w:rFonts w:hint="eastAsia"/>
            </w:rPr>
            <w:t>7.1 安装技术准备</w:t>
          </w:r>
          <w:r>
            <w:tab/>
          </w:r>
          <w:r>
            <w:fldChar w:fldCharType="end"/>
          </w:r>
          <w:r>
            <w:rPr>
              <w:rFonts w:hint="eastAsia"/>
            </w:rPr>
            <w:t>60</w:t>
          </w:r>
        </w:p>
        <w:p>
          <w:pPr>
            <w:pStyle w:val="12"/>
            <w:tabs>
              <w:tab w:val="right" w:leader="dot" w:pos="8844"/>
            </w:tabs>
            <w:spacing w:line="460" w:lineRule="exact"/>
          </w:pPr>
          <w:r>
            <w:fldChar w:fldCharType="begin"/>
          </w:r>
          <w:r>
            <w:instrText xml:space="preserve"> HYPERLINK \l _Toc16497 </w:instrText>
          </w:r>
          <w:r>
            <w:fldChar w:fldCharType="separate"/>
          </w:r>
          <w:r>
            <w:rPr>
              <w:rFonts w:hint="eastAsia"/>
            </w:rPr>
            <w:t>7.2 安装工具管理</w:t>
          </w:r>
          <w:r>
            <w:tab/>
          </w:r>
          <w:r>
            <w:fldChar w:fldCharType="end"/>
          </w:r>
          <w:r>
            <w:rPr>
              <w:rFonts w:hint="eastAsia"/>
            </w:rPr>
            <w:t>60</w:t>
          </w:r>
        </w:p>
        <w:p>
          <w:pPr>
            <w:pStyle w:val="12"/>
            <w:tabs>
              <w:tab w:val="right" w:leader="dot" w:pos="8844"/>
            </w:tabs>
            <w:spacing w:line="460" w:lineRule="exact"/>
          </w:pPr>
          <w:r>
            <w:fldChar w:fldCharType="begin"/>
          </w:r>
          <w:r>
            <w:instrText xml:space="preserve"> HYPERLINK \l _Toc31574 </w:instrText>
          </w:r>
          <w:r>
            <w:fldChar w:fldCharType="separate"/>
          </w:r>
          <w:r>
            <w:rPr>
              <w:rFonts w:hint="eastAsia"/>
            </w:rPr>
            <w:t>7.3 物资质量管理</w:t>
          </w:r>
          <w:r>
            <w:tab/>
          </w:r>
          <w:r>
            <w:fldChar w:fldCharType="end"/>
          </w:r>
          <w:r>
            <w:rPr>
              <w:rFonts w:hint="eastAsia"/>
            </w:rPr>
            <w:t>60</w:t>
          </w:r>
        </w:p>
        <w:p>
          <w:pPr>
            <w:pStyle w:val="12"/>
            <w:tabs>
              <w:tab w:val="right" w:leader="dot" w:pos="8844"/>
            </w:tabs>
            <w:spacing w:line="460" w:lineRule="exact"/>
          </w:pPr>
          <w:r>
            <w:fldChar w:fldCharType="begin"/>
          </w:r>
          <w:r>
            <w:instrText xml:space="preserve"> HYPERLINK \l _Toc28582 </w:instrText>
          </w:r>
          <w:r>
            <w:fldChar w:fldCharType="separate"/>
          </w:r>
          <w:r>
            <w:rPr>
              <w:rFonts w:hint="eastAsia"/>
            </w:rPr>
            <w:t>7.4 临时存放管理</w:t>
          </w:r>
          <w:r>
            <w:tab/>
          </w:r>
          <w:r>
            <w:fldChar w:fldCharType="end"/>
          </w:r>
          <w:r>
            <w:rPr>
              <w:rFonts w:hint="eastAsia"/>
            </w:rPr>
            <w:t>61</w:t>
          </w:r>
        </w:p>
        <w:p>
          <w:pPr>
            <w:pStyle w:val="12"/>
            <w:tabs>
              <w:tab w:val="right" w:leader="dot" w:pos="8844"/>
            </w:tabs>
            <w:spacing w:line="460" w:lineRule="exact"/>
          </w:pPr>
          <w:r>
            <w:fldChar w:fldCharType="begin"/>
          </w:r>
          <w:r>
            <w:instrText xml:space="preserve"> HYPERLINK \l _Toc11117 </w:instrText>
          </w:r>
          <w:r>
            <w:fldChar w:fldCharType="separate"/>
          </w:r>
          <w:r>
            <w:rPr>
              <w:rFonts w:hint="eastAsia"/>
            </w:rPr>
            <w:t>7.5 安装作业质量管理</w:t>
          </w:r>
          <w:r>
            <w:tab/>
          </w:r>
          <w:r>
            <w:fldChar w:fldCharType="end"/>
          </w:r>
          <w:r>
            <w:rPr>
              <w:rFonts w:hint="eastAsia"/>
            </w:rPr>
            <w:t>61</w:t>
          </w:r>
        </w:p>
        <w:p>
          <w:pPr>
            <w:pStyle w:val="12"/>
            <w:tabs>
              <w:tab w:val="right" w:leader="dot" w:pos="8844"/>
            </w:tabs>
            <w:spacing w:line="460" w:lineRule="exact"/>
          </w:pPr>
          <w:r>
            <w:fldChar w:fldCharType="begin"/>
          </w:r>
          <w:r>
            <w:instrText xml:space="preserve"> HYPERLINK \l _Toc22246 </w:instrText>
          </w:r>
          <w:r>
            <w:fldChar w:fldCharType="separate"/>
          </w:r>
          <w:r>
            <w:rPr>
              <w:rFonts w:hint="eastAsia"/>
            </w:rPr>
            <w:t>7.6 试验检验与验收管理</w:t>
          </w:r>
          <w:r>
            <w:tab/>
          </w:r>
          <w:r>
            <w:fldChar w:fldCharType="begin"/>
          </w:r>
          <w:r>
            <w:instrText xml:space="preserve"> PAGEREF _Toc22246 \h </w:instrText>
          </w:r>
          <w:r>
            <w:fldChar w:fldCharType="separate"/>
          </w:r>
          <w:r>
            <w:rPr>
              <w:rFonts w:hint="eastAsia"/>
            </w:rPr>
            <w:t>6</w:t>
          </w:r>
          <w:r>
            <w:fldChar w:fldCharType="end"/>
          </w:r>
          <w:r>
            <w:fldChar w:fldCharType="end"/>
          </w:r>
          <w:r>
            <w:rPr>
              <w:rFonts w:hint="eastAsia"/>
            </w:rPr>
            <w:t>2</w:t>
          </w:r>
        </w:p>
        <w:p>
          <w:pPr>
            <w:pStyle w:val="12"/>
            <w:tabs>
              <w:tab w:val="right" w:leader="dot" w:pos="8844"/>
            </w:tabs>
            <w:spacing w:line="460" w:lineRule="exact"/>
          </w:pPr>
          <w:r>
            <w:fldChar w:fldCharType="begin"/>
          </w:r>
          <w:r>
            <w:instrText xml:space="preserve"> HYPERLINK \l _Toc32060 </w:instrText>
          </w:r>
          <w:r>
            <w:fldChar w:fldCharType="separate"/>
          </w:r>
          <w:r>
            <w:rPr>
              <w:rFonts w:hint="eastAsia"/>
            </w:rPr>
            <w:t>7.7 不合格品管理</w:t>
          </w:r>
          <w:r>
            <w:tab/>
          </w:r>
          <w:r>
            <w:fldChar w:fldCharType="end"/>
          </w:r>
          <w:r>
            <w:rPr>
              <w:rFonts w:hint="eastAsia"/>
            </w:rPr>
            <w:t>63</w:t>
          </w:r>
        </w:p>
        <w:p>
          <w:pPr>
            <w:pStyle w:val="12"/>
            <w:tabs>
              <w:tab w:val="right" w:leader="dot" w:pos="8844"/>
            </w:tabs>
            <w:spacing w:line="460" w:lineRule="exact"/>
          </w:pPr>
          <w:r>
            <w:fldChar w:fldCharType="begin"/>
          </w:r>
          <w:r>
            <w:instrText xml:space="preserve"> HYPERLINK \l _Toc102 </w:instrText>
          </w:r>
          <w:r>
            <w:fldChar w:fldCharType="separate"/>
          </w:r>
          <w:r>
            <w:rPr>
              <w:rFonts w:hint="eastAsia"/>
            </w:rPr>
            <w:t>7.8 质量分析和持续改进</w:t>
          </w:r>
          <w:r>
            <w:tab/>
          </w:r>
          <w:r>
            <w:fldChar w:fldCharType="end"/>
          </w:r>
          <w:r>
            <w:rPr>
              <w:rFonts w:hint="eastAsia"/>
            </w:rPr>
            <w:t>63</w:t>
          </w:r>
        </w:p>
        <w:p>
          <w:pPr>
            <w:pStyle w:val="11"/>
            <w:tabs>
              <w:tab w:val="right" w:leader="dot" w:pos="8844"/>
            </w:tabs>
            <w:spacing w:line="460" w:lineRule="exact"/>
          </w:pPr>
          <w:r>
            <w:fldChar w:fldCharType="begin"/>
          </w:r>
          <w:r>
            <w:instrText xml:space="preserve"> HYPERLINK \l _Toc788 </w:instrText>
          </w:r>
          <w:r>
            <w:fldChar w:fldCharType="separate"/>
          </w:r>
          <w:r>
            <w:rPr>
              <w:rFonts w:hint="eastAsia"/>
            </w:rPr>
            <w:t>8 质量追溯性管理</w:t>
          </w:r>
          <w:r>
            <w:tab/>
          </w:r>
          <w:r>
            <w:fldChar w:fldCharType="end"/>
          </w:r>
          <w:r>
            <w:rPr>
              <w:rFonts w:hint="eastAsia"/>
            </w:rPr>
            <w:t>64</w:t>
          </w:r>
        </w:p>
        <w:p>
          <w:pPr>
            <w:pStyle w:val="12"/>
            <w:tabs>
              <w:tab w:val="right" w:leader="dot" w:pos="8844"/>
            </w:tabs>
            <w:spacing w:line="460" w:lineRule="exact"/>
          </w:pPr>
          <w:r>
            <w:fldChar w:fldCharType="begin"/>
          </w:r>
          <w:r>
            <w:instrText xml:space="preserve"> HYPERLINK \l _Toc19063 </w:instrText>
          </w:r>
          <w:r>
            <w:fldChar w:fldCharType="separate"/>
          </w:r>
          <w:r>
            <w:rPr>
              <w:rFonts w:hint="eastAsia"/>
            </w:rPr>
            <w:t>8.1 资料管理</w:t>
          </w:r>
          <w:r>
            <w:tab/>
          </w:r>
          <w:r>
            <w:fldChar w:fldCharType="end"/>
          </w:r>
          <w:r>
            <w:rPr>
              <w:rFonts w:hint="eastAsia"/>
            </w:rPr>
            <w:t>64</w:t>
          </w:r>
        </w:p>
        <w:p>
          <w:pPr>
            <w:pStyle w:val="12"/>
            <w:tabs>
              <w:tab w:val="right" w:leader="dot" w:pos="8844"/>
            </w:tabs>
            <w:spacing w:line="460" w:lineRule="exact"/>
          </w:pPr>
          <w:r>
            <w:fldChar w:fldCharType="begin"/>
          </w:r>
          <w:r>
            <w:instrText xml:space="preserve"> HYPERLINK \l _Toc27196 </w:instrText>
          </w:r>
          <w:r>
            <w:fldChar w:fldCharType="separate"/>
          </w:r>
          <w:r>
            <w:rPr>
              <w:rFonts w:hint="eastAsia"/>
            </w:rPr>
            <w:t>8.2 标识管理</w:t>
          </w:r>
          <w:r>
            <w:tab/>
          </w:r>
          <w:r>
            <w:fldChar w:fldCharType="end"/>
          </w:r>
          <w:r>
            <w:rPr>
              <w:rFonts w:hint="eastAsia"/>
            </w:rPr>
            <w:t>64</w:t>
          </w:r>
        </w:p>
        <w:p>
          <w:pPr>
            <w:pStyle w:val="12"/>
            <w:tabs>
              <w:tab w:val="right" w:leader="dot" w:pos="8844"/>
            </w:tabs>
            <w:spacing w:line="460" w:lineRule="exact"/>
          </w:pPr>
          <w:r>
            <w:fldChar w:fldCharType="begin"/>
          </w:r>
          <w:r>
            <w:instrText xml:space="preserve"> HYPERLINK \l _Toc15507 </w:instrText>
          </w:r>
          <w:r>
            <w:fldChar w:fldCharType="separate"/>
          </w:r>
          <w:r>
            <w:rPr>
              <w:rFonts w:hint="eastAsia"/>
            </w:rPr>
            <w:t>8.3 信息化管理</w:t>
          </w:r>
          <w:r>
            <w:tab/>
          </w:r>
          <w:r>
            <w:fldChar w:fldCharType="end"/>
          </w:r>
          <w:r>
            <w:rPr>
              <w:rFonts w:hint="eastAsia"/>
            </w:rPr>
            <w:t>65</w:t>
          </w:r>
        </w:p>
        <w:p>
          <w:pPr>
            <w:rPr>
              <w:vanish/>
            </w:rPr>
          </w:pPr>
          <w:r>
            <w:fldChar w:fldCharType="end"/>
          </w:r>
        </w:p>
      </w:sdtContent>
    </w:sdt>
    <w:p>
      <w:bookmarkStart w:id="553" w:name="_Toc27487"/>
      <w:r>
        <w:br w:type="page"/>
      </w:r>
    </w:p>
    <w:bookmarkEnd w:id="553"/>
    <w:p>
      <w:pPr>
        <w:pStyle w:val="2"/>
        <w:spacing w:before="312" w:after="312"/>
      </w:pPr>
      <w:bookmarkStart w:id="554" w:name="_Toc15145"/>
      <w:bookmarkStart w:id="555" w:name="_Toc16462"/>
      <w:bookmarkStart w:id="556" w:name="_Toc23205"/>
      <w:bookmarkStart w:id="557" w:name="_Toc26327"/>
      <w:bookmarkStart w:id="558" w:name="_Toc9316"/>
      <w:bookmarkStart w:id="559" w:name="_Toc4533"/>
      <w:bookmarkStart w:id="560" w:name="_Toc32689"/>
      <w:bookmarkStart w:id="561" w:name="_Toc20474"/>
      <w:bookmarkStart w:id="562" w:name="_Toc23330"/>
      <w:bookmarkStart w:id="563" w:name="_Toc25117"/>
      <w:bookmarkStart w:id="564" w:name="_Toc29288"/>
      <w:bookmarkStart w:id="565" w:name="_Toc3061"/>
      <w:r>
        <w:t>1 总则</w:t>
      </w:r>
      <w:bookmarkEnd w:id="554"/>
      <w:bookmarkEnd w:id="555"/>
      <w:bookmarkEnd w:id="556"/>
      <w:bookmarkEnd w:id="557"/>
      <w:bookmarkEnd w:id="558"/>
    </w:p>
    <w:p>
      <w:pPr>
        <w:pStyle w:val="20"/>
      </w:pPr>
      <w:r>
        <w:rPr>
          <w:rFonts w:hint="eastAsia"/>
          <w:b/>
        </w:rPr>
        <w:t>1</w:t>
      </w:r>
      <w:r>
        <w:rPr>
          <w:b/>
        </w:rPr>
        <w:t xml:space="preserve">.0.2 </w:t>
      </w:r>
      <w:r>
        <w:rPr>
          <w:rFonts w:hint="eastAsia"/>
        </w:rPr>
        <w:t>本标准规定的预制构件主要包括混凝土预制桩、预制条形基础、预制杯口基础、预制梁、柱、剪力墙、</w:t>
      </w:r>
      <w:r>
        <w:rPr>
          <w:rFonts w:hint="eastAsia"/>
          <w:highlight w:val="none"/>
        </w:rPr>
        <w:t>内墙板、</w:t>
      </w:r>
      <w:r>
        <w:rPr>
          <w:rFonts w:hint="eastAsia"/>
        </w:rPr>
        <w:t>外墙板、楼板、楼梯、阳台、预制管涵、预制挡土墙及混凝土模块等，未纳入标准范围的其他预制混凝土构件可参照执行。</w:t>
      </w:r>
    </w:p>
    <w:p>
      <w:pPr>
        <w:pStyle w:val="2"/>
        <w:spacing w:before="312" w:after="312"/>
        <w:rPr>
          <w:color w:val="auto"/>
        </w:rPr>
      </w:pPr>
      <w:bookmarkStart w:id="566" w:name="_Toc155259516"/>
      <w:r>
        <w:rPr>
          <w:rFonts w:hint="eastAsia"/>
          <w:color w:val="auto"/>
        </w:rPr>
        <w:t>2 术语和定义</w:t>
      </w:r>
      <w:bookmarkEnd w:id="566"/>
    </w:p>
    <w:p>
      <w:pPr>
        <w:pStyle w:val="20"/>
        <w:rPr>
          <w:color w:val="auto"/>
        </w:rPr>
      </w:pPr>
      <w:r>
        <w:rPr>
          <w:rFonts w:hint="eastAsia"/>
          <w:b/>
          <w:bCs/>
          <w:color w:val="auto"/>
        </w:rPr>
        <w:t>2.0.2</w:t>
      </w:r>
      <w:r>
        <w:rPr>
          <w:rFonts w:hint="eastAsia"/>
          <w:color w:val="auto"/>
        </w:rPr>
        <w:t xml:space="preserve"> 本标准规定的预制构件除1</w:t>
      </w:r>
      <w:r>
        <w:rPr>
          <w:color w:val="auto"/>
        </w:rPr>
        <w:t>.0.2</w:t>
      </w:r>
      <w:r>
        <w:rPr>
          <w:rFonts w:hint="eastAsia"/>
          <w:color w:val="auto"/>
        </w:rPr>
        <w:t>已经明确的类型外，不包括以普通混凝土成型的非承重空心条板，或以轻质骨料混凝土、泡沫混凝土、聚苯颗粒混凝土等为主要材料成型的非承重构件，这些构件的技术要求、生产工艺、质量标准与上述1</w:t>
      </w:r>
      <w:r>
        <w:rPr>
          <w:color w:val="auto"/>
        </w:rPr>
        <w:t>.0.2</w:t>
      </w:r>
      <w:r>
        <w:rPr>
          <w:rFonts w:hint="eastAsia"/>
          <w:color w:val="auto"/>
        </w:rPr>
        <w:t>说明的预制构件差异较大，需另外制定标准进行规范。</w:t>
      </w:r>
    </w:p>
    <w:p>
      <w:pPr>
        <w:pStyle w:val="20"/>
        <w:rPr>
          <w:rFonts w:hint="eastAsia"/>
        </w:rPr>
      </w:pPr>
    </w:p>
    <w:p>
      <w:pPr>
        <w:pStyle w:val="2"/>
        <w:spacing w:before="312" w:after="312"/>
      </w:pPr>
      <w:bookmarkStart w:id="567" w:name="_Toc20484"/>
      <w:bookmarkStart w:id="568" w:name="_Toc21290"/>
      <w:bookmarkStart w:id="569" w:name="_Toc31043"/>
      <w:bookmarkStart w:id="570" w:name="_Toc19022"/>
      <w:bookmarkStart w:id="571" w:name="_Toc14787"/>
      <w:r>
        <w:rPr>
          <w:rFonts w:hint="eastAsia"/>
        </w:rPr>
        <w:t>3基本规定</w:t>
      </w:r>
      <w:bookmarkEnd w:id="559"/>
      <w:bookmarkEnd w:id="560"/>
      <w:bookmarkEnd w:id="561"/>
      <w:bookmarkEnd w:id="562"/>
      <w:bookmarkEnd w:id="563"/>
      <w:bookmarkEnd w:id="564"/>
      <w:bookmarkEnd w:id="565"/>
      <w:bookmarkEnd w:id="567"/>
      <w:bookmarkEnd w:id="568"/>
      <w:bookmarkEnd w:id="569"/>
      <w:bookmarkEnd w:id="570"/>
      <w:bookmarkEnd w:id="571"/>
    </w:p>
    <w:p>
      <w:pPr>
        <w:pStyle w:val="20"/>
      </w:pPr>
      <w:r>
        <w:rPr>
          <w:rFonts w:hint="eastAsia"/>
          <w:b/>
          <w:bCs/>
        </w:rPr>
        <w:t>3.0.1</w:t>
      </w:r>
      <w:r>
        <w:rPr>
          <w:rFonts w:hint="eastAsia"/>
        </w:rPr>
        <w:t xml:space="preserve"> 预制构件生产企业具有的生产设施和设备是对预制构件生产企业评价分级的重要指标，开展预制构件生产、检验必要生产设施和设备主要有混凝土加工设备、起吊设备、钢筋加工设备、模具、原材料检测设备、构件性能检验设备等。</w:t>
      </w:r>
    </w:p>
    <w:p>
      <w:pPr>
        <w:pStyle w:val="20"/>
      </w:pPr>
      <w:r>
        <w:rPr>
          <w:rFonts w:hint="eastAsia"/>
          <w:b/>
          <w:bCs/>
        </w:rPr>
        <w:t>3.0.</w:t>
      </w:r>
      <w:r>
        <w:rPr>
          <w:b/>
          <w:bCs/>
        </w:rPr>
        <w:t>4</w:t>
      </w:r>
      <w:r>
        <w:rPr>
          <w:rFonts w:hint="eastAsia"/>
          <w:b/>
          <w:bCs/>
        </w:rPr>
        <w:t xml:space="preserve"> </w:t>
      </w:r>
      <w:r>
        <w:rPr>
          <w:rFonts w:hint="eastAsia"/>
        </w:rPr>
        <w:t>做好对员工专业技能岗位的培训，促使员工熟练使用生产设施和设备，是提高生产效率、保障预制构件质量的前提工作。目前，国家和地方十分重视装配式建筑工人的培训和提高，在职业目录中新增了装配式建筑施工员等相应工种和技能要求。质量管控、安全管控等关键岗位，每年至少应组织一次集中培训，培训不少于20个学时。</w:t>
      </w:r>
    </w:p>
    <w:p>
      <w:pPr>
        <w:pStyle w:val="20"/>
      </w:pPr>
      <w:r>
        <w:rPr>
          <w:rFonts w:hint="eastAsia"/>
          <w:b/>
          <w:bCs/>
        </w:rPr>
        <w:t>3.0.</w:t>
      </w:r>
      <w:r>
        <w:rPr>
          <w:b/>
          <w:bCs/>
        </w:rPr>
        <w:t>5</w:t>
      </w:r>
      <w:r>
        <w:rPr>
          <w:rFonts w:hint="eastAsia"/>
        </w:rPr>
        <w:t xml:space="preserve"> </w:t>
      </w:r>
      <w:r>
        <w:t>员工对生产设备的熟悉操作、对生产技术及工艺要求、对设计及深化图纸的理解，是构件生产和安装施工质量的保证。</w:t>
      </w:r>
    </w:p>
    <w:p>
      <w:pPr>
        <w:pStyle w:val="20"/>
      </w:pPr>
      <w:r>
        <w:rPr>
          <w:rFonts w:hint="eastAsia"/>
          <w:b/>
          <w:bCs/>
        </w:rPr>
        <w:t>3.0.7</w:t>
      </w:r>
      <w:r>
        <w:rPr>
          <w:rFonts w:hint="eastAsia"/>
        </w:rPr>
        <w:t xml:space="preserve"> 其中前三项检验是预制构件制作时、出厂前的检验批质量控制，适用于预制构件企业内部质量控制；进场验收适用于预制构件进入施工现场后的质量验收。</w:t>
      </w:r>
    </w:p>
    <w:p>
      <w:pPr>
        <w:pStyle w:val="20"/>
      </w:pPr>
      <w:r>
        <w:rPr>
          <w:rFonts w:hint="eastAsia"/>
          <w:b/>
          <w:bCs/>
        </w:rPr>
        <w:t>3.0.</w:t>
      </w:r>
      <w:r>
        <w:rPr>
          <w:b/>
          <w:bCs/>
        </w:rPr>
        <w:t>9</w:t>
      </w:r>
      <w:r>
        <w:rPr>
          <w:rFonts w:hint="eastAsia"/>
          <w:b/>
          <w:bCs/>
        </w:rPr>
        <w:t xml:space="preserve"> </w:t>
      </w:r>
      <w:r>
        <w:rPr>
          <w:rFonts w:hint="eastAsia"/>
        </w:rPr>
        <w:t>预制构件生产企业的检验批应按混凝土预制构件的生产日期、类型、批次进行检验批划分，其混凝土及原材料、钢筋等内容的检验批数量应参考《海南省装配式混凝土预制构件生产和安装技术标准》D</w:t>
      </w:r>
      <w:r>
        <w:t>BJ 46-058、</w:t>
      </w:r>
      <w:r>
        <w:rPr>
          <w:rFonts w:hint="eastAsia"/>
        </w:rPr>
        <w:t>《混凝土结构工程施工质量验收规范》GB 50204等标准进行划分。</w:t>
      </w:r>
    </w:p>
    <w:p>
      <w:pPr>
        <w:pStyle w:val="20"/>
      </w:pPr>
      <w:r>
        <w:rPr>
          <w:rFonts w:hint="eastAsia"/>
          <w:b/>
          <w:bCs/>
        </w:rPr>
        <w:t>3.0.10</w:t>
      </w:r>
      <w:r>
        <w:rPr>
          <w:rFonts w:hint="eastAsia"/>
        </w:rPr>
        <w:t xml:space="preserve"> 其中隐蔽工程验收记录、预应力筋张拉记录是预制构件生产过程的关键验收记录；预制构件成品质量检验应包括构件外观质量、尺寸偏差和构件性能检验。</w:t>
      </w:r>
    </w:p>
    <w:p>
      <w:pPr>
        <w:pStyle w:val="20"/>
      </w:pPr>
      <w:r>
        <w:rPr>
          <w:rFonts w:hint="eastAsia"/>
          <w:b/>
          <w:bCs/>
        </w:rPr>
        <w:t>3.0.1</w:t>
      </w:r>
      <w:r>
        <w:rPr>
          <w:b/>
          <w:bCs/>
        </w:rPr>
        <w:t>2</w:t>
      </w:r>
      <w:r>
        <w:rPr>
          <w:rFonts w:hint="eastAsia"/>
          <w:b/>
          <w:bCs/>
        </w:rPr>
        <w:t xml:space="preserve"> </w:t>
      </w:r>
      <w:r>
        <w:rPr>
          <w:rFonts w:hint="eastAsia"/>
        </w:rPr>
        <w:t>混凝土预制构件的边角，在存放、运输过程中容易出现磕碰掉角，因此预制构件在存放、转运等过程中应做好相应的成品保护措施；例如叠合楼板在存放时，应用枕木垫在下部，堆放层数宜根据具体受力情况确定，同时应便于养护。</w:t>
      </w:r>
    </w:p>
    <w:p>
      <w:pPr>
        <w:pStyle w:val="20"/>
      </w:pPr>
      <w:r>
        <w:br w:type="page"/>
      </w:r>
    </w:p>
    <w:p>
      <w:pPr>
        <w:pStyle w:val="2"/>
        <w:spacing w:before="312" w:after="312"/>
      </w:pPr>
      <w:bookmarkStart w:id="572" w:name="_Toc8472"/>
      <w:bookmarkStart w:id="573" w:name="_Toc25477"/>
      <w:bookmarkStart w:id="574" w:name="_Toc4656"/>
      <w:bookmarkStart w:id="575" w:name="_Toc17638"/>
      <w:bookmarkStart w:id="576" w:name="_Toc11751"/>
      <w:bookmarkStart w:id="577" w:name="_Toc10361"/>
      <w:bookmarkStart w:id="578" w:name="_Toc11502"/>
      <w:bookmarkStart w:id="579" w:name="_Toc25457"/>
      <w:bookmarkStart w:id="580" w:name="_Toc25652"/>
      <w:bookmarkStart w:id="581" w:name="_Toc20571"/>
      <w:bookmarkStart w:id="582" w:name="_Toc14567"/>
      <w:bookmarkStart w:id="583" w:name="_Toc10641"/>
      <w:bookmarkStart w:id="584" w:name="_Toc2126"/>
      <w:bookmarkStart w:id="585" w:name="_Toc7601"/>
      <w:bookmarkStart w:id="586" w:name="_Toc5822"/>
      <w:r>
        <w:rPr>
          <w:rFonts w:hint="eastAsia"/>
        </w:rPr>
        <w:t>4 质量管理体系</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pStyle w:val="3"/>
        <w:spacing w:before="312" w:after="312"/>
      </w:pPr>
      <w:bookmarkStart w:id="587" w:name="_Toc20669"/>
      <w:bookmarkStart w:id="588" w:name="_Toc22905"/>
      <w:bookmarkStart w:id="589" w:name="_Toc5202"/>
      <w:bookmarkStart w:id="590" w:name="_Toc32219"/>
      <w:bookmarkStart w:id="591" w:name="_Toc25033"/>
      <w:bookmarkStart w:id="592" w:name="_Toc27681"/>
      <w:bookmarkStart w:id="593" w:name="_Toc8882"/>
      <w:bookmarkStart w:id="594" w:name="_Toc28485"/>
      <w:bookmarkStart w:id="595" w:name="_Toc31134"/>
      <w:bookmarkStart w:id="596" w:name="_Toc2508"/>
      <w:bookmarkStart w:id="597" w:name="_Toc4368"/>
      <w:bookmarkStart w:id="598" w:name="_Toc15641"/>
      <w:bookmarkStart w:id="599" w:name="_Toc8812"/>
      <w:bookmarkStart w:id="600" w:name="_Toc20735"/>
      <w:bookmarkStart w:id="601" w:name="_Toc11623"/>
      <w:r>
        <w:rPr>
          <w:rFonts w:hint="eastAsia"/>
        </w:rPr>
        <w:t>4.1 质量管理体系建立</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pStyle w:val="22"/>
        <w:ind w:firstLine="480"/>
      </w:pPr>
      <w:bookmarkStart w:id="602" w:name="_Toc31866"/>
      <w:bookmarkStart w:id="603" w:name="_Toc30812"/>
      <w:bookmarkStart w:id="604" w:name="_Toc11287"/>
      <w:r>
        <w:t>本规范</w:t>
      </w:r>
      <w:r>
        <w:rPr>
          <w:rFonts w:hint="eastAsia"/>
        </w:rPr>
        <w:t>第</w:t>
      </w:r>
      <w:r>
        <w:rPr>
          <w:rFonts w:hint="eastAsia"/>
          <w:b/>
          <w:bCs/>
        </w:rPr>
        <w:t>4</w:t>
      </w:r>
      <w:r>
        <w:rPr>
          <w:b/>
          <w:bCs/>
        </w:rPr>
        <w:t>.1.1</w:t>
      </w:r>
      <w:r>
        <w:rPr>
          <w:rFonts w:hint="eastAsia"/>
        </w:rPr>
        <w:t>~</w:t>
      </w:r>
      <w:r>
        <w:rPr>
          <w:rFonts w:hint="eastAsia"/>
          <w:b/>
          <w:bCs/>
        </w:rPr>
        <w:t>4</w:t>
      </w:r>
      <w:r>
        <w:rPr>
          <w:b/>
          <w:bCs/>
        </w:rPr>
        <w:t>.1.5</w:t>
      </w:r>
      <w:r>
        <w:t>条规定，预制构件生产及</w:t>
      </w:r>
      <w:r>
        <w:rPr>
          <w:rFonts w:hint="eastAsia"/>
        </w:rPr>
        <w:t>施工企业</w:t>
      </w:r>
      <w:r>
        <w:t>均应建立起有效的质量管理体系，质量管理体系的程序、逻辑、内容要符合《质量管理体系要求》GB/T 19001的相关要求，并保持质量管理体系的有效运行与实施。其中《质量管理体系要求》GB/T 19001规定企业组织要明确质量方针与目标</w:t>
      </w:r>
      <w:r>
        <w:rPr>
          <w:rFonts w:hint="eastAsia"/>
        </w:rPr>
        <w:t>和</w:t>
      </w:r>
      <w:r>
        <w:t>管理者代表，并有满足企业组织运转的组织机构及岗位人员、设备、环境，同时企业组织还应建立相应的管理程序及文件记录。</w:t>
      </w:r>
    </w:p>
    <w:p>
      <w:pPr>
        <w:pStyle w:val="3"/>
        <w:spacing w:before="312" w:after="312"/>
      </w:pPr>
      <w:bookmarkStart w:id="605" w:name="_Toc11537"/>
      <w:bookmarkStart w:id="606" w:name="_Toc2353"/>
      <w:bookmarkStart w:id="607" w:name="_Toc15843"/>
      <w:bookmarkStart w:id="608" w:name="_Toc169"/>
      <w:bookmarkStart w:id="609" w:name="_Toc12909"/>
      <w:bookmarkStart w:id="610" w:name="_Toc8502"/>
      <w:bookmarkStart w:id="611" w:name="_Toc13343"/>
      <w:bookmarkStart w:id="612" w:name="_Toc18742"/>
      <w:bookmarkStart w:id="613" w:name="_Toc26208"/>
      <w:bookmarkStart w:id="614" w:name="_Toc5600"/>
      <w:bookmarkStart w:id="615" w:name="_Toc27580"/>
      <w:bookmarkStart w:id="616" w:name="_Toc20085"/>
      <w:r>
        <w:rPr>
          <w:rFonts w:hint="eastAsia"/>
        </w:rPr>
        <w:t>4.2 预制构件制造能力等级评定及资源配置要求</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pStyle w:val="22"/>
        <w:ind w:firstLine="0" w:firstLineChars="0"/>
      </w:pPr>
      <w:r>
        <w:rPr>
          <w:rFonts w:hint="eastAsia"/>
          <w:b/>
          <w:kern w:val="2"/>
        </w:rPr>
        <w:t>4.2.1</w:t>
      </w:r>
      <w:r>
        <w:rPr>
          <w:rFonts w:hint="eastAsia"/>
        </w:rPr>
        <w:t xml:space="preserve"> 对预制构件生产企业的制造能力进行综合评分。评分内容主要从场地与设施条件、综合运营与标准化管理水平、产品质量与研发、生产安全与环境等方面进行考虑，参考国内其他省市的《预制混凝土构件生产企业星级评价标准》中的各项条件进行设置。本章节的星级评定建议由海南省住房和城乡建设厅、海南省工业和信息化厅及海南省市场监督管理局共同商议委托行业协会或装配式建筑产业技术创新联盟进行组织评定。评定前应根据本标准细化相关评定内容及要求，并出台相关的评定管理办法。</w:t>
      </w:r>
    </w:p>
    <w:p>
      <w:pPr>
        <w:pStyle w:val="22"/>
        <w:ind w:firstLine="0" w:firstLineChars="0"/>
      </w:pPr>
      <w:r>
        <w:rPr>
          <w:rFonts w:hint="eastAsia"/>
          <w:b/>
          <w:kern w:val="2"/>
        </w:rPr>
        <w:t>4.2.2</w:t>
      </w:r>
      <w:r>
        <w:rPr>
          <w:rFonts w:hint="eastAsia"/>
        </w:rPr>
        <w:t xml:space="preserve"> 一般来说，企业连续生产两年以上，才能积累一定的生产和管理经验，才具备连续生产的能力和相对稳定的保障体系。因此本标准规定申报企业应至少连续生产满两年。通过调研，小型预制混凝土构件生产工厂的生产车间最小为3000 m</w:t>
      </w:r>
      <w:r>
        <w:rPr>
          <w:rFonts w:hint="eastAsia"/>
          <w:vertAlign w:val="superscript"/>
        </w:rPr>
        <w:t>2</w:t>
      </w:r>
      <w:r>
        <w:rPr>
          <w:rFonts w:hint="eastAsia"/>
        </w:rPr>
        <w:t>，方可满足主要生产设备和检测设备的布置。所以规定生产车间3000 m</w:t>
      </w:r>
      <w:r>
        <w:rPr>
          <w:rFonts w:hint="eastAsia"/>
          <w:vertAlign w:val="superscript"/>
        </w:rPr>
        <w:t>2</w:t>
      </w:r>
      <w:r>
        <w:rPr>
          <w:rFonts w:hint="eastAsia"/>
        </w:rPr>
        <w:t>作为场地规模的起评点，场地规模越大分值越高。</w:t>
      </w:r>
    </w:p>
    <w:p>
      <w:pPr>
        <w:pStyle w:val="22"/>
        <w:ind w:firstLine="0" w:firstLineChars="0"/>
      </w:pPr>
      <w:r>
        <w:rPr>
          <w:rFonts w:hint="eastAsia"/>
          <w:b/>
          <w:kern w:val="2"/>
        </w:rPr>
        <w:t>4.2.6</w:t>
      </w:r>
      <w:r>
        <w:rPr>
          <w:rFonts w:hint="eastAsia"/>
        </w:rPr>
        <w:t xml:space="preserve"> 预制构件生产企业生产车间及堆场场地面积会直接影响构件生产规模。在本标准中，生产车间面积包含生产车间、钢筋加工车间、模具加工车间等生产操作所涵盖的面积。预制构件生产企业的核心设备包括混凝土加工设备、起吊设备、钢筋加工设备。混凝土加工设备主要指混凝土搅拌站成套设备，设备型号反映了产能大小；无混凝土搅拌设备或无自有混凝土搅拌设备时，可提供混凝土搅拌设备相关的租赁证明或1年以上的混凝土供应合同。起装设备必须是工厂常备的设备，不包括临时租用设备。钢筋加工设备，主要评价自动化程度，目的鼓励企业使用自动化程度高的设备，提供构件生产质量。</w:t>
      </w:r>
    </w:p>
    <w:p>
      <w:pPr>
        <w:pStyle w:val="22"/>
        <w:ind w:firstLine="480"/>
      </w:pPr>
      <w:r>
        <w:rPr>
          <w:rFonts w:hint="eastAsia"/>
        </w:rPr>
        <w:t>根据实际情况及地区差异性等客观条件，自动化流水线等生产设备、模具加工车间及设备、预应力构件生产设备，可不视作企业生产必备的设备，企业配置了这些设备，对于提高效率和质量有一定的帮助，设置加分项鼓励企业采用。</w:t>
      </w:r>
    </w:p>
    <w:p>
      <w:pPr>
        <w:pStyle w:val="22"/>
        <w:ind w:firstLine="480"/>
      </w:pPr>
      <w:r>
        <w:rPr>
          <w:rFonts w:hint="eastAsia"/>
        </w:rPr>
        <w:t>原材料和配合比的检测是生产企业正常生产过程中的常规检测项目，是生产企业应当具备的能力。生产企业应具备一定的质量检测能力，并配置相关检测设备人员；当配置设备及人员存在困难，应与第三方检测机构建立合作关系，由第三方检测机构给予技术支持。</w:t>
      </w:r>
    </w:p>
    <w:p>
      <w:pPr>
        <w:pStyle w:val="22"/>
        <w:ind w:firstLine="0" w:firstLineChars="0"/>
      </w:pPr>
      <w:r>
        <w:rPr>
          <w:rFonts w:hint="eastAsia"/>
          <w:b/>
          <w:kern w:val="2"/>
        </w:rPr>
        <w:t>4.2.7</w:t>
      </w:r>
      <w:r>
        <w:rPr>
          <w:rFonts w:hint="eastAsia"/>
        </w:rPr>
        <w:t xml:space="preserve"> 人员配备通常包括人员素质和数量两个方面。本标准按照关键岗位负责人和技术工人两大类进行评价，并以有经验人员占比和参加行业协会技术培训人员占比作为两大核心指标。关键岗位负责人指与对产品质量有重要管理责任的人员，包括厂长（经理）、技术负责人（总工）、试验室主任等九大岗位。预制构件生产企业的管理人员和工人相对稳定，人员的实践经验对于企业、对于产品质量影响最大，所以本标准不采用学历或职称来衡量预制构件生产企业的从业人员素质，而是按照人员在工厂干或装配式建筑领域的实际从业年限（经验）作为人员素质水平高低主要依据，并以有经验人员占比的分布情况，作为人员配备情况的核心指标，检查评定时，可查阅其简历、劳动合同、社保、相关技术职业资格及职称进行综合评价。技术工人从业经验的评定主要依据装配式建筑相关的工种证书或职业证、相关单位社保证明、行业协会或装配式建筑产业技术创新联盟组织的工人定期培训和考试，包括理论和实操。</w:t>
      </w:r>
    </w:p>
    <w:p>
      <w:pPr>
        <w:pStyle w:val="22"/>
        <w:ind w:firstLine="0" w:firstLineChars="0"/>
      </w:pPr>
      <w:r>
        <w:rPr>
          <w:rFonts w:hint="eastAsia"/>
          <w:b/>
          <w:kern w:val="2"/>
        </w:rPr>
        <w:t>4.2.8</w:t>
      </w:r>
      <w:r>
        <w:rPr>
          <w:rFonts w:hint="eastAsia"/>
        </w:rPr>
        <w:t xml:space="preserve"> 预制构件生产企业应按照海南省《装配式混凝土预制构件生产及安装技术标准》的要求，完善构件生产的过程检查、成品检查、型式检验、验收，并建立完整的技术管理资料。</w:t>
      </w:r>
    </w:p>
    <w:p>
      <w:pPr>
        <w:pStyle w:val="3"/>
        <w:spacing w:before="312" w:after="312"/>
      </w:pPr>
      <w:bookmarkStart w:id="617" w:name="_Toc26945"/>
      <w:bookmarkStart w:id="618" w:name="_Toc29239"/>
      <w:bookmarkStart w:id="619" w:name="_Toc30556"/>
      <w:bookmarkStart w:id="620" w:name="_Toc4079"/>
      <w:bookmarkStart w:id="621" w:name="_Toc19091"/>
      <w:r>
        <w:rPr>
          <w:rFonts w:hint="eastAsia"/>
        </w:rPr>
        <w:t>4.3预制构件安装能力及资源配置要求</w:t>
      </w:r>
      <w:bookmarkEnd w:id="617"/>
      <w:bookmarkEnd w:id="618"/>
      <w:bookmarkEnd w:id="619"/>
      <w:bookmarkEnd w:id="620"/>
      <w:bookmarkEnd w:id="621"/>
    </w:p>
    <w:p>
      <w:pPr>
        <w:pStyle w:val="22"/>
        <w:ind w:firstLine="480"/>
      </w:pPr>
      <w:r>
        <w:rPr>
          <w:rFonts w:hint="eastAsia"/>
        </w:rPr>
        <w:t>本章节中，施工企业在安装预制构件时应满足安装能力要求、安全、环境的相关要求。安装能力不仅限于有满足安装工作的施工方案、经培训合格的操作工人、装配式施工员、有效的安装措施及质量检验措施等。</w:t>
      </w:r>
    </w:p>
    <w:p>
      <w:r>
        <w:rPr>
          <w:rFonts w:hint="eastAsia"/>
        </w:rPr>
        <w:br w:type="page"/>
      </w:r>
    </w:p>
    <w:p>
      <w:pPr>
        <w:pStyle w:val="2"/>
        <w:spacing w:before="312" w:after="312"/>
      </w:pPr>
      <w:bookmarkStart w:id="622" w:name="_Toc16426"/>
      <w:bookmarkStart w:id="623" w:name="_Toc4866"/>
      <w:bookmarkStart w:id="624" w:name="_Toc11029"/>
      <w:bookmarkStart w:id="625" w:name="_Toc26123"/>
      <w:bookmarkStart w:id="626" w:name="_Toc16893"/>
      <w:bookmarkStart w:id="627" w:name="_Toc31271"/>
      <w:bookmarkStart w:id="628" w:name="_Toc18522"/>
      <w:bookmarkStart w:id="629" w:name="_Toc19881"/>
      <w:bookmarkStart w:id="630" w:name="_Toc6414"/>
      <w:bookmarkStart w:id="631" w:name="_Toc20111"/>
      <w:bookmarkStart w:id="632" w:name="_Toc21599"/>
      <w:bookmarkStart w:id="633" w:name="_Toc14289"/>
      <w:bookmarkStart w:id="634" w:name="_Toc12747"/>
      <w:bookmarkStart w:id="635" w:name="_Toc16940"/>
      <w:bookmarkStart w:id="636" w:name="_Toc31974"/>
      <w:r>
        <w:rPr>
          <w:rFonts w:hint="eastAsia"/>
        </w:rPr>
        <w:t>5 生产质量管理</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pStyle w:val="3"/>
        <w:spacing w:before="312" w:after="312"/>
      </w:pPr>
      <w:bookmarkStart w:id="637" w:name="_Toc19203"/>
      <w:bookmarkStart w:id="638" w:name="_Toc32487"/>
      <w:bookmarkStart w:id="639" w:name="_Toc15512"/>
      <w:bookmarkStart w:id="640" w:name="_Toc11022"/>
      <w:bookmarkStart w:id="641" w:name="_Toc13950"/>
      <w:bookmarkStart w:id="642" w:name="_Toc20442"/>
      <w:bookmarkStart w:id="643" w:name="_Toc23181"/>
      <w:bookmarkStart w:id="644" w:name="_Toc18111"/>
      <w:bookmarkStart w:id="645" w:name="_Toc500"/>
      <w:bookmarkStart w:id="646" w:name="_Toc19493"/>
      <w:bookmarkStart w:id="647" w:name="_Toc27828"/>
      <w:bookmarkStart w:id="648" w:name="_Toc26237"/>
      <w:bookmarkStart w:id="649" w:name="_Toc32547"/>
      <w:bookmarkStart w:id="650" w:name="_Toc10372"/>
      <w:bookmarkStart w:id="651" w:name="_Toc27480"/>
      <w:r>
        <w:rPr>
          <w:rFonts w:hint="eastAsia"/>
        </w:rPr>
        <w:t>5.1生产技术准备</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pPr>
        <w:pStyle w:val="20"/>
      </w:pPr>
      <w:r>
        <w:rPr>
          <w:rFonts w:hint="eastAsia"/>
          <w:b/>
        </w:rPr>
        <w:t xml:space="preserve">5.1.2 </w:t>
      </w:r>
      <w:r>
        <w:rPr>
          <w:rFonts w:hint="eastAsia"/>
        </w:rPr>
        <w:t>目前，深化设计工作在市场上存在2种情况：一是设计院从施工图设计到深化设计全部负责，另一种是由预制构件生产企业负责进行深化设计，将深化设计文件返回原施工图审计单位进行确认。对于第二种情况，在建设单位组织设计、监理、施工、咨询等单位进行设计文件交底及图纸会审时，往往较为容易忽略预制构件生产企业，造成信息不对称、缺漏等情况，导致构件生产有误。因此，在本条文中明确提出建设单位在组织设计文件交底及图纸会审时，应将预制构件生产企业纳为参会单位。</w:t>
      </w:r>
    </w:p>
    <w:p>
      <w:pPr>
        <w:pStyle w:val="22"/>
        <w:ind w:firstLine="480"/>
      </w:pPr>
      <w:r>
        <w:rPr>
          <w:rFonts w:hint="eastAsia"/>
        </w:rPr>
        <w:t>本条文中的深化设计文件是指用于组织指导构件产品生产，反映构件产品设计和相关信息的技术文件，包括构件深化设计图、设计变更、技术洽商、会议记录、联系函等。</w:t>
      </w:r>
    </w:p>
    <w:p>
      <w:pPr>
        <w:pStyle w:val="20"/>
      </w:pPr>
      <w:r>
        <w:rPr>
          <w:rFonts w:hint="eastAsia"/>
          <w:b/>
        </w:rPr>
        <w:t xml:space="preserve">5.1.4 </w:t>
      </w:r>
      <w:r>
        <w:rPr>
          <w:rFonts w:hint="eastAsia"/>
        </w:rPr>
        <w:t>本条文中的深化设计图纸会审，仅限于预制构件生产企业内部深化设计图纸技术交底。深化设计图纸经技术人员审定处理后，预制构件生产企业应组织技术人员对生产管理及作业人员进行技术交底，交底文件由参加会议人员签字留存。</w:t>
      </w:r>
    </w:p>
    <w:p>
      <w:pPr>
        <w:pStyle w:val="20"/>
      </w:pPr>
      <w:r>
        <w:rPr>
          <w:rFonts w:hint="eastAsia"/>
          <w:b/>
        </w:rPr>
        <w:t xml:space="preserve">5.1.5 </w:t>
      </w:r>
      <w:r>
        <w:rPr>
          <w:rFonts w:hint="eastAsia"/>
        </w:rPr>
        <w:t>在项目生产过程中预制构件生产企业就设计、技术、质量方面需要进行调整的，由技术、质量、物资、生产、商务等人员提出建议方案，与客户沟通确认后办理相关手续。未经客户同意，不得私自更改设计图纸要求。</w:t>
      </w:r>
    </w:p>
    <w:p>
      <w:pPr>
        <w:pStyle w:val="20"/>
      </w:pPr>
      <w:r>
        <w:rPr>
          <w:rFonts w:hint="eastAsia"/>
          <w:b/>
        </w:rPr>
        <w:t xml:space="preserve">5.1.6 </w:t>
      </w:r>
      <w:r>
        <w:rPr>
          <w:rFonts w:hint="eastAsia"/>
        </w:rPr>
        <w:t>预制构件生产企业收到设计变更单或办理完工程项目洽商文件，应组织质量部、商务、设计、生产人员对变更产生的影响进行分析，及时办理客户往来函件及项目签证。签证资料原件应及时移交商务相关人员。</w:t>
      </w:r>
    </w:p>
    <w:p>
      <w:pPr>
        <w:pStyle w:val="21"/>
      </w:pPr>
      <w:r>
        <w:rPr>
          <w:rFonts w:hint="eastAsia"/>
          <w:b/>
        </w:rPr>
        <w:t xml:space="preserve">5.1.7 </w:t>
      </w:r>
      <w:r>
        <w:rPr>
          <w:rFonts w:hint="eastAsia"/>
        </w:rPr>
        <w:t>预制构件生产及安装企业应按属性明确各类项目文件资料的管辖部门，如设计文件由技术部门进行保管，项目投标文件、合同由市场影响部门进行保管；同时要求各保管部门或人员做好接收和发放记录，建立相应的设计文件管理台账。接收记录中必须注明日期、客户经办人签字。变更资料应及时在图纸上做出变更标记、标注变更日期。作废图纸及相关文件应及时收回，并加盖作废章标志。</w:t>
      </w:r>
    </w:p>
    <w:p>
      <w:pPr>
        <w:pStyle w:val="3"/>
        <w:spacing w:before="312" w:after="312"/>
      </w:pPr>
      <w:bookmarkStart w:id="652" w:name="_Toc19009"/>
      <w:bookmarkStart w:id="653" w:name="_Toc5135"/>
      <w:bookmarkStart w:id="654" w:name="_Toc23879"/>
      <w:bookmarkStart w:id="655" w:name="_Toc31869"/>
      <w:bookmarkStart w:id="656" w:name="_Toc5385"/>
      <w:bookmarkStart w:id="657" w:name="_Toc32631"/>
      <w:bookmarkStart w:id="658" w:name="_Toc18856"/>
      <w:bookmarkStart w:id="659" w:name="_Toc29914"/>
      <w:bookmarkStart w:id="660" w:name="_Toc2928"/>
      <w:bookmarkStart w:id="661" w:name="_Toc698"/>
      <w:bookmarkStart w:id="662" w:name="_Toc28711"/>
      <w:bookmarkStart w:id="663" w:name="_Toc27646"/>
      <w:bookmarkStart w:id="664" w:name="_Toc14157"/>
      <w:bookmarkStart w:id="665" w:name="_Toc4864"/>
      <w:bookmarkStart w:id="666" w:name="_Toc4093"/>
      <w:r>
        <w:rPr>
          <w:rFonts w:hint="eastAsia"/>
        </w:rPr>
        <w:t>5.2模具质量管理</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pStyle w:val="20"/>
      </w:pPr>
      <w:r>
        <w:rPr>
          <w:rFonts w:hint="eastAsia"/>
          <w:b/>
        </w:rPr>
        <w:t xml:space="preserve">5.2.2 </w:t>
      </w:r>
      <w:r>
        <w:rPr>
          <w:rFonts w:hint="eastAsia"/>
        </w:rPr>
        <w:t>模具使用应提前做出规划要求，规划应依据深化设计内容以及预制构件生产及安装企业现有的季度、月度生产计划，并结合项目构件生产进度实际需求进行编制。模具规划可以与构件深化设计同时进行。</w:t>
      </w:r>
    </w:p>
    <w:p>
      <w:pPr>
        <w:pStyle w:val="20"/>
      </w:pPr>
      <w:r>
        <w:rPr>
          <w:rFonts w:hint="eastAsia"/>
          <w:b/>
        </w:rPr>
        <w:t xml:space="preserve">5.2.3 </w:t>
      </w:r>
      <w:r>
        <w:rPr>
          <w:rFonts w:hint="eastAsia"/>
        </w:rPr>
        <w:t>模具配置及设计方案应根据生产进度计划组织编制，内容包括模具采购、共模策划、成本控制，编制模具详图。模具设计方案主要包括：模具材料选用、模具边模结构形式、模具固定方式、工装形式、共模模具、模台布置情况等方面的内容。</w:t>
      </w:r>
    </w:p>
    <w:p>
      <w:pPr>
        <w:pStyle w:val="20"/>
      </w:pPr>
      <w:r>
        <w:rPr>
          <w:rFonts w:hint="eastAsia"/>
          <w:b/>
        </w:rPr>
        <w:t xml:space="preserve">5.2.4 </w:t>
      </w:r>
      <w:r>
        <w:rPr>
          <w:rFonts w:hint="eastAsia"/>
        </w:rPr>
        <w:t>目前预制构件生产企业的模具制作存在两种情况：自行制作及外部采购。企业自己制作即由企业自行采购模具加工机械和模具原材料，在工厂内部制作，此方法适用于简易模具，如叠合板、墙板、预应力板等。而楼梯、管廊等大型复杂的模具一般采用外部采购的方式，过程中应跟踪建造，确保过程隐蔽或关键的零部件符合要求，避免到厂后检验不合格返工，影响生产计划。</w:t>
      </w:r>
    </w:p>
    <w:p>
      <w:pPr>
        <w:pStyle w:val="20"/>
      </w:pPr>
      <w:r>
        <w:rPr>
          <w:rFonts w:hint="eastAsia"/>
          <w:b/>
        </w:rPr>
        <w:t xml:space="preserve">5.2.5 </w:t>
      </w:r>
      <w:r>
        <w:rPr>
          <w:rFonts w:hint="eastAsia"/>
        </w:rPr>
        <w:t>模具的验收应由预制构件生产企业安排专门的生产或质检人员负责，验收内容包括：模具数量、尺寸、工装夹具、平整度、垂直度、焊接情况、易漏浆位置处理等，并进行模具首次拼装检验，合格后方可入库投入使用。模具入库后，应安排专人统一管理，建立相应的模具数据库，包括模具名称、规格、数量、改装或新购、自制或外部委托、材质及工艺要求、产品质量标准、使用时间等内容。</w:t>
      </w:r>
    </w:p>
    <w:p>
      <w:pPr>
        <w:pStyle w:val="20"/>
      </w:pPr>
      <w:r>
        <w:rPr>
          <w:rFonts w:hint="eastAsia"/>
          <w:b/>
        </w:rPr>
        <w:t xml:space="preserve">5.2.6 </w:t>
      </w:r>
      <w:r>
        <w:rPr>
          <w:rFonts w:hint="eastAsia"/>
        </w:rPr>
        <w:t>模具使用前应在模具显著位置标注模具编号，相同型式的钢模具如有特殊配件时，则配件应标示适用模具编号。如生产过程中模具发生异常或不符质量要求时，由相关技术人员负责提出处理意见，生产相关人员负责返修至合格。</w:t>
      </w:r>
    </w:p>
    <w:p>
      <w:pPr>
        <w:pStyle w:val="20"/>
      </w:pPr>
      <w:r>
        <w:rPr>
          <w:rFonts w:hint="eastAsia"/>
          <w:b/>
        </w:rPr>
        <w:t xml:space="preserve">5.2.7 </w:t>
      </w:r>
      <w:r>
        <w:rPr>
          <w:rFonts w:hint="eastAsia"/>
        </w:rPr>
        <w:t>模具的采购或原材料的采购应符合“四节一环保”的要求，采购范围控制在企业所在地500公里的范围内。模具在改造或转用前，生产相关人员应首先在原有的储存模具中选择适合转用的模具，如有所需的转用模具，应明确判定并提出是否需要加工改造的计划，计划应明确自行改造或交由模具供应单位改造的相关要求；对不需加工改造的模具，则应由企业生产相关人员进行模具验收后才可投入使用。</w:t>
      </w:r>
    </w:p>
    <w:p>
      <w:pPr>
        <w:pStyle w:val="20"/>
      </w:pPr>
      <w:r>
        <w:rPr>
          <w:rFonts w:hint="eastAsia"/>
          <w:b/>
        </w:rPr>
        <w:t xml:space="preserve">5.2.8 </w:t>
      </w:r>
      <w:r>
        <w:rPr>
          <w:rFonts w:hint="eastAsia"/>
        </w:rPr>
        <w:t>项目生产完成后，由企业生产管理部门应对模具转用的可能性进行判定，并提出是否办理模具报废意见。如需报废应由物资、生产人员办理相关程序核准后进行出库报废。模具报废应依据以下原则：模具变形、锈蚀已无法使用、修复费用不符经济效益、模具因造型特殊转用机率低或其他情况。</w:t>
      </w:r>
    </w:p>
    <w:p>
      <w:pPr>
        <w:pStyle w:val="3"/>
        <w:spacing w:before="312" w:after="312"/>
      </w:pPr>
      <w:bookmarkStart w:id="667" w:name="_Toc14732"/>
      <w:bookmarkStart w:id="668" w:name="_Toc31807"/>
      <w:bookmarkStart w:id="669" w:name="_Toc11265"/>
      <w:bookmarkStart w:id="670" w:name="_Toc9096"/>
      <w:bookmarkStart w:id="671" w:name="_Toc4181"/>
      <w:bookmarkStart w:id="672" w:name="_Toc15746"/>
      <w:bookmarkStart w:id="673" w:name="_Toc1517"/>
      <w:bookmarkStart w:id="674" w:name="_Toc30413"/>
      <w:bookmarkStart w:id="675" w:name="_Toc17851"/>
      <w:bookmarkStart w:id="676" w:name="_Toc25589"/>
      <w:bookmarkStart w:id="677" w:name="_Toc4528"/>
      <w:bookmarkStart w:id="678" w:name="_Toc29776"/>
      <w:bookmarkStart w:id="679" w:name="_Toc11476"/>
      <w:bookmarkStart w:id="680" w:name="_Toc20281"/>
      <w:bookmarkStart w:id="681" w:name="_Toc18958"/>
      <w:r>
        <w:rPr>
          <w:rFonts w:hint="eastAsia"/>
        </w:rPr>
        <w:t>5.</w:t>
      </w:r>
      <w:r>
        <w:t>3</w:t>
      </w:r>
      <w:r>
        <w:rPr>
          <w:rFonts w:hint="eastAsia"/>
        </w:rPr>
        <w:t>物资质量管理</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pPr>
        <w:pStyle w:val="20"/>
      </w:pPr>
      <w:r>
        <w:rPr>
          <w:rFonts w:hint="eastAsia"/>
          <w:b/>
        </w:rPr>
        <w:t xml:space="preserve">5.3.2 </w:t>
      </w:r>
      <w:r>
        <w:rPr>
          <w:rFonts w:hint="eastAsia"/>
        </w:rPr>
        <w:t>生产人员在收到构件深化设计图后，需编制项目物资总体需求计划并转发物资人员。同时生产人员根据下月生产任务安排情况，分别编制大宗物资、零星物资、辅助性物资的需求，并根据实时生产进度计划变动情况进行更新，及时提供给物资人员。需求计划必须明确所需材料的质量要求与标准，使用项目名称等关键信息。</w:t>
      </w:r>
    </w:p>
    <w:p>
      <w:pPr>
        <w:pStyle w:val="20"/>
      </w:pPr>
      <w:r>
        <w:rPr>
          <w:rFonts w:hint="eastAsia"/>
          <w:b/>
        </w:rPr>
        <w:t xml:space="preserve">5.3.3 </w:t>
      </w:r>
      <w:r>
        <w:rPr>
          <w:rFonts w:hint="eastAsia"/>
        </w:rPr>
        <w:t>企业物资管理人员根据需求计划并结合库存情况，编制物资采购计划。经负责人审批后，提供给相关采购人员，由采购人员负责组织拟定相关招采文件、方式和招投标工作。物资采购计划的制定，应在满足生产的前提下，制定最佳的经济批量和最小库存的计划，避免造成库存物资积压和资金占用。物资需求计划必须明确所需材料的质量要求与标准等关键信息。</w:t>
      </w:r>
    </w:p>
    <w:p>
      <w:pPr>
        <w:pStyle w:val="20"/>
      </w:pPr>
      <w:r>
        <w:rPr>
          <w:rFonts w:hint="eastAsia"/>
          <w:b/>
        </w:rPr>
        <w:t xml:space="preserve">5.3.4 </w:t>
      </w:r>
      <w:r>
        <w:rPr>
          <w:rFonts w:hint="eastAsia"/>
        </w:rPr>
        <w:t>物资采购必须选择具备一定产品质量保证能力的供应商，并在采购合同中明确材料质量要求与质量标准。</w:t>
      </w:r>
    </w:p>
    <w:p>
      <w:pPr>
        <w:pStyle w:val="20"/>
      </w:pPr>
      <w:r>
        <w:rPr>
          <w:rFonts w:hint="eastAsia"/>
          <w:b/>
        </w:rPr>
        <w:t xml:space="preserve">5.3.5 </w:t>
      </w:r>
      <w:r>
        <w:rPr>
          <w:rFonts w:hint="eastAsia"/>
        </w:rPr>
        <w:t>物资进场时，未经验收的物资不得与合格物资混合存放。物资人员会同生产人员、试验人员根据采购合同按照材料对应的质量验收标准和方法严格办理验收手续，填制进厂验收记录。验收记录包括：物资名称、规格、型号、数量、质量标准等，以及验证实物材质证明、产品合格证等。</w:t>
      </w:r>
    </w:p>
    <w:p>
      <w:pPr>
        <w:pStyle w:val="20"/>
      </w:pPr>
      <w:r>
        <w:rPr>
          <w:rFonts w:hint="eastAsia"/>
          <w:b/>
        </w:rPr>
        <w:t xml:space="preserve">5.3.6 </w:t>
      </w:r>
      <w:r>
        <w:rPr>
          <w:rFonts w:hint="eastAsia"/>
        </w:rPr>
        <w:t>物资贮存位置及设施应按照场地或库房布置、道路运输、使用加工、吊装等要求设置，并按物资品种、规格分别码放整齐。库存物资要做到内外整洁，合理码放，要有防雨、防潮、防水、防火、防盗等措施。货架存放做到上放轻、下放重、中间放常用，应做到便于收发及清点。库房物资应做好标识，并建立物资贮存保管记录，记录内容包括规格、数量、进货情况、保质期、保存期限、环境要求、码放要求、防护要求等。</w:t>
      </w:r>
    </w:p>
    <w:p>
      <w:pPr>
        <w:pStyle w:val="20"/>
      </w:pPr>
      <w:r>
        <w:rPr>
          <w:rFonts w:hint="eastAsia"/>
          <w:b/>
        </w:rPr>
        <w:t xml:space="preserve">5.3.7 </w:t>
      </w:r>
      <w:r>
        <w:rPr>
          <w:rFonts w:hint="eastAsia"/>
        </w:rPr>
        <w:t>对于验收过程中出现的数量有误、质量不合格、品种规格不对、材质资料不齐全的物资，拒绝验收入库。若物品检验为“不合格”，应在此批物品标识“不合格”标志。对于验收不合格物资，必须单独存放，做出明显标识，防止不合格物资误用。验收不合格的物资由采购人员及时与供应商联系，做出妥善处理。</w:t>
      </w:r>
    </w:p>
    <w:p>
      <w:pPr>
        <w:pStyle w:val="20"/>
      </w:pPr>
      <w:r>
        <w:rPr>
          <w:rFonts w:hint="eastAsia"/>
          <w:b/>
        </w:rPr>
        <w:t xml:space="preserve">5.3.8 </w:t>
      </w:r>
      <w:r>
        <w:rPr>
          <w:rFonts w:hint="eastAsia"/>
        </w:rPr>
        <w:t>生产领用的原材料必须符合设计、标准要求。未经检验或检验不合格的原材料、半成品不得领用。各物资使用部门在领用或退回物料时，需填写相应的领用或退回单据，经审批后，物资人员根据申请单发放物料，并办理出库。各物资使用部门应明确固定领料人员。</w:t>
      </w:r>
    </w:p>
    <w:p>
      <w:pPr>
        <w:pStyle w:val="20"/>
      </w:pPr>
      <w:r>
        <w:rPr>
          <w:rFonts w:hint="eastAsia"/>
          <w:b/>
        </w:rPr>
        <w:t xml:space="preserve">5.3.9 </w:t>
      </w:r>
      <w:r>
        <w:rPr>
          <w:rFonts w:hint="eastAsia"/>
        </w:rPr>
        <w:t>企业物资、生产、财务人员应每月、每季度、每年定期对物料库存、半成品等进行盘点。盘点对象包括库房、室外堆场、料场的原材、半成品物料，并结合上期盘存量、本期入库量、调拨数量和不合理损耗以及耗用量，由企业物资部门在当月前形成物资月度盘点表。企业物资、生产、财务、商务人员应定期分析材料损耗节超原因，对于超耗严重的要认真分析超耗原因，并采取有效措施加以制。</w:t>
      </w:r>
    </w:p>
    <w:p>
      <w:pPr>
        <w:pStyle w:val="20"/>
      </w:pPr>
      <w:r>
        <w:rPr>
          <w:rFonts w:hint="eastAsia"/>
          <w:b/>
        </w:rPr>
        <w:t xml:space="preserve">5.3.10 </w:t>
      </w:r>
      <w:r>
        <w:rPr>
          <w:rFonts w:hint="eastAsia"/>
        </w:rPr>
        <w:t>废旧物资是指经企业技术、质量、生产管理、物资、商务、财务等部门鉴定后，确认为无利用价值、质量不达标、安全性能不达标、环保要求不达标、不能再利用的非固定资产。废旧物资由物资人员提出处置申请，会同技术、质量、生产管理、物资、商务、财务等部门鉴定废旧物资是否处置，上报企业领导审核、审批。废旧物资处置时，企业应与购买单位签订相关协议，建立废旧物资处置台账，并做到实时动态更新。废旧物资处置方式还应满足相关环保的监管要求。</w:t>
      </w:r>
    </w:p>
    <w:p>
      <w:pPr>
        <w:pStyle w:val="3"/>
        <w:spacing w:before="312" w:after="312"/>
      </w:pPr>
      <w:bookmarkStart w:id="682" w:name="_Toc30693"/>
      <w:bookmarkStart w:id="683" w:name="_Toc24747"/>
      <w:bookmarkStart w:id="684" w:name="_Toc13832"/>
      <w:bookmarkStart w:id="685" w:name="_Toc18196"/>
      <w:bookmarkStart w:id="686" w:name="_Toc5445"/>
      <w:bookmarkStart w:id="687" w:name="_Toc27044"/>
      <w:bookmarkStart w:id="688" w:name="_Toc30630"/>
      <w:bookmarkStart w:id="689" w:name="_Toc10503"/>
      <w:bookmarkStart w:id="690" w:name="_Toc19028"/>
      <w:bookmarkStart w:id="691" w:name="_Toc29290"/>
      <w:bookmarkStart w:id="692" w:name="_Toc15247"/>
      <w:bookmarkStart w:id="693" w:name="_Toc7464"/>
      <w:bookmarkStart w:id="694" w:name="_Toc12175"/>
      <w:bookmarkStart w:id="695" w:name="_Toc16954"/>
      <w:bookmarkStart w:id="696" w:name="_Toc15158"/>
      <w:r>
        <w:rPr>
          <w:rFonts w:hint="eastAsia"/>
        </w:rPr>
        <w:t>5.</w:t>
      </w:r>
      <w:r>
        <w:t>4</w:t>
      </w:r>
      <w:r>
        <w:rPr>
          <w:rFonts w:hint="eastAsia"/>
        </w:rPr>
        <w:t>生产作业质量管理</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pStyle w:val="20"/>
      </w:pPr>
      <w:r>
        <w:rPr>
          <w:rFonts w:hint="eastAsia"/>
          <w:b/>
        </w:rPr>
        <w:t xml:space="preserve">5.4.4 </w:t>
      </w:r>
      <w:r>
        <w:rPr>
          <w:rFonts w:hint="eastAsia"/>
        </w:rPr>
        <w:t>作业准备主要包括人员、物资、机械、技术、储存及物流等几个方面内容，目的在正式生产前把生产相关的人员、物资、机械、技术准备齐全，使得生产过程中所需的各项内容具备齐全。其中人员准备包括管理人员及劳务人员的召集、培训；物资准备包括生产过程中涉及的相关模具、大宗物资材料、零星材料及辅助性材料的采购、运输；设施准备包括生产过程中涉及的机械、转运车辆、检测设备等租赁、检修、校准；技术准备包含生产过程中涉及的图纸、工艺、质量、搬运等内容，在生产前作业准备阶段均应考虑好。项目生产计划初步排定后，应进一步检查物料、模具及人力需求落实情况。对于新开工项目应在开工前进行安全和技术交底，生产管理人员、质检人员及劳务用工单位应严格执行三检制度。项目建设单位应按省行业主管部门要求协调项目监理单位进行驻场监造，并对预制构件生产的原材料、混凝土试块等进行见证取样送检。项目监理单位应配合监造相关工作。对于无法监造的预制构件，应按国家行业相关技术标准的要求进行质量检测，相关检测费用应由建设单位或构件采购方负责。</w:t>
      </w:r>
    </w:p>
    <w:p>
      <w:pPr>
        <w:pStyle w:val="20"/>
      </w:pPr>
      <w:r>
        <w:rPr>
          <w:rFonts w:hint="eastAsia"/>
          <w:b/>
        </w:rPr>
        <w:t xml:space="preserve">5.4.6 </w:t>
      </w:r>
      <w:r>
        <w:rPr>
          <w:rFonts w:hint="eastAsia"/>
        </w:rPr>
        <w:t>依据项目生产排程，生产人员应提前提供钢筋制品的制作图纸，按制造图纸进行加工。加工完成的钢筋制品应进行品检、记录，并确认合格后方可进行后续作业。</w:t>
      </w:r>
    </w:p>
    <w:p>
      <w:pPr>
        <w:pStyle w:val="20"/>
      </w:pPr>
      <w:r>
        <w:rPr>
          <w:rFonts w:hint="eastAsia"/>
          <w:b/>
        </w:rPr>
        <w:t xml:space="preserve">5.4.10 </w:t>
      </w:r>
      <w:r>
        <w:rPr>
          <w:rFonts w:hint="eastAsia"/>
        </w:rPr>
        <w:t>在生产作业过程中，各种材料的安装、工序的造作应满足国家地方相关标准规范的规定、合同及图纸要求，同时必须有专业经过培训考核的专职质检人员对作业结构进行检验。每个工序步骤经检验合格后才可进入下一步生产工序。隐蔽检验应全数检查。</w:t>
      </w:r>
    </w:p>
    <w:p>
      <w:pPr>
        <w:pStyle w:val="20"/>
      </w:pPr>
      <w:r>
        <w:rPr>
          <w:rFonts w:hint="eastAsia"/>
          <w:b/>
          <w:bCs/>
        </w:rPr>
        <w:t xml:space="preserve">5.4.12 </w:t>
      </w:r>
      <w:r>
        <w:rPr>
          <w:rFonts w:hint="eastAsia"/>
        </w:rPr>
        <w:t>混凝土养护对混凝土的质量有较大的影响。海南属热带季风海洋性气候，常年高温。不及时对混凝土进行养护容易导致混凝土失水开裂。因此，预制构件生产企业应技术对已生产的预制混凝土构件采用有效的养护措施，并做好养护记录。</w:t>
      </w:r>
    </w:p>
    <w:p>
      <w:pPr>
        <w:pStyle w:val="20"/>
      </w:pPr>
      <w:r>
        <w:rPr>
          <w:rFonts w:hint="eastAsia"/>
          <w:b/>
          <w:bCs/>
        </w:rPr>
        <w:t xml:space="preserve">5.4.14 </w:t>
      </w:r>
      <w:r>
        <w:rPr>
          <w:rFonts w:hint="eastAsia"/>
        </w:rPr>
        <w:t>预制构件生产企业根据自身生产经验，总结出混凝土预制构件生产潜在的缺陷或质量问题，提前采取有效的预防措施，以减少质量问题的发生或扩大。对于生产或施工过程中出现缺陷或质量问题的，预制构件生产企业应及时组织有关人员会同相关企业讨论研究，提出处理意见后执行。</w:t>
      </w:r>
    </w:p>
    <w:p>
      <w:pPr>
        <w:pStyle w:val="3"/>
        <w:spacing w:before="312" w:after="312"/>
      </w:pPr>
      <w:bookmarkStart w:id="697" w:name="_Toc11758"/>
      <w:bookmarkStart w:id="698" w:name="_Toc10943"/>
      <w:bookmarkStart w:id="699" w:name="_Toc20944"/>
      <w:bookmarkStart w:id="700" w:name="_Toc16049"/>
      <w:bookmarkStart w:id="701" w:name="_Toc20304"/>
      <w:bookmarkStart w:id="702" w:name="_Toc10230"/>
      <w:bookmarkStart w:id="703" w:name="_Toc20605"/>
      <w:bookmarkStart w:id="704" w:name="_Toc20409"/>
      <w:bookmarkStart w:id="705" w:name="_Toc26536"/>
      <w:bookmarkStart w:id="706" w:name="_Toc8877"/>
      <w:bookmarkStart w:id="707" w:name="_Toc20627"/>
      <w:bookmarkStart w:id="708" w:name="_Toc5935"/>
      <w:bookmarkStart w:id="709" w:name="_Toc16387"/>
      <w:bookmarkStart w:id="710" w:name="_Toc4548"/>
      <w:bookmarkStart w:id="711" w:name="_Toc27647"/>
      <w:r>
        <w:rPr>
          <w:rFonts w:hint="eastAsia"/>
        </w:rPr>
        <w:t>5.</w:t>
      </w:r>
      <w:r>
        <w:t>5</w:t>
      </w:r>
      <w:r>
        <w:rPr>
          <w:rFonts w:hint="eastAsia"/>
        </w:rPr>
        <w:t>储运管理</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pPr>
        <w:pStyle w:val="20"/>
      </w:pPr>
      <w:r>
        <w:rPr>
          <w:rFonts w:hint="eastAsia"/>
          <w:b/>
        </w:rPr>
        <w:t xml:space="preserve">5.5.1 </w:t>
      </w:r>
      <w:r>
        <w:rPr>
          <w:rFonts w:hint="eastAsia"/>
        </w:rPr>
        <w:t>在构件生产阶段，生产人员应依据项目实际进度、现场储存能力和其它实际储运条件，及时修正储运计划及生产任务以利于储运作业。</w:t>
      </w:r>
    </w:p>
    <w:p>
      <w:pPr>
        <w:pStyle w:val="20"/>
      </w:pPr>
      <w:r>
        <w:rPr>
          <w:rFonts w:hint="eastAsia"/>
          <w:b/>
        </w:rPr>
        <w:t xml:space="preserve">5.5.2 </w:t>
      </w:r>
      <w:r>
        <w:rPr>
          <w:rFonts w:hint="eastAsia"/>
        </w:rPr>
        <w:t>构件入库时，接收人必须查点构件的数量、规格、型号、楼栋、层、二维码和喷涂等标识信息，如发现构件上述信息不全，或项目、楼栋、楼层信息混淆时，不得办理入库手续。对于重新修补的构件，应由质检人员全数检验合格后，方可入库。因某种原因构件不能入库，应将构件存放在构件待转区，其它构件应存放于缓存区。</w:t>
      </w:r>
    </w:p>
    <w:p>
      <w:pPr>
        <w:pStyle w:val="20"/>
      </w:pPr>
      <w:r>
        <w:rPr>
          <w:rFonts w:hint="eastAsia"/>
          <w:b/>
        </w:rPr>
        <w:t xml:space="preserve">5.5.3 </w:t>
      </w:r>
      <w:r>
        <w:rPr>
          <w:rFonts w:hint="eastAsia"/>
        </w:rPr>
        <w:t>储存堆场应按构件种类或项目规划细分储存区，各储存区须预留通道，入库人员按各项目的储运计划存放构件。因储存场空间不足而另行规划的暂存区，应列入储存管理范围并统一规划管理。为保证构件储存数量，充分发挥构件储存空间的利用，物资部应及时调整构件储存区域，腾挪闲置空间便于构件储存。构件码放应符合相关标准要求，不应超过安全重量和高度，构件不得直接置于地面，应采用工装设施或垫板、垫木等措施。不同项目的构件应严格按照储存场地划分的区域进行合理存放，相同项目应存放在相近区域，避免构件相互混淆。构件储存操作应严格执行企业《构件储运操作规程》的相关要求。</w:t>
      </w:r>
    </w:p>
    <w:p>
      <w:pPr>
        <w:pStyle w:val="20"/>
      </w:pPr>
      <w:r>
        <w:rPr>
          <w:rFonts w:hint="eastAsia"/>
          <w:b/>
        </w:rPr>
        <w:t xml:space="preserve">5.5.4 </w:t>
      </w:r>
      <w:r>
        <w:rPr>
          <w:rFonts w:hint="eastAsia"/>
        </w:rPr>
        <w:t>在编制生产方案时，构件搬运应由技术部门组织生产管理部门共同制定构件搬运保护、固定措施，并向相关部门进行技术交底。生产管理部门应根据项目需求计划组织装车运输，装车完成后必须要核对构件信息资料。物流运输分包单位应严格按照荷载要求、稳定固定、成品保护等技术要求，对运输构件进行有效保护和固定。对特殊构件的存储及运输，必须明确在存储及运输过程中的注意事项、质量风险和补救措施。</w:t>
      </w:r>
    </w:p>
    <w:p>
      <w:pPr>
        <w:pStyle w:val="20"/>
      </w:pPr>
      <w:r>
        <w:rPr>
          <w:rFonts w:hint="eastAsia"/>
          <w:b/>
        </w:rPr>
        <w:t xml:space="preserve">5.5.5 </w:t>
      </w:r>
      <w:r>
        <w:rPr>
          <w:rFonts w:hint="eastAsia"/>
        </w:rPr>
        <w:t>生产管理部门应按照工程项目现场的进度需求编制构件运送计划表。对项目现场有缓存场地的，吊装前应将构件运送到现场，并保证现场存放有1至2日的待吊装施工的构件存量。对项目现场无缓存场地的，吊装当日将构件运送到现场进行吊装，或按项目实际需要应提前2小时到达。构件完成装车后物流管理人员应办理出库及送货手续及货物清单，确保构件装车后无质量问题，并随车配备相关信息资料。物流管理人员应跟踪构件运送，直至安全卸货完成交接，并及时回收送货单据、垫板、垫木等票据工装设施。</w:t>
      </w:r>
    </w:p>
    <w:p>
      <w:pPr>
        <w:pStyle w:val="20"/>
      </w:pPr>
      <w:r>
        <w:rPr>
          <w:rFonts w:hint="eastAsia"/>
          <w:b/>
        </w:rPr>
        <w:t xml:space="preserve">5.5.7 </w:t>
      </w:r>
      <w:r>
        <w:rPr>
          <w:rFonts w:hint="eastAsia"/>
        </w:rPr>
        <w:t>物资人员应会同生产、财务人员根据盘点计划进行月度盘点，核对账面与实际库存构件数量，以及构件储存规格型号是否与资料符合。构件盘点后，应立即与原有资料进行比对修正，并保证库存资料及时更新。盘点时若出现异常现象，应立即查明原因，并提出异常修正方案。</w:t>
      </w:r>
    </w:p>
    <w:p>
      <w:pPr>
        <w:pStyle w:val="3"/>
        <w:spacing w:before="312" w:after="312"/>
      </w:pPr>
      <w:bookmarkStart w:id="712" w:name="_Toc28339"/>
      <w:bookmarkStart w:id="713" w:name="_Toc11441"/>
      <w:bookmarkStart w:id="714" w:name="_Toc24368"/>
      <w:bookmarkStart w:id="715" w:name="_Toc3018"/>
      <w:bookmarkStart w:id="716" w:name="_Toc32085"/>
      <w:bookmarkStart w:id="717" w:name="_Toc30977"/>
      <w:bookmarkStart w:id="718" w:name="_Toc31551"/>
      <w:bookmarkStart w:id="719" w:name="_Toc3236"/>
      <w:bookmarkStart w:id="720" w:name="_Toc14158"/>
      <w:bookmarkStart w:id="721" w:name="_Toc9556"/>
      <w:bookmarkStart w:id="722" w:name="_Toc25454"/>
      <w:bookmarkStart w:id="723" w:name="_Toc16304"/>
      <w:bookmarkStart w:id="724" w:name="_Toc31977"/>
      <w:bookmarkStart w:id="725" w:name="_Toc17540"/>
      <w:bookmarkStart w:id="726" w:name="_Toc2789"/>
      <w:r>
        <w:rPr>
          <w:rFonts w:hint="eastAsia"/>
        </w:rPr>
        <w:t>5.</w:t>
      </w:r>
      <w:r>
        <w:t>6</w:t>
      </w:r>
      <w:r>
        <w:rPr>
          <w:rFonts w:hint="eastAsia"/>
        </w:rPr>
        <w:t>试验检验及验收管理</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pStyle w:val="20"/>
      </w:pPr>
      <w:r>
        <w:rPr>
          <w:rFonts w:hint="eastAsia"/>
          <w:b/>
        </w:rPr>
        <w:t xml:space="preserve">5.6.2 </w:t>
      </w:r>
      <w:r>
        <w:rPr>
          <w:rFonts w:hint="eastAsia"/>
        </w:rPr>
        <w:t>原材料和配合比的检测是生产企业正常生产过程中的常规检测项目，是生产企业应当具备的能力。在生产原材料进场时，预制构件生产企业试验人员应及时到场随机取样进行检测。检测的项目、数量、步骤、批次应符合相关标准规范、构件生产合同、设计图纸及企业标准。</w:t>
      </w:r>
    </w:p>
    <w:p>
      <w:pPr>
        <w:pStyle w:val="20"/>
      </w:pPr>
      <w:r>
        <w:rPr>
          <w:rFonts w:hint="eastAsia"/>
          <w:b/>
        </w:rPr>
        <w:t xml:space="preserve">5.6.4 </w:t>
      </w:r>
      <w:r>
        <w:rPr>
          <w:rFonts w:hint="eastAsia"/>
        </w:rPr>
        <w:t>生产线操作人员必须对构件全数检查，生产管理人员抽检构件数量不得低于构件总数的30%，质检人员抽检比例应不低于生产管理人员抽检数量的50%。成品检验的内容满足设计要求及海南省工程建设相关地方标准。预制构件成品质量检验由专职质检人员完成。让步接收指企业在基本质量保证的状况下，对预制混凝土构件的部分缺陷有限度有评审的接收。具体可细分为以下几个方面：降级使用、挑选使用和返修等。</w:t>
      </w:r>
    </w:p>
    <w:p>
      <w:pPr>
        <w:pStyle w:val="20"/>
      </w:pPr>
      <w:r>
        <w:rPr>
          <w:rFonts w:hint="eastAsia"/>
          <w:b/>
        </w:rPr>
        <w:t xml:space="preserve">5.6.5 </w:t>
      </w:r>
      <w:r>
        <w:rPr>
          <w:rFonts w:hint="eastAsia"/>
        </w:rPr>
        <w:t>预制构件需经过生产过程检查、原材料检验、混凝土检测及成品检验等检验合格后，才可判定为合格产品。预制构件生产企业应对合格产品制作合格证。预制构件合格证及相关过程检验资料作为产品进场验收的资料。合格证的制作应符合海南省工程建设相关地方标准。</w:t>
      </w:r>
    </w:p>
    <w:p>
      <w:pPr>
        <w:pStyle w:val="20"/>
      </w:pPr>
      <w:r>
        <w:rPr>
          <w:rFonts w:hint="eastAsia"/>
          <w:b/>
        </w:rPr>
        <w:t xml:space="preserve">5.6.6 </w:t>
      </w:r>
      <w:r>
        <w:rPr>
          <w:rFonts w:hint="eastAsia"/>
          <w:bCs/>
        </w:rPr>
        <w:t>预制</w:t>
      </w:r>
      <w:r>
        <w:rPr>
          <w:rFonts w:hint="eastAsia"/>
        </w:rPr>
        <w:t>构件出厂前，出货员应依据构件出厂需求准备构件，质检人员在装车前应对构件进行外观再检查。当构件所有检查项目均合格时，检查人员应签字确认，并同意构件出厂。当构件检查后发现有不合格项目时，检查人员须依据本标准不合格品管控程序处理。</w:t>
      </w:r>
    </w:p>
    <w:p>
      <w:pPr>
        <w:pStyle w:val="3"/>
        <w:spacing w:before="312" w:after="312"/>
      </w:pPr>
      <w:bookmarkStart w:id="727" w:name="_Toc1104"/>
      <w:bookmarkStart w:id="728" w:name="_Toc21047"/>
      <w:bookmarkStart w:id="729" w:name="_Toc60"/>
      <w:bookmarkStart w:id="730" w:name="_Toc15095"/>
      <w:bookmarkStart w:id="731" w:name="_Toc19083"/>
      <w:bookmarkStart w:id="732" w:name="_Toc20238"/>
      <w:bookmarkStart w:id="733" w:name="_Toc7771"/>
      <w:bookmarkStart w:id="734" w:name="_Toc8044"/>
      <w:bookmarkStart w:id="735" w:name="_Toc17949"/>
      <w:bookmarkStart w:id="736" w:name="_Toc13635"/>
      <w:bookmarkStart w:id="737" w:name="_Toc22045"/>
      <w:bookmarkStart w:id="738" w:name="_Toc2419"/>
      <w:bookmarkStart w:id="739" w:name="_Toc3109"/>
      <w:bookmarkStart w:id="740" w:name="_Toc27146"/>
      <w:bookmarkStart w:id="741" w:name="_Toc26864"/>
      <w:r>
        <w:rPr>
          <w:rFonts w:hint="eastAsia"/>
        </w:rPr>
        <w:t>5.</w:t>
      </w:r>
      <w:r>
        <w:t>7</w:t>
      </w:r>
      <w:r>
        <w:rPr>
          <w:rFonts w:hint="eastAsia"/>
        </w:rPr>
        <w:t>不合格品管理</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pStyle w:val="20"/>
      </w:pPr>
      <w:r>
        <w:rPr>
          <w:rFonts w:hint="eastAsia"/>
          <w:b/>
        </w:rPr>
        <w:t xml:space="preserve">5.7.1 </w:t>
      </w:r>
      <w:r>
        <w:rPr>
          <w:rFonts w:hint="eastAsia"/>
        </w:rPr>
        <w:t>构件生产完成、出厂前或由工地退回的不合格构件，质检人员应对不合格品做进一步质量检验，当构件被判定为不合格品时，检查人员应在构件适当位置采用红色标注“不合格品”字样，防止不合格品误用。</w:t>
      </w:r>
    </w:p>
    <w:p>
      <w:pPr>
        <w:pStyle w:val="20"/>
      </w:pPr>
      <w:r>
        <w:rPr>
          <w:rFonts w:hint="eastAsia"/>
          <w:b/>
        </w:rPr>
        <w:t xml:space="preserve">5.7.2 </w:t>
      </w:r>
      <w:r>
        <w:rPr>
          <w:rFonts w:hint="eastAsia"/>
        </w:rPr>
        <w:t>质检人员应对不合格品建立台账记录，记录内容包括该构件不合格现象及处置结果并通知相关生产人员进行分类处理。处理的类别有让步接收和报废两种。其中让步接收包括：降级使用、挑选使用和返修。</w:t>
      </w:r>
    </w:p>
    <w:p>
      <w:pPr>
        <w:pStyle w:val="3"/>
        <w:spacing w:before="312" w:after="312"/>
      </w:pPr>
      <w:bookmarkStart w:id="742" w:name="_Toc24190"/>
      <w:bookmarkStart w:id="743" w:name="_Toc12649"/>
      <w:bookmarkStart w:id="744" w:name="_Toc26823"/>
      <w:bookmarkStart w:id="745" w:name="_Toc6771"/>
      <w:bookmarkStart w:id="746" w:name="_Toc3874"/>
      <w:bookmarkStart w:id="747" w:name="_Toc7131"/>
      <w:bookmarkStart w:id="748" w:name="_Toc25280"/>
      <w:bookmarkStart w:id="749" w:name="_Toc30811"/>
      <w:bookmarkStart w:id="750" w:name="_Toc9293"/>
      <w:bookmarkStart w:id="751" w:name="_Toc4664"/>
      <w:bookmarkStart w:id="752" w:name="_Toc4078"/>
      <w:bookmarkStart w:id="753" w:name="_Toc4915"/>
      <w:bookmarkStart w:id="754" w:name="_Toc29844"/>
      <w:bookmarkStart w:id="755" w:name="_Toc14517"/>
      <w:bookmarkStart w:id="756" w:name="_Toc16275"/>
      <w:r>
        <w:rPr>
          <w:rFonts w:hint="eastAsia"/>
        </w:rPr>
        <w:t>5.</w:t>
      </w:r>
      <w:r>
        <w:t>8</w:t>
      </w:r>
      <w:r>
        <w:rPr>
          <w:rFonts w:hint="eastAsia"/>
        </w:rPr>
        <w:t>质量分析和持续改进</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20"/>
      </w:pPr>
      <w:r>
        <w:rPr>
          <w:rFonts w:hint="eastAsia"/>
          <w:b/>
        </w:rPr>
        <w:t xml:space="preserve">5.8.1 </w:t>
      </w:r>
      <w:r>
        <w:rPr>
          <w:rFonts w:hint="eastAsia"/>
        </w:rPr>
        <w:t>预制构件生产企业应按真实生产、施工情况进行统计分析，查找影响质量的相关因素，确定主要影响因素。</w:t>
      </w:r>
    </w:p>
    <w:p>
      <w:pPr>
        <w:pStyle w:val="20"/>
      </w:pPr>
      <w:r>
        <w:rPr>
          <w:rFonts w:hint="eastAsia"/>
          <w:b/>
        </w:rPr>
        <w:t xml:space="preserve">5.8.2 </w:t>
      </w:r>
      <w:r>
        <w:rPr>
          <w:rFonts w:hint="eastAsia"/>
        </w:rPr>
        <w:t>预制构件生产企业根据掌握的影响质量因素，采用针对性的措施，在后续生产施工作业中避免再次发生。</w:t>
      </w:r>
    </w:p>
    <w:p>
      <w:pPr>
        <w:pStyle w:val="20"/>
      </w:pPr>
      <w:r>
        <w:rPr>
          <w:rFonts w:hint="eastAsia"/>
          <w:b/>
        </w:rPr>
        <w:t xml:space="preserve">5.8.3 </w:t>
      </w:r>
      <w:r>
        <w:rPr>
          <w:rFonts w:hint="eastAsia"/>
        </w:rPr>
        <w:t>按《关于印发&lt;海南省装配式建筑实施实施主要环节管理规定&gt;的通知》（琼建规〔2023〕13号）的要求，预制构件生产单位应通过“海南省装配式建筑部品部件质量可追溯系统”报送装配式建筑部品部件相关信息，实现装配式建筑工程全过程建设管理和部品部件在生产、安装、验收等各环节的跟踪管理。同时，预制构件生产单位应在材料、采购、生产、质检、储存等环节建立有效的可追溯信息化管理机制，有条件的企业应采用物联网信息化管理手段进行管理，确保构件生产的质量达到可追溯性。</w:t>
      </w:r>
    </w:p>
    <w:p>
      <w:r>
        <w:rPr>
          <w:rFonts w:hint="eastAsia"/>
        </w:rPr>
        <w:br w:type="page"/>
      </w:r>
    </w:p>
    <w:p>
      <w:pPr>
        <w:pStyle w:val="2"/>
        <w:spacing w:before="312" w:after="312"/>
      </w:pPr>
      <w:bookmarkStart w:id="757" w:name="_Toc6126"/>
      <w:bookmarkStart w:id="758" w:name="_Toc17696"/>
      <w:bookmarkStart w:id="759" w:name="_Toc24726"/>
      <w:bookmarkStart w:id="760" w:name="_Toc8879"/>
      <w:bookmarkStart w:id="761" w:name="_Toc18423"/>
      <w:bookmarkStart w:id="762" w:name="_Toc26697"/>
      <w:bookmarkStart w:id="763" w:name="_Toc682"/>
      <w:bookmarkStart w:id="764" w:name="_Toc23772"/>
      <w:bookmarkStart w:id="765" w:name="_Toc6770"/>
      <w:bookmarkStart w:id="766" w:name="_Toc810"/>
      <w:bookmarkStart w:id="767" w:name="_Toc17355"/>
      <w:bookmarkStart w:id="768" w:name="_Toc8561"/>
      <w:bookmarkStart w:id="769" w:name="_Toc5028"/>
      <w:bookmarkStart w:id="770" w:name="_Toc17543"/>
      <w:bookmarkStart w:id="771" w:name="_Toc17952"/>
      <w:r>
        <w:rPr>
          <w:rFonts w:hint="eastAsia"/>
        </w:rPr>
        <w:t>7 安装质量管理</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pStyle w:val="3"/>
        <w:spacing w:before="312" w:after="312"/>
      </w:pPr>
      <w:bookmarkStart w:id="772" w:name="_Toc23522"/>
      <w:bookmarkStart w:id="773" w:name="_Toc28109"/>
      <w:bookmarkStart w:id="774" w:name="_Toc2931"/>
      <w:bookmarkStart w:id="775" w:name="_Toc4921"/>
      <w:bookmarkStart w:id="776" w:name="_Toc26161"/>
      <w:bookmarkStart w:id="777" w:name="_Toc13642"/>
      <w:bookmarkStart w:id="778" w:name="_Toc1279"/>
      <w:bookmarkStart w:id="779" w:name="_Toc7383"/>
      <w:bookmarkStart w:id="780" w:name="_Toc2556"/>
      <w:bookmarkStart w:id="781" w:name="_Toc24153"/>
      <w:bookmarkStart w:id="782" w:name="_Toc19506"/>
      <w:bookmarkStart w:id="783" w:name="_Toc9325"/>
      <w:bookmarkStart w:id="784" w:name="_Toc25753"/>
      <w:bookmarkStart w:id="785" w:name="_Toc16213"/>
      <w:bookmarkStart w:id="786" w:name="_Toc9052"/>
      <w:r>
        <w:rPr>
          <w:rFonts w:hint="eastAsia"/>
        </w:rPr>
        <w:t>7.1 安装技术准备</w:t>
      </w:r>
      <w:bookmarkEnd w:id="772"/>
      <w:bookmarkEnd w:id="773"/>
    </w:p>
    <w:p>
      <w:pPr>
        <w:pStyle w:val="20"/>
        <w:rPr>
          <w:b/>
        </w:rPr>
      </w:pPr>
      <w:r>
        <w:rPr>
          <w:rFonts w:hint="eastAsia"/>
          <w:b/>
        </w:rPr>
        <w:t xml:space="preserve">7.1.2 </w:t>
      </w:r>
      <w:r>
        <w:rPr>
          <w:rFonts w:hint="eastAsia"/>
          <w:bCs/>
        </w:rPr>
        <w:t>专项吊装方案应包含与预制构件吊装相关的各种内容，如人员、工具、物资、设备、吊装方法等。</w:t>
      </w:r>
    </w:p>
    <w:p>
      <w:pPr>
        <w:pStyle w:val="3"/>
        <w:spacing w:before="312" w:after="312"/>
      </w:pPr>
      <w:bookmarkStart w:id="787" w:name="_Toc6827"/>
      <w:bookmarkStart w:id="788" w:name="_Toc16497"/>
      <w:r>
        <w:rPr>
          <w:rFonts w:hint="eastAsia"/>
        </w:rPr>
        <w:t>7.2 安装工具管理</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pPr>
        <w:pStyle w:val="20"/>
      </w:pPr>
      <w:r>
        <w:rPr>
          <w:rFonts w:hint="eastAsia"/>
          <w:b/>
        </w:rPr>
        <w:t xml:space="preserve">7.2.1 </w:t>
      </w:r>
      <w:r>
        <w:rPr>
          <w:rFonts w:hint="eastAsia"/>
        </w:rPr>
        <w:t>工具规划应根据预制构件特点和安装方案的要求进行编制，内容应包括但不限于安装工具、连接件及配件、临时支撑、吊具、灌浆设备的名称、规格、数量、制作形式、材质、工艺要求、产品质量标准、到货时间等。</w:t>
      </w:r>
    </w:p>
    <w:p>
      <w:pPr>
        <w:pStyle w:val="20"/>
      </w:pPr>
      <w:r>
        <w:rPr>
          <w:rFonts w:hint="eastAsia"/>
          <w:b/>
        </w:rPr>
        <w:t xml:space="preserve">7.2.2 </w:t>
      </w:r>
      <w:r>
        <w:rPr>
          <w:rFonts w:hint="eastAsia"/>
        </w:rPr>
        <w:t>工具的验收应安排专人负责，查验工具的尺寸、外观质量及其质量证明文件，合格后方可入库和使用。</w:t>
      </w:r>
    </w:p>
    <w:p>
      <w:pPr>
        <w:pStyle w:val="20"/>
      </w:pPr>
      <w:r>
        <w:rPr>
          <w:rFonts w:hint="eastAsia"/>
          <w:b/>
        </w:rPr>
        <w:t xml:space="preserve">7.2.4 </w:t>
      </w:r>
      <w:r>
        <w:rPr>
          <w:rFonts w:hint="eastAsia"/>
        </w:rPr>
        <w:t>工具、工装等出现变形、开裂、锈蚀等影响安装使用或达到使用寿命时，应予以报废或转作其他用途。</w:t>
      </w:r>
    </w:p>
    <w:p>
      <w:pPr>
        <w:pStyle w:val="3"/>
        <w:spacing w:before="312" w:after="312"/>
      </w:pPr>
      <w:bookmarkStart w:id="789" w:name="_Toc12304"/>
      <w:bookmarkStart w:id="790" w:name="_Toc14137"/>
      <w:bookmarkStart w:id="791" w:name="_Toc20801"/>
      <w:bookmarkStart w:id="792" w:name="_Toc17087"/>
      <w:bookmarkStart w:id="793" w:name="_Toc27692"/>
      <w:bookmarkStart w:id="794" w:name="_Toc32256"/>
      <w:bookmarkStart w:id="795" w:name="_Toc805"/>
      <w:bookmarkStart w:id="796" w:name="_Toc24345"/>
      <w:bookmarkStart w:id="797" w:name="_Toc10961"/>
      <w:bookmarkStart w:id="798" w:name="_Toc14360"/>
      <w:bookmarkStart w:id="799" w:name="_Toc22493"/>
      <w:bookmarkStart w:id="800" w:name="_Toc25466"/>
      <w:bookmarkStart w:id="801" w:name="_Toc1972"/>
      <w:bookmarkStart w:id="802" w:name="_Toc31574"/>
      <w:bookmarkStart w:id="803" w:name="_Toc16564"/>
      <w:r>
        <w:rPr>
          <w:rFonts w:hint="eastAsia"/>
        </w:rPr>
        <w:t>7.3 物资质量管理</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pPr>
        <w:pStyle w:val="20"/>
      </w:pPr>
      <w:r>
        <w:rPr>
          <w:rFonts w:hint="eastAsia"/>
          <w:b/>
        </w:rPr>
        <w:t xml:space="preserve">7.3.1 </w:t>
      </w:r>
      <w:r>
        <w:rPr>
          <w:rFonts w:hint="eastAsia"/>
        </w:rPr>
        <w:t>施工企业应根据工程的实际情况合理编制物资质量管理计划，质量管理计划包含的材料有预制构件、灌浆料、零星物资、辅助材料等，并根据实际安装进度情况进行更新。</w:t>
      </w:r>
    </w:p>
    <w:p>
      <w:pPr>
        <w:pStyle w:val="20"/>
      </w:pPr>
      <w:r>
        <w:rPr>
          <w:rFonts w:hint="eastAsia"/>
          <w:b/>
        </w:rPr>
        <w:t xml:space="preserve">7.3.2 </w:t>
      </w:r>
      <w:r>
        <w:rPr>
          <w:rFonts w:hint="eastAsia"/>
        </w:rPr>
        <w:t>未经验收的物资不得与合格物资混合存放。物资进场时应办理验收手续，填写验收记录。</w:t>
      </w:r>
    </w:p>
    <w:p>
      <w:pPr>
        <w:pStyle w:val="20"/>
      </w:pPr>
      <w:r>
        <w:rPr>
          <w:rFonts w:hint="eastAsia"/>
          <w:b/>
        </w:rPr>
        <w:t xml:space="preserve">7.3.3 </w:t>
      </w:r>
      <w:r>
        <w:rPr>
          <w:rFonts w:hint="eastAsia"/>
        </w:rPr>
        <w:t>物资储存位置及设施应按照场地或库房布置、道路运输、使用加工、吊装等要求设置，并按物资品种、规格分别码放整齐，做好防潮、防腐等保护工作。</w:t>
      </w:r>
    </w:p>
    <w:p>
      <w:pPr>
        <w:pStyle w:val="20"/>
      </w:pPr>
      <w:r>
        <w:rPr>
          <w:rFonts w:hint="eastAsia"/>
          <w:b/>
        </w:rPr>
        <w:t xml:space="preserve">7.3.4 </w:t>
      </w:r>
      <w:r>
        <w:rPr>
          <w:rFonts w:hint="eastAsia"/>
        </w:rPr>
        <w:t>对于验收过程中出现的质量不合格、品种规格不对、资料不齐全的物资，拒绝验收入库。若物品检验为“不合格”，应在此批物品标识“不合格”标志。对于验收不合格的物资，应单独存放，做出明显标识，防止不合格物资误用。验收不合格的物资应及时与供应单位联系，做出妥善处理。</w:t>
      </w:r>
    </w:p>
    <w:p>
      <w:pPr>
        <w:pStyle w:val="20"/>
      </w:pPr>
      <w:r>
        <w:rPr>
          <w:rFonts w:hint="eastAsia"/>
          <w:b/>
        </w:rPr>
        <w:t xml:space="preserve">7.3.5 </w:t>
      </w:r>
      <w:r>
        <w:rPr>
          <w:rFonts w:hint="eastAsia"/>
        </w:rPr>
        <w:t>安装所使用的物资必须符合设计文件和相关标准的要求。未经检验或检验不合格的材料、构配件不得使用。</w:t>
      </w:r>
    </w:p>
    <w:p>
      <w:pPr>
        <w:pStyle w:val="3"/>
        <w:spacing w:before="312" w:after="312"/>
      </w:pPr>
      <w:bookmarkStart w:id="804" w:name="_Toc11270"/>
      <w:bookmarkStart w:id="805" w:name="_Toc28582"/>
      <w:bookmarkStart w:id="806" w:name="_Toc27874"/>
      <w:bookmarkStart w:id="807" w:name="_Toc7330"/>
      <w:bookmarkStart w:id="808" w:name="_Toc20405"/>
      <w:bookmarkStart w:id="809" w:name="_Toc13145"/>
      <w:bookmarkStart w:id="810" w:name="_Toc16745"/>
      <w:bookmarkStart w:id="811" w:name="_Toc15608"/>
      <w:bookmarkStart w:id="812" w:name="_Toc25808"/>
      <w:bookmarkStart w:id="813" w:name="_Toc28033"/>
      <w:bookmarkStart w:id="814" w:name="_Toc3489"/>
      <w:bookmarkStart w:id="815" w:name="_Toc2002"/>
      <w:bookmarkStart w:id="816" w:name="_Toc10860"/>
      <w:bookmarkStart w:id="817" w:name="_Toc17853"/>
      <w:bookmarkStart w:id="818" w:name="_Toc23991"/>
      <w:bookmarkStart w:id="819" w:name="_Toc5666"/>
      <w:bookmarkStart w:id="820" w:name="_Toc4604"/>
      <w:bookmarkStart w:id="821" w:name="_Toc23664"/>
      <w:bookmarkStart w:id="822" w:name="_Toc14164"/>
      <w:bookmarkStart w:id="823" w:name="_Toc25646"/>
      <w:bookmarkStart w:id="824" w:name="_Toc31198"/>
      <w:bookmarkStart w:id="825" w:name="_Toc1300"/>
      <w:bookmarkStart w:id="826" w:name="_Toc22605"/>
      <w:bookmarkStart w:id="827" w:name="_Toc29430"/>
      <w:bookmarkStart w:id="828" w:name="_Toc9028"/>
      <w:bookmarkStart w:id="829" w:name="_Toc22755"/>
      <w:bookmarkStart w:id="830" w:name="_Toc16330"/>
      <w:bookmarkStart w:id="831" w:name="_Toc5601"/>
      <w:r>
        <w:rPr>
          <w:rFonts w:hint="eastAsia"/>
        </w:rPr>
        <w:t>7.4 临时存放管理</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pStyle w:val="20"/>
      </w:pPr>
      <w:r>
        <w:rPr>
          <w:rFonts w:hint="eastAsia"/>
          <w:b/>
        </w:rPr>
        <w:t xml:space="preserve">7.4.1 </w:t>
      </w:r>
      <w:r>
        <w:rPr>
          <w:rFonts w:hint="eastAsia"/>
        </w:rPr>
        <w:t>预制构件应按规格、类型、使用部位、吊装顺序分别储存，并应有排水措施。存放场地应位于吊装设备的有效起重范围内，且应在堆垛之间设置通道，并应满足高效吊装、安装的要求，通道宜满足构件运输车辆顺利通行的要求。</w:t>
      </w:r>
    </w:p>
    <w:p>
      <w:pPr>
        <w:pStyle w:val="20"/>
      </w:pPr>
      <w:r>
        <w:rPr>
          <w:rFonts w:hint="eastAsia"/>
          <w:b/>
        </w:rPr>
        <w:t xml:space="preserve">7.4.2 </w:t>
      </w:r>
      <w:r>
        <w:rPr>
          <w:rFonts w:hint="eastAsia"/>
          <w:bCs/>
        </w:rPr>
        <w:t>预制</w:t>
      </w:r>
      <w:r>
        <w:rPr>
          <w:rFonts w:hint="eastAsia"/>
        </w:rPr>
        <w:t>构件的存放应考虑台风、暴雨、高温湿热等极端天气的影响，设置足够的安全防护措施。竖向构件宜采用存放架进行存放，存放架应具有足够的抗倾覆性能，专用存放架应根据需要设置安全操作平台。针对存放时间长的构件，应做好覆盖保护，还应有可靠措施防止存放过程中产生开裂、变形、起拱、下挠等质量问题。</w:t>
      </w:r>
    </w:p>
    <w:p>
      <w:pPr>
        <w:pStyle w:val="3"/>
        <w:spacing w:before="312" w:after="312"/>
      </w:pPr>
      <w:bookmarkStart w:id="832" w:name="_Toc11117"/>
      <w:bookmarkStart w:id="833" w:name="_Toc21505"/>
      <w:r>
        <w:rPr>
          <w:rFonts w:hint="eastAsia"/>
        </w:rPr>
        <w:t>7.5 安装作业质量管理</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pPr>
        <w:pStyle w:val="20"/>
      </w:pPr>
      <w:r>
        <w:rPr>
          <w:rFonts w:hint="eastAsia"/>
          <w:b/>
        </w:rPr>
        <w:t xml:space="preserve">7.5.2 </w:t>
      </w:r>
      <w:r>
        <w:rPr>
          <w:rFonts w:hint="eastAsia"/>
        </w:rPr>
        <w:t>安装前应组织人员对安装人员和项目管理人员进行质量安全技术交底，交底文件由参加会议人员签字并存档。相关人员应熟悉施工详图，掌握安装相关技术要求及细部做法，熟悉吊装顺序和方法、构件安装方法和全过程成品保护方法。</w:t>
      </w:r>
    </w:p>
    <w:p>
      <w:pPr>
        <w:pStyle w:val="20"/>
      </w:pPr>
      <w:r>
        <w:rPr>
          <w:rFonts w:hint="eastAsia"/>
          <w:b/>
        </w:rPr>
        <w:t xml:space="preserve">7.5.3 </w:t>
      </w:r>
      <w:r>
        <w:rPr>
          <w:rFonts w:hint="eastAsia"/>
        </w:rPr>
        <w:t>安装前，应设置构件安装定位标识方案，根据安装连接的精细化要求设定合理误差。安装定位标识方案应安装一定顺序进行编制，标识点应清晰明确，定位顺序应便于查询标识。</w:t>
      </w:r>
    </w:p>
    <w:p>
      <w:pPr>
        <w:pStyle w:val="20"/>
      </w:pPr>
      <w:r>
        <w:rPr>
          <w:rFonts w:hint="eastAsia"/>
          <w:b/>
        </w:rPr>
        <w:t xml:space="preserve">7.5.5 </w:t>
      </w:r>
      <w:r>
        <w:rPr>
          <w:rFonts w:hint="eastAsia"/>
        </w:rPr>
        <w:t>安装前，应结合深化设计图纸核对已施工完成结构或基础的外观质量、尺寸偏差、混凝土强度和预留预埋是否符合上层构件的安装要求。</w:t>
      </w:r>
    </w:p>
    <w:p>
      <w:pPr>
        <w:pStyle w:val="20"/>
      </w:pPr>
      <w:r>
        <w:rPr>
          <w:rFonts w:hint="eastAsia"/>
          <w:b/>
        </w:rPr>
        <w:t xml:space="preserve">7.5.7 </w:t>
      </w:r>
      <w:r>
        <w:rPr>
          <w:rFonts w:hint="eastAsia"/>
          <w:bCs/>
        </w:rPr>
        <w:t>预制构件吊装应制定专项施工方案，但由于现场施工条件随时处于变化之中，针对一些大型构件和危重工况的吊装还需要加强现场作业过程控制，督促施工单位履行好资源投入，施工准备等责任，从而提高构件安装质量，降低安全事故风险。</w:t>
      </w:r>
    </w:p>
    <w:p>
      <w:pPr>
        <w:pStyle w:val="20"/>
      </w:pPr>
      <w:r>
        <w:rPr>
          <w:rFonts w:hint="eastAsia"/>
          <w:b/>
        </w:rPr>
        <w:t xml:space="preserve">7.5.9 </w:t>
      </w:r>
      <w:r>
        <w:rPr>
          <w:rFonts w:hint="eastAsia"/>
        </w:rPr>
        <w:t>预制构件吊装就位后，应对安装位置、标高、垂直度等进行调整，并应考虑安装偏差的累积影响，安装偏差应严于装配式混凝土结构分项工程验收的施工尺寸偏差。</w:t>
      </w:r>
    </w:p>
    <w:p>
      <w:pPr>
        <w:pStyle w:val="20"/>
      </w:pPr>
      <w:r>
        <w:rPr>
          <w:rFonts w:hint="eastAsia"/>
          <w:b/>
        </w:rPr>
        <w:t xml:space="preserve">7.5.10 </w:t>
      </w:r>
      <w:r>
        <w:rPr>
          <w:rFonts w:hint="eastAsia"/>
        </w:rPr>
        <w:t>模板工程、钢筋工程、预应力工程、混凝土工程应符合现行国家标准《混凝土结构工程施工规范》GB 50666、《钢筋焊接及验收规程》JGJ 18、《钢筋机械连接技术规程》JGJ 107、《钢筋套筒灌浆连接应用技术规程》JGJ 355、《预应力混凝土结构设计规范》JGJ 369、《无粘结预应力混凝土结构技术规程》JGJ 92等的有关规定。</w:t>
      </w:r>
    </w:p>
    <w:p>
      <w:pPr>
        <w:pStyle w:val="3"/>
        <w:spacing w:before="312" w:after="312"/>
      </w:pPr>
      <w:bookmarkStart w:id="834" w:name="_Toc27947"/>
      <w:bookmarkStart w:id="835" w:name="_Toc24148"/>
      <w:bookmarkStart w:id="836" w:name="_Toc28352"/>
      <w:bookmarkStart w:id="837" w:name="_Toc25205"/>
      <w:bookmarkStart w:id="838" w:name="_Toc15710"/>
      <w:bookmarkStart w:id="839" w:name="_Toc15616"/>
      <w:bookmarkStart w:id="840" w:name="_Toc12537"/>
      <w:bookmarkStart w:id="841" w:name="_Toc12272"/>
      <w:bookmarkStart w:id="842" w:name="_Toc22246"/>
      <w:bookmarkStart w:id="843" w:name="_Toc10189"/>
      <w:bookmarkStart w:id="844" w:name="_Toc23151"/>
      <w:bookmarkStart w:id="845" w:name="_Toc31399"/>
      <w:bookmarkStart w:id="846" w:name="_Toc12538"/>
      <w:bookmarkStart w:id="847" w:name="_Toc16161"/>
      <w:bookmarkStart w:id="848" w:name="_Toc3610"/>
      <w:r>
        <w:rPr>
          <w:rFonts w:hint="eastAsia"/>
        </w:rPr>
        <w:t>7.6 试验检验与验收管理</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pStyle w:val="20"/>
      </w:pPr>
      <w:r>
        <w:rPr>
          <w:rFonts w:hint="eastAsia"/>
          <w:b/>
        </w:rPr>
        <w:t xml:space="preserve">7.6.1 </w:t>
      </w:r>
      <w:r>
        <w:rPr>
          <w:rFonts w:hint="eastAsia"/>
        </w:rPr>
        <w:t>若施工企业配置相关检测设备和人员存在困难，应与第三方检测机构建立合作关系，由第三方检测机构给予技术支持。</w:t>
      </w:r>
    </w:p>
    <w:p>
      <w:pPr>
        <w:pStyle w:val="20"/>
      </w:pPr>
      <w:r>
        <w:rPr>
          <w:rFonts w:hint="eastAsia"/>
          <w:b/>
        </w:rPr>
        <w:t xml:space="preserve">7.6.3 </w:t>
      </w:r>
      <w:r>
        <w:rPr>
          <w:rFonts w:hint="eastAsia"/>
        </w:rPr>
        <w:t xml:space="preserve">预制构件安装工程应在安装施工及浇筑混凝土前完成下列隐蔽项目的现场验收： </w:t>
      </w:r>
    </w:p>
    <w:p>
      <w:pPr>
        <w:pStyle w:val="22"/>
        <w:ind w:firstLine="482"/>
      </w:pPr>
      <w:r>
        <w:rPr>
          <w:rFonts w:hint="eastAsia"/>
          <w:b/>
          <w:bCs/>
        </w:rPr>
        <w:t>1</w:t>
      </w:r>
      <w:r>
        <w:rPr>
          <w:rFonts w:hint="eastAsia"/>
        </w:rPr>
        <w:t xml:space="preserve"> 预制构件与后浇混凝土结构连接处混凝土的粗糙面或键槽； </w:t>
      </w:r>
    </w:p>
    <w:p>
      <w:pPr>
        <w:pStyle w:val="22"/>
        <w:ind w:firstLine="482"/>
      </w:pPr>
      <w:r>
        <w:rPr>
          <w:rFonts w:hint="eastAsia"/>
          <w:b/>
          <w:bCs/>
        </w:rPr>
        <w:t>2</w:t>
      </w:r>
      <w:r>
        <w:rPr>
          <w:rFonts w:hint="eastAsia"/>
        </w:rPr>
        <w:t xml:space="preserve"> 后浇混凝土中钢筋的牌号、规格、数量、位置、锚固长度； </w:t>
      </w:r>
    </w:p>
    <w:p>
      <w:pPr>
        <w:pStyle w:val="22"/>
        <w:ind w:firstLine="482"/>
      </w:pPr>
      <w:r>
        <w:rPr>
          <w:rFonts w:hint="eastAsia"/>
          <w:b/>
          <w:bCs/>
        </w:rPr>
        <w:t>3</w:t>
      </w:r>
      <w:r>
        <w:rPr>
          <w:rFonts w:hint="eastAsia"/>
        </w:rPr>
        <w:t xml:space="preserve"> 结构预埋件、螺栓连接、预留专业管线的数量与位置。</w:t>
      </w:r>
    </w:p>
    <w:p>
      <w:pPr>
        <w:pStyle w:val="22"/>
        <w:ind w:firstLine="480"/>
      </w:pPr>
      <w:r>
        <w:rPr>
          <w:rFonts w:hint="eastAsia"/>
        </w:rPr>
        <w:t>预制构件的质量应满足设计文件的要求和《海南省装配式混凝土预制构件生产和安装技术标准》DBJ 46-058的要求。</w:t>
      </w:r>
    </w:p>
    <w:p>
      <w:pPr>
        <w:pStyle w:val="3"/>
        <w:spacing w:before="312" w:after="312"/>
      </w:pPr>
      <w:bookmarkStart w:id="849" w:name="_Toc9055"/>
      <w:bookmarkStart w:id="850" w:name="_Toc23042"/>
      <w:bookmarkStart w:id="851" w:name="_Toc27554"/>
      <w:bookmarkStart w:id="852" w:name="_Toc25432"/>
      <w:bookmarkStart w:id="853" w:name="_Toc29185"/>
      <w:bookmarkStart w:id="854" w:name="_Toc31437"/>
      <w:bookmarkStart w:id="855" w:name="_Toc16490"/>
      <w:bookmarkStart w:id="856" w:name="_Toc29129"/>
      <w:bookmarkStart w:id="857" w:name="_Toc21606"/>
      <w:bookmarkStart w:id="858" w:name="_Toc15325"/>
      <w:bookmarkStart w:id="859" w:name="_Toc6104"/>
      <w:bookmarkStart w:id="860" w:name="_Toc23015"/>
      <w:bookmarkStart w:id="861" w:name="_Toc2639"/>
      <w:bookmarkStart w:id="862" w:name="_Toc20011"/>
      <w:bookmarkStart w:id="863" w:name="_Toc32060"/>
      <w:r>
        <w:rPr>
          <w:rFonts w:hint="eastAsia"/>
        </w:rPr>
        <w:t>7.7 不合格品管理</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pStyle w:val="20"/>
      </w:pPr>
      <w:r>
        <w:rPr>
          <w:rFonts w:hint="eastAsia"/>
          <w:b/>
        </w:rPr>
        <w:t xml:space="preserve">7.7.1 </w:t>
      </w:r>
      <w:r>
        <w:rPr>
          <w:rFonts w:hint="eastAsia"/>
        </w:rPr>
        <w:t>若预制构件检验为“不合格”，应在此预制构件标识“不合格”标志。对于验收不合格的物资，应单独存放，做出明显标识，防止不合格预制构件误用。验收不合格的预制构件应及时与预制构件生产单位联系，做出退回、让步接收或报废处理。</w:t>
      </w:r>
    </w:p>
    <w:p>
      <w:pPr>
        <w:pStyle w:val="3"/>
        <w:spacing w:before="312" w:after="312"/>
      </w:pPr>
      <w:bookmarkStart w:id="864" w:name="_Toc5579"/>
      <w:bookmarkStart w:id="865" w:name="_Toc20844"/>
      <w:bookmarkStart w:id="866" w:name="_Toc21872"/>
      <w:bookmarkStart w:id="867" w:name="_Toc20613"/>
      <w:bookmarkStart w:id="868" w:name="_Toc3933"/>
      <w:bookmarkStart w:id="869" w:name="_Toc18807"/>
      <w:bookmarkStart w:id="870" w:name="_Toc10422"/>
      <w:bookmarkStart w:id="871" w:name="_Toc102"/>
      <w:bookmarkStart w:id="872" w:name="_Toc32743"/>
      <w:bookmarkStart w:id="873" w:name="_Toc12332"/>
      <w:bookmarkStart w:id="874" w:name="_Toc3206"/>
      <w:bookmarkStart w:id="875" w:name="_Toc15804"/>
      <w:bookmarkStart w:id="876" w:name="_Toc12972"/>
      <w:bookmarkStart w:id="877" w:name="_Toc2040"/>
      <w:bookmarkStart w:id="878" w:name="_Toc723"/>
      <w:r>
        <w:rPr>
          <w:rFonts w:hint="eastAsia"/>
        </w:rPr>
        <w:t>7.8 质量分析和持续改进</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pPr>
        <w:pStyle w:val="20"/>
      </w:pPr>
      <w:r>
        <w:rPr>
          <w:rFonts w:hint="eastAsia"/>
          <w:b/>
        </w:rPr>
        <w:t xml:space="preserve">7.8.1 </w:t>
      </w:r>
      <w:r>
        <w:rPr>
          <w:rFonts w:hint="eastAsia"/>
        </w:rPr>
        <w:t>施工企业应按真实生产、施工情况进行统计分析，查找影响质量的相关因素，确定主要影响因素。</w:t>
      </w:r>
    </w:p>
    <w:p>
      <w:pPr>
        <w:pStyle w:val="20"/>
      </w:pPr>
      <w:r>
        <w:rPr>
          <w:rFonts w:hint="eastAsia"/>
          <w:b/>
        </w:rPr>
        <w:t xml:space="preserve">7.8.2 </w:t>
      </w:r>
      <w:r>
        <w:rPr>
          <w:rFonts w:hint="eastAsia"/>
        </w:rPr>
        <w:t>施工企业根据掌握的影响质量因素，采用针对性的措施，在后续安装作业中避免再次发生。</w:t>
      </w:r>
    </w:p>
    <w:p>
      <w:r>
        <w:rPr>
          <w:rFonts w:hint="eastAsia"/>
        </w:rPr>
        <w:br w:type="page"/>
      </w:r>
    </w:p>
    <w:p>
      <w:pPr>
        <w:pStyle w:val="2"/>
        <w:spacing w:before="312" w:after="312"/>
      </w:pPr>
      <w:bookmarkStart w:id="879" w:name="_Toc788"/>
      <w:bookmarkStart w:id="880" w:name="_Toc19582"/>
      <w:bookmarkStart w:id="881" w:name="_Toc15770"/>
      <w:bookmarkStart w:id="882" w:name="_Toc187"/>
      <w:bookmarkStart w:id="883" w:name="_Toc17706"/>
      <w:bookmarkStart w:id="884" w:name="_Toc12962"/>
      <w:bookmarkStart w:id="885" w:name="_Toc12716"/>
      <w:bookmarkStart w:id="886" w:name="_Toc18623"/>
      <w:bookmarkStart w:id="887" w:name="_Toc26575"/>
      <w:bookmarkStart w:id="888" w:name="_Toc18561"/>
      <w:bookmarkStart w:id="889" w:name="_Toc12902"/>
      <w:bookmarkStart w:id="890" w:name="_Toc12992"/>
      <w:bookmarkStart w:id="891" w:name="_Toc2625"/>
      <w:bookmarkStart w:id="892" w:name="_Toc30633"/>
      <w:bookmarkStart w:id="893" w:name="_Toc5632"/>
      <w:r>
        <w:rPr>
          <w:rFonts w:hint="eastAsia"/>
        </w:rPr>
        <w:t>8 质量追溯性管理</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pStyle w:val="3"/>
        <w:spacing w:before="312" w:after="312"/>
      </w:pPr>
      <w:bookmarkStart w:id="894" w:name="_Toc19063"/>
      <w:bookmarkStart w:id="895" w:name="_Toc26881"/>
      <w:bookmarkStart w:id="896" w:name="_Toc9425"/>
      <w:bookmarkStart w:id="897" w:name="_Toc1870"/>
      <w:bookmarkStart w:id="898" w:name="_Toc18527"/>
      <w:bookmarkStart w:id="899" w:name="_Toc3131"/>
      <w:bookmarkStart w:id="900" w:name="_Toc18044"/>
      <w:bookmarkStart w:id="901" w:name="_Toc15590"/>
      <w:bookmarkStart w:id="902" w:name="_Toc17374"/>
      <w:bookmarkStart w:id="903" w:name="_Toc11972"/>
      <w:bookmarkStart w:id="904" w:name="_Toc2481"/>
      <w:bookmarkStart w:id="905" w:name="_Toc13558"/>
      <w:bookmarkStart w:id="906" w:name="_Toc23272"/>
      <w:bookmarkStart w:id="907" w:name="_Toc22847"/>
      <w:bookmarkStart w:id="908" w:name="_Toc17763"/>
      <w:r>
        <w:rPr>
          <w:rFonts w:hint="eastAsia"/>
        </w:rPr>
        <w:t>8.1 资料管理</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pPr>
        <w:pStyle w:val="20"/>
      </w:pPr>
      <w:r>
        <w:rPr>
          <w:rFonts w:hint="eastAsia"/>
          <w:b/>
          <w:bCs/>
        </w:rPr>
        <w:t xml:space="preserve">8.1.1 </w:t>
      </w:r>
      <w:r>
        <w:rPr>
          <w:rFonts w:hint="eastAsia"/>
        </w:rPr>
        <w:t>本条强调了预制构件生产企业对生产记录资料和质量证明文件的分级分类管理要求。这一措施有利于在质量追溯体系中准确记录和管理关键信息。其中，质量证明文件对于预制构件进场验收是必要的，以确保产品质量符合要求。然而，生产记录资料不需要提供给施工企业，因为这些信息通常用于内部管理和生产过程监控。通过分级分类管理，确保在需要时能够迅速找到相关生产记录或质量证明文件，从而提升质量管理效率。</w:t>
      </w:r>
    </w:p>
    <w:p>
      <w:pPr>
        <w:pStyle w:val="20"/>
      </w:pPr>
      <w:r>
        <w:rPr>
          <w:rFonts w:hint="eastAsia"/>
          <w:b/>
          <w:bCs/>
        </w:rPr>
        <w:t>8.1.3</w:t>
      </w:r>
      <w:r>
        <w:rPr>
          <w:rFonts w:hint="eastAsia"/>
        </w:rPr>
        <w:t xml:space="preserve"> 预制构件的施工记录资料和质量证明文件内容参照《混凝土结构工程施工质量验收规范》GB50204、《装配式混凝土建筑技术标准》GB/T51231等要求。</w:t>
      </w:r>
    </w:p>
    <w:p>
      <w:pPr>
        <w:pStyle w:val="20"/>
      </w:pPr>
      <w:r>
        <w:rPr>
          <w:rFonts w:hint="eastAsia"/>
          <w:b/>
          <w:bCs/>
        </w:rPr>
        <w:t>8.1.4</w:t>
      </w:r>
      <w:r>
        <w:rPr>
          <w:rFonts w:hint="eastAsia"/>
        </w:rPr>
        <w:t xml:space="preserve"> 预制构件的质量监督记录资料和质量证明文件内容参照《海南省建筑工程竣工验收资料》（2022版）。</w:t>
      </w:r>
    </w:p>
    <w:p>
      <w:pPr>
        <w:pStyle w:val="20"/>
      </w:pPr>
      <w:r>
        <w:rPr>
          <w:rFonts w:hint="eastAsia"/>
          <w:b/>
          <w:bCs/>
        </w:rPr>
        <w:t>8.1.6</w:t>
      </w:r>
      <w:r>
        <w:rPr>
          <w:rFonts w:hint="eastAsia"/>
        </w:rPr>
        <w:t xml:space="preserve"> 工程资料保存参考《建筑工程资料管理规程》JGJ/T 185要求，结构资料应与设计使用年限一致；其他资料应满足质量保修期要求。</w:t>
      </w:r>
    </w:p>
    <w:p>
      <w:pPr>
        <w:pStyle w:val="3"/>
        <w:spacing w:before="312" w:after="312"/>
      </w:pPr>
      <w:bookmarkStart w:id="909" w:name="_Toc25992"/>
      <w:bookmarkStart w:id="910" w:name="_Toc697"/>
      <w:bookmarkStart w:id="911" w:name="_Toc31838"/>
      <w:bookmarkStart w:id="912" w:name="_Toc12223"/>
      <w:bookmarkStart w:id="913" w:name="_Toc8550"/>
      <w:bookmarkStart w:id="914" w:name="_Toc26122"/>
      <w:bookmarkStart w:id="915" w:name="_Toc10844"/>
      <w:bookmarkStart w:id="916" w:name="_Toc2986"/>
      <w:bookmarkStart w:id="917" w:name="_Toc11219"/>
      <w:bookmarkStart w:id="918" w:name="_Toc9078"/>
      <w:bookmarkStart w:id="919" w:name="_Toc20896"/>
      <w:bookmarkStart w:id="920" w:name="_Toc17186"/>
      <w:bookmarkStart w:id="921" w:name="_Toc16765"/>
      <w:bookmarkStart w:id="922" w:name="_Toc12362"/>
      <w:bookmarkStart w:id="923" w:name="_Toc27196"/>
      <w:r>
        <w:rPr>
          <w:rFonts w:hint="eastAsia"/>
        </w:rPr>
        <w:t>8.2 标识管理</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pPr>
        <w:pStyle w:val="20"/>
      </w:pPr>
      <w:r>
        <w:rPr>
          <w:rFonts w:hint="eastAsia"/>
          <w:b/>
          <w:bCs/>
        </w:rPr>
        <w:t xml:space="preserve">8.2.1 </w:t>
      </w:r>
      <w:r>
        <w:rPr>
          <w:rFonts w:hint="eastAsia"/>
        </w:rPr>
        <w:t>因预制构件标识工作的重要性，要求其贯穿设计、生产和安装全过程。这一要求旨在保障标识信息的连贯性和可追溯性，以便在各个阶段都能准确识别和核对构件。此外，本条还强调了标识的持久性和清晰可辨性，以确保标识在长时间使用和各种环境条件下不会模糊或褪色。</w:t>
      </w:r>
    </w:p>
    <w:p>
      <w:pPr>
        <w:pStyle w:val="20"/>
      </w:pPr>
      <w:r>
        <w:rPr>
          <w:rFonts w:hint="eastAsia"/>
          <w:b/>
          <w:bCs/>
        </w:rPr>
        <w:t xml:space="preserve">8.2.4 </w:t>
      </w:r>
      <w:r>
        <w:rPr>
          <w:rFonts w:hint="eastAsia"/>
        </w:rPr>
        <w:t>产品编号示例：XXX项目1#2F-YWQ01-001，注释为：XXX项目1#楼2层-预制外墙01-001。</w:t>
      </w:r>
    </w:p>
    <w:p>
      <w:pPr>
        <w:pStyle w:val="20"/>
      </w:pPr>
      <w:r>
        <w:rPr>
          <w:rFonts w:hint="eastAsia"/>
          <w:b/>
          <w:bCs/>
        </w:rPr>
        <w:t>8.2.5</w:t>
      </w:r>
      <w:r>
        <w:rPr>
          <w:rFonts w:hint="eastAsia"/>
        </w:rPr>
        <w:t xml:space="preserve"> 预制混凝土构件产品合格证样表可参照《海南省装配式混凝土预制构件生产和安装技术标准》DBJ 46-058附表A。</w:t>
      </w:r>
    </w:p>
    <w:p>
      <w:pPr>
        <w:pStyle w:val="3"/>
        <w:spacing w:before="312" w:after="312"/>
      </w:pPr>
      <w:bookmarkStart w:id="924" w:name="_Toc15507"/>
      <w:bookmarkStart w:id="925" w:name="_Toc26456"/>
      <w:bookmarkStart w:id="926" w:name="_Toc9810"/>
      <w:bookmarkStart w:id="927" w:name="_Toc25430"/>
      <w:bookmarkStart w:id="928" w:name="_Toc21602"/>
      <w:bookmarkStart w:id="929" w:name="_Toc10703"/>
      <w:bookmarkStart w:id="930" w:name="_Toc21913"/>
      <w:bookmarkStart w:id="931" w:name="_Toc17388"/>
      <w:bookmarkStart w:id="932" w:name="_Toc3501"/>
      <w:bookmarkStart w:id="933" w:name="_Toc6073"/>
      <w:bookmarkStart w:id="934" w:name="_Toc30641"/>
      <w:bookmarkStart w:id="935" w:name="_Toc15652"/>
      <w:bookmarkStart w:id="936" w:name="_Toc27557"/>
      <w:bookmarkStart w:id="937" w:name="_Toc29001"/>
      <w:bookmarkStart w:id="938" w:name="_Toc1851"/>
      <w:r>
        <w:rPr>
          <w:rFonts w:hint="eastAsia"/>
        </w:rPr>
        <w:t>8.3 信息化管理</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pPr>
        <w:pStyle w:val="20"/>
        <w:rPr>
          <w:bCs/>
        </w:rPr>
      </w:pPr>
      <w:r>
        <w:rPr>
          <w:rFonts w:hint="eastAsia"/>
          <w:b/>
        </w:rPr>
        <w:t xml:space="preserve">8.3.6 </w:t>
      </w:r>
      <w:r>
        <w:rPr>
          <w:rFonts w:hint="eastAsia"/>
          <w:bCs/>
        </w:rPr>
        <w:t>为提高驻厂监造的可实施性，施工企业或者监理企业的代表不一定非要到预制构件生产企业驻点，可采用信息化手段（如在线视频检查生产过程或成品质量，在生产企业安装远程监控摄像头等措施）监督制作过程。</w:t>
      </w:r>
    </w:p>
    <w:p>
      <w:pPr>
        <w:pStyle w:val="20"/>
      </w:pPr>
      <w:r>
        <w:rPr>
          <w:rFonts w:hint="eastAsia"/>
          <w:b/>
        </w:rPr>
        <w:t xml:space="preserve">8.3.8 </w:t>
      </w:r>
      <w:r>
        <w:rPr>
          <w:rFonts w:hint="eastAsia"/>
        </w:rPr>
        <w:t>按《关于印发&lt;海南省装配式建筑实施主要环节管理规定&gt;的通知》（琼建规〔2023〕13号）的要求，预制构件生产及施工单位应通过“海南省装配式建筑部品部件质量可追溯系统”报送装配式建筑部品部件相关信息，实现装配式建筑工程全过程建设管理和部品部件在生产、安装、验收等各环节的跟踪管理。</w:t>
      </w:r>
    </w:p>
    <w:p/>
    <w:sectPr>
      <w:footerReference r:id="rId5" w:type="default"/>
      <w:pgSz w:w="11906" w:h="16838"/>
      <w:pgMar w:top="1417" w:right="1531" w:bottom="1417" w:left="1531" w:header="851" w:footer="130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61620" cy="34417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261620" cy="344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imes New Roman" w:hAnsi="Times New Roman" w:cs="Times New Roman"/>
                              <w:i/>
                              <w:iCs/>
                              <w:sz w:val="26"/>
                              <w:szCs w:val="26"/>
                            </w:rPr>
                          </w:pPr>
                          <w:r>
                            <w:rPr>
                              <w:rFonts w:ascii="Times New Roman" w:hAnsi="Times New Roman" w:cs="Times New Roman"/>
                              <w:i/>
                              <w:iCs/>
                              <w:sz w:val="26"/>
                              <w:szCs w:val="26"/>
                            </w:rPr>
                            <w:fldChar w:fldCharType="begin"/>
                          </w:r>
                          <w:r>
                            <w:rPr>
                              <w:rFonts w:ascii="Times New Roman" w:hAnsi="Times New Roman" w:cs="Times New Roman"/>
                              <w:i/>
                              <w:iCs/>
                              <w:sz w:val="26"/>
                              <w:szCs w:val="26"/>
                            </w:rPr>
                            <w:instrText xml:space="preserve"> PAGE  \* MERGEFORMAT </w:instrText>
                          </w:r>
                          <w:r>
                            <w:rPr>
                              <w:rFonts w:ascii="Times New Roman" w:hAnsi="Times New Roman" w:cs="Times New Roman"/>
                              <w:i/>
                              <w:iCs/>
                              <w:sz w:val="26"/>
                              <w:szCs w:val="26"/>
                            </w:rPr>
                            <w:fldChar w:fldCharType="separate"/>
                          </w:r>
                          <w:r>
                            <w:rPr>
                              <w:rFonts w:ascii="Times New Roman" w:hAnsi="Times New Roman" w:cs="Times New Roman"/>
                              <w:i/>
                              <w:iCs/>
                              <w:sz w:val="26"/>
                              <w:szCs w:val="26"/>
                            </w:rPr>
                            <w:t>39</w:t>
                          </w:r>
                          <w:r>
                            <w:rPr>
                              <w:rFonts w:ascii="Times New Roman" w:hAnsi="Times New Roman" w:cs="Times New Roman"/>
                              <w:i/>
                              <w:iCs/>
                              <w:sz w:val="26"/>
                              <w:szCs w:val="26"/>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pt;height:27.1pt;width:20.6pt;mso-position-horizontal:outside;mso-position-horizontal-relative:margin;z-index:251659264;mso-width-relative:page;mso-height-relative:page;" filled="f" stroked="f" coordsize="21600,21600" o:gfxdata="UEsFBgAAAAAAAAAAAAAAAAAAAAAAAFBLAwQKAAAAAACHTuJAAAAAAAAAAAAAAAAABAAAAGRycy9Q&#10;SwMEFAAAAAgAh07iQFpMemXTAAAAAwEAAA8AAABkcnMvZG93bnJldi54bWxNjztPxDAQhHsk/oO1&#10;SHScnehAKMS5gkfH8wAJOidekgh7Hdmb3PHvMTTQrDSa0cy39WbvnVgwpjGQhmKlQCB1wY7Ua3h5&#10;vjk5B5HYkDUuEGr4wgSb5vCgNpUNO3rCZcu9yCWUKqNhYJ4qKVM3oDdpFSak7H2E6A1nGXtpo9nl&#10;cu9kqdSZ9GakvDCYCS8H7D63s9fg3lK8bRW/L1f9HT8+yPn1urjX+vioUBcgGPf8F4Yf/IwOTWZq&#10;w0w2CachP8K/N3vrogTRajhdlyCbWv5nb74BUEsDBBQAAAAIAIdO4kCox3DKGgIAABkEAAAOAAAA&#10;ZHJzL2Uyb0RvYy54bWytU81uEzEQviPxDpbvZJO0JCjKpgqtgpAiWikgzo7XzlqyPcZ2shseAN6A&#10;Uy/cea48B2NnN0XACXGxx57/b76Z37RGk4PwQYEt6WgwpERYDpWyu5J+eL968YqSEJmtmAYrSnoU&#10;gd4snj+bN24mxlCDroQnGMSGWeNKWsfoZkUReC0MCwNwwqJSgjcs4tPvisqzBqMbXYyHw0nRgK+c&#10;By5CwN+7s5IucnwpBY/3UgYRiS4p1hbz6fO5TWexmLPZzjNXK96Vwf6hCsOUxaSXUHcsMrL36o9Q&#10;RnEPAWQccDAFSKm4yD1gN6Phb91sauZE7gXBCe4CU/h/Yfm7w4MnqirplBLLDI7o9O3r6fHH6fsX&#10;Mk3wNC7M0Grj0C62r6EtafR70asC/qfGW+lNurElgiaI9fGCr2gj4fg5nowmY9RwVF1dX4+mGf/i&#10;ydn5EN8IMCQJJfU4vowqO6xDxFrQtDdJuSyslNZ5hNqSpqSTq5fD7HDRoIe26Ji6OJeapNhu2661&#10;LVRH7MzDmRrB8ZXC5GsW4gPzyAWsF/kd7/GQGjAJdBIlNfjPf/tP9jgi1FLSILdKGj7tmReU6LcW&#10;h5eI2Au+F7a9YPfmFpCuI9wcx7OIDj7qXpQezEek/TJlkUwHDMwsx3w4ml68jfjqlLg+XCyXlzdS&#10;z7G4thvHu2Ge0VzuI0iVgU4onaHpwEP+Zfy7XUkE//WdrZ42ev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kx6ZdMAAAADAQAADwAAAAAAAAABACAAAAA4AAAAZHJzL2Rvd25yZXYueG1sUEsBAhQA&#10;FAAAAAgAh07iQKjHcMoaAgAAGQQAAA4AAAAAAAAAAQAgAAAAOAEAAGRycy9lMm9Eb2MueG1sUEsF&#10;BgAAAAAGAAYAWQEAAMQFAAAAAA==&#10;">
              <v:fill on="f" focussize="0,0"/>
              <v:stroke on="f" weight="0.5pt"/>
              <v:imagedata o:title=""/>
              <o:lock v:ext="edit" aspectratio="f"/>
              <v:textbox inset="0mm,0mm,0mm,0mm">
                <w:txbxContent>
                  <w:p>
                    <w:pPr>
                      <w:pStyle w:val="9"/>
                      <w:rPr>
                        <w:rFonts w:ascii="Times New Roman" w:hAnsi="Times New Roman" w:cs="Times New Roman"/>
                        <w:i/>
                        <w:iCs/>
                        <w:sz w:val="26"/>
                        <w:szCs w:val="26"/>
                      </w:rPr>
                    </w:pPr>
                    <w:r>
                      <w:rPr>
                        <w:rFonts w:ascii="Times New Roman" w:hAnsi="Times New Roman" w:cs="Times New Roman"/>
                        <w:i/>
                        <w:iCs/>
                        <w:sz w:val="26"/>
                        <w:szCs w:val="26"/>
                      </w:rPr>
                      <w:fldChar w:fldCharType="begin"/>
                    </w:r>
                    <w:r>
                      <w:rPr>
                        <w:rFonts w:ascii="Times New Roman" w:hAnsi="Times New Roman" w:cs="Times New Roman"/>
                        <w:i/>
                        <w:iCs/>
                        <w:sz w:val="26"/>
                        <w:szCs w:val="26"/>
                      </w:rPr>
                      <w:instrText xml:space="preserve"> PAGE  \* MERGEFORMAT </w:instrText>
                    </w:r>
                    <w:r>
                      <w:rPr>
                        <w:rFonts w:ascii="Times New Roman" w:hAnsi="Times New Roman" w:cs="Times New Roman"/>
                        <w:i/>
                        <w:iCs/>
                        <w:sz w:val="26"/>
                        <w:szCs w:val="26"/>
                      </w:rPr>
                      <w:fldChar w:fldCharType="separate"/>
                    </w:r>
                    <w:r>
                      <w:rPr>
                        <w:rFonts w:ascii="Times New Roman" w:hAnsi="Times New Roman" w:cs="Times New Roman"/>
                        <w:i/>
                        <w:iCs/>
                        <w:sz w:val="26"/>
                        <w:szCs w:val="26"/>
                      </w:rPr>
                      <w:t>39</w:t>
                    </w:r>
                    <w:r>
                      <w:rPr>
                        <w:rFonts w:ascii="Times New Roman" w:hAnsi="Times New Roman" w:cs="Times New Roman"/>
                        <w:i/>
                        <w:iCs/>
                        <w:sz w:val="26"/>
                        <w:szCs w:val="2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CD9"/>
    <w:multiLevelType w:val="singleLevel"/>
    <w:tmpl w:val="04D89CD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TY1ZDQzNjAwNjhiYTM2NDU2NDc4MGFhYjFkZWYifQ=="/>
  </w:docVars>
  <w:rsids>
    <w:rsidRoot w:val="33246285"/>
    <w:rsid w:val="00026D4C"/>
    <w:rsid w:val="00110EF6"/>
    <w:rsid w:val="00205F06"/>
    <w:rsid w:val="00240687"/>
    <w:rsid w:val="003C2959"/>
    <w:rsid w:val="005D266D"/>
    <w:rsid w:val="006E0398"/>
    <w:rsid w:val="00900416"/>
    <w:rsid w:val="00905746"/>
    <w:rsid w:val="009A795F"/>
    <w:rsid w:val="009B2B1C"/>
    <w:rsid w:val="00A01449"/>
    <w:rsid w:val="00A12741"/>
    <w:rsid w:val="00AC4967"/>
    <w:rsid w:val="00B32474"/>
    <w:rsid w:val="00CD1AB8"/>
    <w:rsid w:val="00D1539E"/>
    <w:rsid w:val="00E51CDC"/>
    <w:rsid w:val="00F01F4B"/>
    <w:rsid w:val="00F62B19"/>
    <w:rsid w:val="012F3B56"/>
    <w:rsid w:val="014625AC"/>
    <w:rsid w:val="014B7F8D"/>
    <w:rsid w:val="014D077C"/>
    <w:rsid w:val="015345E6"/>
    <w:rsid w:val="0159579D"/>
    <w:rsid w:val="017F6E14"/>
    <w:rsid w:val="01CD3CAF"/>
    <w:rsid w:val="01D866AD"/>
    <w:rsid w:val="020A4A1B"/>
    <w:rsid w:val="02541E43"/>
    <w:rsid w:val="0261487E"/>
    <w:rsid w:val="02E828A9"/>
    <w:rsid w:val="02EF4C45"/>
    <w:rsid w:val="02F44D3F"/>
    <w:rsid w:val="03087E21"/>
    <w:rsid w:val="03302C39"/>
    <w:rsid w:val="03374451"/>
    <w:rsid w:val="035444F6"/>
    <w:rsid w:val="035C4495"/>
    <w:rsid w:val="038E2D24"/>
    <w:rsid w:val="03C238F6"/>
    <w:rsid w:val="03F30380"/>
    <w:rsid w:val="03F37758"/>
    <w:rsid w:val="04206073"/>
    <w:rsid w:val="042711AF"/>
    <w:rsid w:val="04353614"/>
    <w:rsid w:val="04487189"/>
    <w:rsid w:val="044B7B8E"/>
    <w:rsid w:val="045308C4"/>
    <w:rsid w:val="047634F2"/>
    <w:rsid w:val="047C7FFD"/>
    <w:rsid w:val="04816F22"/>
    <w:rsid w:val="051C0314"/>
    <w:rsid w:val="052878D5"/>
    <w:rsid w:val="05936AC0"/>
    <w:rsid w:val="059F3988"/>
    <w:rsid w:val="05AC73B4"/>
    <w:rsid w:val="05AF0F08"/>
    <w:rsid w:val="05BA4567"/>
    <w:rsid w:val="05DD4E34"/>
    <w:rsid w:val="061B2F96"/>
    <w:rsid w:val="062067FE"/>
    <w:rsid w:val="06387043"/>
    <w:rsid w:val="064323A1"/>
    <w:rsid w:val="06663104"/>
    <w:rsid w:val="066F39C7"/>
    <w:rsid w:val="067A7E6D"/>
    <w:rsid w:val="069E344E"/>
    <w:rsid w:val="07734082"/>
    <w:rsid w:val="07877DC5"/>
    <w:rsid w:val="07D94EB6"/>
    <w:rsid w:val="07E06245"/>
    <w:rsid w:val="07EC1D91"/>
    <w:rsid w:val="07FE2B6F"/>
    <w:rsid w:val="08033CE1"/>
    <w:rsid w:val="081C3DE4"/>
    <w:rsid w:val="08317747"/>
    <w:rsid w:val="08343806"/>
    <w:rsid w:val="08685824"/>
    <w:rsid w:val="08723D64"/>
    <w:rsid w:val="08771B4B"/>
    <w:rsid w:val="08AF7F08"/>
    <w:rsid w:val="08B21592"/>
    <w:rsid w:val="08B5322E"/>
    <w:rsid w:val="08CA536D"/>
    <w:rsid w:val="08D228B5"/>
    <w:rsid w:val="08DF1F4E"/>
    <w:rsid w:val="08E45F63"/>
    <w:rsid w:val="08EA1CB4"/>
    <w:rsid w:val="09271296"/>
    <w:rsid w:val="09380E13"/>
    <w:rsid w:val="09ED2E9B"/>
    <w:rsid w:val="09F61C94"/>
    <w:rsid w:val="0A014209"/>
    <w:rsid w:val="0A0F696E"/>
    <w:rsid w:val="0A4F21F1"/>
    <w:rsid w:val="0A5D5225"/>
    <w:rsid w:val="0A9F5F1D"/>
    <w:rsid w:val="0AAD68AE"/>
    <w:rsid w:val="0ABB6AF5"/>
    <w:rsid w:val="0B260413"/>
    <w:rsid w:val="0B265B36"/>
    <w:rsid w:val="0B2E6DEE"/>
    <w:rsid w:val="0B3C6268"/>
    <w:rsid w:val="0B4017DF"/>
    <w:rsid w:val="0B424B21"/>
    <w:rsid w:val="0B6938D8"/>
    <w:rsid w:val="0B7E1C41"/>
    <w:rsid w:val="0B7F7D5B"/>
    <w:rsid w:val="0BA40722"/>
    <w:rsid w:val="0BAADDFC"/>
    <w:rsid w:val="0BAC72FE"/>
    <w:rsid w:val="0BB974D9"/>
    <w:rsid w:val="0C150D52"/>
    <w:rsid w:val="0C1E558E"/>
    <w:rsid w:val="0C6632C1"/>
    <w:rsid w:val="0CA535B9"/>
    <w:rsid w:val="0CBD25ED"/>
    <w:rsid w:val="0CE86625"/>
    <w:rsid w:val="0CF62067"/>
    <w:rsid w:val="0D033BE8"/>
    <w:rsid w:val="0D0B2828"/>
    <w:rsid w:val="0D1D175F"/>
    <w:rsid w:val="0D240982"/>
    <w:rsid w:val="0D3861DB"/>
    <w:rsid w:val="0D7351DC"/>
    <w:rsid w:val="0D9062D6"/>
    <w:rsid w:val="0D9C676A"/>
    <w:rsid w:val="0DA46DE1"/>
    <w:rsid w:val="0DB553D3"/>
    <w:rsid w:val="0DB55A7E"/>
    <w:rsid w:val="0DB95A89"/>
    <w:rsid w:val="0DC5584F"/>
    <w:rsid w:val="0DCD1F19"/>
    <w:rsid w:val="0DE14AC5"/>
    <w:rsid w:val="0E107075"/>
    <w:rsid w:val="0E223278"/>
    <w:rsid w:val="0E4137B5"/>
    <w:rsid w:val="0E43202D"/>
    <w:rsid w:val="0E883192"/>
    <w:rsid w:val="0EDF51A5"/>
    <w:rsid w:val="0F006472"/>
    <w:rsid w:val="0F1D3A29"/>
    <w:rsid w:val="0F4C7201"/>
    <w:rsid w:val="0F6E00F9"/>
    <w:rsid w:val="0FA20284"/>
    <w:rsid w:val="0FF23DC6"/>
    <w:rsid w:val="0FFDCB50"/>
    <w:rsid w:val="102B7528"/>
    <w:rsid w:val="10315306"/>
    <w:rsid w:val="10831E63"/>
    <w:rsid w:val="1087129A"/>
    <w:rsid w:val="10967DE9"/>
    <w:rsid w:val="110F1949"/>
    <w:rsid w:val="11524ACA"/>
    <w:rsid w:val="117A1F5D"/>
    <w:rsid w:val="11902D76"/>
    <w:rsid w:val="119C27EA"/>
    <w:rsid w:val="11BC6EA1"/>
    <w:rsid w:val="11BF2A8A"/>
    <w:rsid w:val="11F05EF7"/>
    <w:rsid w:val="12116D8C"/>
    <w:rsid w:val="124D2729"/>
    <w:rsid w:val="1256384E"/>
    <w:rsid w:val="12736E47"/>
    <w:rsid w:val="12BE7AA6"/>
    <w:rsid w:val="12FD1BFF"/>
    <w:rsid w:val="13367661"/>
    <w:rsid w:val="1347361C"/>
    <w:rsid w:val="137745AF"/>
    <w:rsid w:val="13890527"/>
    <w:rsid w:val="138C29C2"/>
    <w:rsid w:val="1399515F"/>
    <w:rsid w:val="13BA3DEE"/>
    <w:rsid w:val="13CA3264"/>
    <w:rsid w:val="13D940D7"/>
    <w:rsid w:val="13DF5603"/>
    <w:rsid w:val="13FB83D2"/>
    <w:rsid w:val="13FE1F18"/>
    <w:rsid w:val="14116A13"/>
    <w:rsid w:val="141830AF"/>
    <w:rsid w:val="141F1EA3"/>
    <w:rsid w:val="14333BA0"/>
    <w:rsid w:val="143A6C6E"/>
    <w:rsid w:val="1440384D"/>
    <w:rsid w:val="144E2788"/>
    <w:rsid w:val="14AA1723"/>
    <w:rsid w:val="14C9775E"/>
    <w:rsid w:val="14D40EDF"/>
    <w:rsid w:val="14D62EA9"/>
    <w:rsid w:val="150434FF"/>
    <w:rsid w:val="1504385E"/>
    <w:rsid w:val="1514338A"/>
    <w:rsid w:val="153B3EF3"/>
    <w:rsid w:val="154A5D9F"/>
    <w:rsid w:val="15587360"/>
    <w:rsid w:val="15713D7E"/>
    <w:rsid w:val="15835D80"/>
    <w:rsid w:val="15842951"/>
    <w:rsid w:val="1585042C"/>
    <w:rsid w:val="158D0509"/>
    <w:rsid w:val="15A760F3"/>
    <w:rsid w:val="15CD6A8F"/>
    <w:rsid w:val="15F612F9"/>
    <w:rsid w:val="160B0931"/>
    <w:rsid w:val="162A33A1"/>
    <w:rsid w:val="163F4A7E"/>
    <w:rsid w:val="169E79F7"/>
    <w:rsid w:val="16A2306B"/>
    <w:rsid w:val="16C5081E"/>
    <w:rsid w:val="16D55B39"/>
    <w:rsid w:val="17045F4E"/>
    <w:rsid w:val="17047E69"/>
    <w:rsid w:val="172C6F38"/>
    <w:rsid w:val="1732013F"/>
    <w:rsid w:val="178564C1"/>
    <w:rsid w:val="17902473"/>
    <w:rsid w:val="179418E3"/>
    <w:rsid w:val="17CE4049"/>
    <w:rsid w:val="17F85FB5"/>
    <w:rsid w:val="1816347D"/>
    <w:rsid w:val="18303243"/>
    <w:rsid w:val="184569E6"/>
    <w:rsid w:val="184A3267"/>
    <w:rsid w:val="186E51A7"/>
    <w:rsid w:val="18B76B4E"/>
    <w:rsid w:val="18B90B18"/>
    <w:rsid w:val="18BC2305"/>
    <w:rsid w:val="18CF21B2"/>
    <w:rsid w:val="18E50215"/>
    <w:rsid w:val="19281304"/>
    <w:rsid w:val="195F0AAC"/>
    <w:rsid w:val="198729C4"/>
    <w:rsid w:val="198E4EA4"/>
    <w:rsid w:val="19F618F8"/>
    <w:rsid w:val="19FA0D84"/>
    <w:rsid w:val="1A373F16"/>
    <w:rsid w:val="1A64080A"/>
    <w:rsid w:val="1A7C5269"/>
    <w:rsid w:val="1AA457B6"/>
    <w:rsid w:val="1AE50C3A"/>
    <w:rsid w:val="1AF6271C"/>
    <w:rsid w:val="1B1E3251"/>
    <w:rsid w:val="1B3E43CF"/>
    <w:rsid w:val="1BB578B5"/>
    <w:rsid w:val="1BE9545A"/>
    <w:rsid w:val="1BFD30FC"/>
    <w:rsid w:val="1C662D65"/>
    <w:rsid w:val="1C79747B"/>
    <w:rsid w:val="1C897460"/>
    <w:rsid w:val="1CC26B08"/>
    <w:rsid w:val="1CE7B6C9"/>
    <w:rsid w:val="1CF02C5E"/>
    <w:rsid w:val="1CF15458"/>
    <w:rsid w:val="1D33076D"/>
    <w:rsid w:val="1D3A1570"/>
    <w:rsid w:val="1D6B6159"/>
    <w:rsid w:val="1D993E2D"/>
    <w:rsid w:val="1DED3012"/>
    <w:rsid w:val="1DED83A5"/>
    <w:rsid w:val="1DF63881"/>
    <w:rsid w:val="1E051AFB"/>
    <w:rsid w:val="1E0956C5"/>
    <w:rsid w:val="1E5A14D5"/>
    <w:rsid w:val="1E654AB0"/>
    <w:rsid w:val="1E7DD094"/>
    <w:rsid w:val="1E862E4D"/>
    <w:rsid w:val="1E8D1497"/>
    <w:rsid w:val="1EAA64D6"/>
    <w:rsid w:val="1EB700BE"/>
    <w:rsid w:val="1ED35B0D"/>
    <w:rsid w:val="1EDE5127"/>
    <w:rsid w:val="1EF969E9"/>
    <w:rsid w:val="1F0D0952"/>
    <w:rsid w:val="1F1F0B9B"/>
    <w:rsid w:val="1F2F6D27"/>
    <w:rsid w:val="1F6F5FFD"/>
    <w:rsid w:val="1FBEAC38"/>
    <w:rsid w:val="1FFD029A"/>
    <w:rsid w:val="1FFDF60B"/>
    <w:rsid w:val="200A1C59"/>
    <w:rsid w:val="200C4F17"/>
    <w:rsid w:val="20214899"/>
    <w:rsid w:val="20381B49"/>
    <w:rsid w:val="20770BA3"/>
    <w:rsid w:val="2080016D"/>
    <w:rsid w:val="20831A0C"/>
    <w:rsid w:val="20AC0F62"/>
    <w:rsid w:val="20C53DD2"/>
    <w:rsid w:val="20C718F8"/>
    <w:rsid w:val="20CE082F"/>
    <w:rsid w:val="20D953F0"/>
    <w:rsid w:val="20F077A1"/>
    <w:rsid w:val="20F14988"/>
    <w:rsid w:val="20F44F52"/>
    <w:rsid w:val="214B42D7"/>
    <w:rsid w:val="214C3FA8"/>
    <w:rsid w:val="21696E53"/>
    <w:rsid w:val="218C669E"/>
    <w:rsid w:val="21924888"/>
    <w:rsid w:val="219F739A"/>
    <w:rsid w:val="21AD177F"/>
    <w:rsid w:val="21FF1663"/>
    <w:rsid w:val="227D6205"/>
    <w:rsid w:val="22894407"/>
    <w:rsid w:val="22C279CA"/>
    <w:rsid w:val="22CA56D0"/>
    <w:rsid w:val="22D7777E"/>
    <w:rsid w:val="23123443"/>
    <w:rsid w:val="23154949"/>
    <w:rsid w:val="23325020"/>
    <w:rsid w:val="23556FD4"/>
    <w:rsid w:val="235D2CB6"/>
    <w:rsid w:val="237D3269"/>
    <w:rsid w:val="23D87C19"/>
    <w:rsid w:val="241542E4"/>
    <w:rsid w:val="24171567"/>
    <w:rsid w:val="24482D0A"/>
    <w:rsid w:val="24875CA8"/>
    <w:rsid w:val="24A02B8C"/>
    <w:rsid w:val="24C60002"/>
    <w:rsid w:val="24E32A79"/>
    <w:rsid w:val="24EC5B4C"/>
    <w:rsid w:val="24F35B1B"/>
    <w:rsid w:val="252820ED"/>
    <w:rsid w:val="2536704D"/>
    <w:rsid w:val="254059BC"/>
    <w:rsid w:val="25661674"/>
    <w:rsid w:val="257A1FE9"/>
    <w:rsid w:val="25AF5AD6"/>
    <w:rsid w:val="25B62519"/>
    <w:rsid w:val="25B8478B"/>
    <w:rsid w:val="25CA2363"/>
    <w:rsid w:val="25DC052B"/>
    <w:rsid w:val="260E1D77"/>
    <w:rsid w:val="263E08AF"/>
    <w:rsid w:val="26527EB6"/>
    <w:rsid w:val="266B71CA"/>
    <w:rsid w:val="267A7BDA"/>
    <w:rsid w:val="267F28C4"/>
    <w:rsid w:val="26AD523A"/>
    <w:rsid w:val="26D50DCF"/>
    <w:rsid w:val="26DE4A87"/>
    <w:rsid w:val="26E56F7C"/>
    <w:rsid w:val="275E42E6"/>
    <w:rsid w:val="27A209C9"/>
    <w:rsid w:val="27C8641E"/>
    <w:rsid w:val="28082B24"/>
    <w:rsid w:val="285A5748"/>
    <w:rsid w:val="28700451"/>
    <w:rsid w:val="288F0AE8"/>
    <w:rsid w:val="28991232"/>
    <w:rsid w:val="28A3450E"/>
    <w:rsid w:val="28AF7842"/>
    <w:rsid w:val="28C12BB5"/>
    <w:rsid w:val="28DF1CD8"/>
    <w:rsid w:val="29320197"/>
    <w:rsid w:val="29577F91"/>
    <w:rsid w:val="29B22D99"/>
    <w:rsid w:val="29B72649"/>
    <w:rsid w:val="29C25B76"/>
    <w:rsid w:val="29CB06AB"/>
    <w:rsid w:val="29F00112"/>
    <w:rsid w:val="29FB1396"/>
    <w:rsid w:val="2A0C70CB"/>
    <w:rsid w:val="2A0F5A84"/>
    <w:rsid w:val="2A2E59E2"/>
    <w:rsid w:val="2A31137E"/>
    <w:rsid w:val="2A4A4069"/>
    <w:rsid w:val="2A557F75"/>
    <w:rsid w:val="2A8B3B94"/>
    <w:rsid w:val="2AEE4C36"/>
    <w:rsid w:val="2B0B0EB9"/>
    <w:rsid w:val="2B1E16C5"/>
    <w:rsid w:val="2B604E23"/>
    <w:rsid w:val="2BC41856"/>
    <w:rsid w:val="2BD450D3"/>
    <w:rsid w:val="2BE91A41"/>
    <w:rsid w:val="2BF46BE2"/>
    <w:rsid w:val="2BFB1566"/>
    <w:rsid w:val="2C7C3C65"/>
    <w:rsid w:val="2CC4309B"/>
    <w:rsid w:val="2CD97704"/>
    <w:rsid w:val="2D40166C"/>
    <w:rsid w:val="2DA07C21"/>
    <w:rsid w:val="2DB60E05"/>
    <w:rsid w:val="2E2E7F5D"/>
    <w:rsid w:val="2E3565BC"/>
    <w:rsid w:val="2E386CE6"/>
    <w:rsid w:val="2E690772"/>
    <w:rsid w:val="2E7244E6"/>
    <w:rsid w:val="2E7D3F3E"/>
    <w:rsid w:val="2EA94C1E"/>
    <w:rsid w:val="2EC63D37"/>
    <w:rsid w:val="2EC97A86"/>
    <w:rsid w:val="2EE144CD"/>
    <w:rsid w:val="2EE62FB1"/>
    <w:rsid w:val="2EEB1353"/>
    <w:rsid w:val="2F39606A"/>
    <w:rsid w:val="2F7D748B"/>
    <w:rsid w:val="2F8F217B"/>
    <w:rsid w:val="2F9B51C2"/>
    <w:rsid w:val="2FAC6889"/>
    <w:rsid w:val="2FDBB622"/>
    <w:rsid w:val="2FF75196"/>
    <w:rsid w:val="300A5D86"/>
    <w:rsid w:val="30391A9D"/>
    <w:rsid w:val="306B16EA"/>
    <w:rsid w:val="30787C75"/>
    <w:rsid w:val="309315C2"/>
    <w:rsid w:val="309A05EF"/>
    <w:rsid w:val="30FF6988"/>
    <w:rsid w:val="31425159"/>
    <w:rsid w:val="319770C5"/>
    <w:rsid w:val="31AE689C"/>
    <w:rsid w:val="31E63BA8"/>
    <w:rsid w:val="32086CF1"/>
    <w:rsid w:val="321E5749"/>
    <w:rsid w:val="32440A51"/>
    <w:rsid w:val="326B3E49"/>
    <w:rsid w:val="326F1DF0"/>
    <w:rsid w:val="32803FFD"/>
    <w:rsid w:val="3293108C"/>
    <w:rsid w:val="32A60981"/>
    <w:rsid w:val="32FF54BF"/>
    <w:rsid w:val="33162ED9"/>
    <w:rsid w:val="33246285"/>
    <w:rsid w:val="33E420AC"/>
    <w:rsid w:val="33FFDA16"/>
    <w:rsid w:val="340A1DD0"/>
    <w:rsid w:val="342428D0"/>
    <w:rsid w:val="345117AD"/>
    <w:rsid w:val="34546AD8"/>
    <w:rsid w:val="34B41020"/>
    <w:rsid w:val="34BA536C"/>
    <w:rsid w:val="34E72AC8"/>
    <w:rsid w:val="34F7214B"/>
    <w:rsid w:val="34FF55B4"/>
    <w:rsid w:val="3538296D"/>
    <w:rsid w:val="353A4D03"/>
    <w:rsid w:val="354A7993"/>
    <w:rsid w:val="354B4447"/>
    <w:rsid w:val="355157DD"/>
    <w:rsid w:val="3563360F"/>
    <w:rsid w:val="358C667D"/>
    <w:rsid w:val="35A91140"/>
    <w:rsid w:val="35DC59EE"/>
    <w:rsid w:val="35F8354B"/>
    <w:rsid w:val="35FB6CDA"/>
    <w:rsid w:val="36021D61"/>
    <w:rsid w:val="363A2DAD"/>
    <w:rsid w:val="364D069A"/>
    <w:rsid w:val="364D6CB4"/>
    <w:rsid w:val="36555CDE"/>
    <w:rsid w:val="36737888"/>
    <w:rsid w:val="36A54032"/>
    <w:rsid w:val="36AC1E1D"/>
    <w:rsid w:val="36AD5AFF"/>
    <w:rsid w:val="36B1325F"/>
    <w:rsid w:val="36B24893"/>
    <w:rsid w:val="36C62D59"/>
    <w:rsid w:val="36CF2706"/>
    <w:rsid w:val="36D6EBAC"/>
    <w:rsid w:val="36DE3AC3"/>
    <w:rsid w:val="36FF5E96"/>
    <w:rsid w:val="370219FD"/>
    <w:rsid w:val="37347A54"/>
    <w:rsid w:val="374675C3"/>
    <w:rsid w:val="37531CE0"/>
    <w:rsid w:val="375D490D"/>
    <w:rsid w:val="376712E7"/>
    <w:rsid w:val="376E0459"/>
    <w:rsid w:val="37797C08"/>
    <w:rsid w:val="37A61E10"/>
    <w:rsid w:val="37AF5B0F"/>
    <w:rsid w:val="37B25C75"/>
    <w:rsid w:val="37C37320"/>
    <w:rsid w:val="37D31C47"/>
    <w:rsid w:val="37E75BB6"/>
    <w:rsid w:val="37F00FC5"/>
    <w:rsid w:val="37FFDC85"/>
    <w:rsid w:val="382219A2"/>
    <w:rsid w:val="38267634"/>
    <w:rsid w:val="382A5477"/>
    <w:rsid w:val="383879E1"/>
    <w:rsid w:val="38545D10"/>
    <w:rsid w:val="385C2E16"/>
    <w:rsid w:val="38952247"/>
    <w:rsid w:val="38AA1B8A"/>
    <w:rsid w:val="38B72EED"/>
    <w:rsid w:val="38DD3F57"/>
    <w:rsid w:val="38E14565"/>
    <w:rsid w:val="39313035"/>
    <w:rsid w:val="394D5433"/>
    <w:rsid w:val="396D5399"/>
    <w:rsid w:val="39857FA0"/>
    <w:rsid w:val="39CB4D56"/>
    <w:rsid w:val="39D30EB6"/>
    <w:rsid w:val="3A277FAC"/>
    <w:rsid w:val="3A291355"/>
    <w:rsid w:val="3A647D60"/>
    <w:rsid w:val="3A850402"/>
    <w:rsid w:val="3A946897"/>
    <w:rsid w:val="3AC07E6A"/>
    <w:rsid w:val="3AD90FB6"/>
    <w:rsid w:val="3B0C6B6C"/>
    <w:rsid w:val="3B0F1849"/>
    <w:rsid w:val="3B5A4AAB"/>
    <w:rsid w:val="3B634C47"/>
    <w:rsid w:val="3B6E27B5"/>
    <w:rsid w:val="3B9165A6"/>
    <w:rsid w:val="3BBFE4C2"/>
    <w:rsid w:val="3BC1414E"/>
    <w:rsid w:val="3BC66F24"/>
    <w:rsid w:val="3BEF0357"/>
    <w:rsid w:val="3BFC0895"/>
    <w:rsid w:val="3BFF076C"/>
    <w:rsid w:val="3C370712"/>
    <w:rsid w:val="3C4C57C1"/>
    <w:rsid w:val="3D0C47AC"/>
    <w:rsid w:val="3D1D247A"/>
    <w:rsid w:val="3D5679A4"/>
    <w:rsid w:val="3D6DF433"/>
    <w:rsid w:val="3D7EA4A5"/>
    <w:rsid w:val="3D99065E"/>
    <w:rsid w:val="3D9A41C5"/>
    <w:rsid w:val="3DAA0180"/>
    <w:rsid w:val="3DC577E5"/>
    <w:rsid w:val="3DD628CB"/>
    <w:rsid w:val="3DDFAEBD"/>
    <w:rsid w:val="3DED9CE8"/>
    <w:rsid w:val="3E063608"/>
    <w:rsid w:val="3E0B26DF"/>
    <w:rsid w:val="3E175815"/>
    <w:rsid w:val="3E2879AD"/>
    <w:rsid w:val="3E5E6A3C"/>
    <w:rsid w:val="3E9A12C7"/>
    <w:rsid w:val="3E9D6A2F"/>
    <w:rsid w:val="3EB57D61"/>
    <w:rsid w:val="3EB9C620"/>
    <w:rsid w:val="3ED07855"/>
    <w:rsid w:val="3EDF29E0"/>
    <w:rsid w:val="3EF26282"/>
    <w:rsid w:val="3EFF2C87"/>
    <w:rsid w:val="3EFF353D"/>
    <w:rsid w:val="3F106943"/>
    <w:rsid w:val="3F1816D8"/>
    <w:rsid w:val="3F376007"/>
    <w:rsid w:val="3F4A3C78"/>
    <w:rsid w:val="3F4F1FFD"/>
    <w:rsid w:val="3F5770F9"/>
    <w:rsid w:val="3F634A8A"/>
    <w:rsid w:val="3F724AD0"/>
    <w:rsid w:val="3F7D1D40"/>
    <w:rsid w:val="3F9115F7"/>
    <w:rsid w:val="3FA31873"/>
    <w:rsid w:val="3FA41967"/>
    <w:rsid w:val="3FB94897"/>
    <w:rsid w:val="3FBCBF26"/>
    <w:rsid w:val="3FCE38E6"/>
    <w:rsid w:val="3FDF4727"/>
    <w:rsid w:val="3FED5590"/>
    <w:rsid w:val="3FF014E1"/>
    <w:rsid w:val="3FF35478"/>
    <w:rsid w:val="3FF7849C"/>
    <w:rsid w:val="407F12CE"/>
    <w:rsid w:val="40800A9A"/>
    <w:rsid w:val="408214B8"/>
    <w:rsid w:val="408774A9"/>
    <w:rsid w:val="40B63BF2"/>
    <w:rsid w:val="412F4C00"/>
    <w:rsid w:val="4149637E"/>
    <w:rsid w:val="41594397"/>
    <w:rsid w:val="41633F66"/>
    <w:rsid w:val="41766CF7"/>
    <w:rsid w:val="41915091"/>
    <w:rsid w:val="41BF2AD5"/>
    <w:rsid w:val="4223498A"/>
    <w:rsid w:val="423666DA"/>
    <w:rsid w:val="4251506E"/>
    <w:rsid w:val="42932C72"/>
    <w:rsid w:val="430D728C"/>
    <w:rsid w:val="43100A85"/>
    <w:rsid w:val="43356819"/>
    <w:rsid w:val="43365CFF"/>
    <w:rsid w:val="438276E0"/>
    <w:rsid w:val="43C33713"/>
    <w:rsid w:val="43CA5448"/>
    <w:rsid w:val="441B3207"/>
    <w:rsid w:val="441F0A36"/>
    <w:rsid w:val="44242A3A"/>
    <w:rsid w:val="44364B88"/>
    <w:rsid w:val="44474E1B"/>
    <w:rsid w:val="447E73C7"/>
    <w:rsid w:val="44862952"/>
    <w:rsid w:val="44DD18AA"/>
    <w:rsid w:val="44E623E5"/>
    <w:rsid w:val="44E818A0"/>
    <w:rsid w:val="456B61E8"/>
    <w:rsid w:val="45DA5352"/>
    <w:rsid w:val="45E952B9"/>
    <w:rsid w:val="45FD3830"/>
    <w:rsid w:val="461940F5"/>
    <w:rsid w:val="46407501"/>
    <w:rsid w:val="465EA4CC"/>
    <w:rsid w:val="46732A1B"/>
    <w:rsid w:val="468633F9"/>
    <w:rsid w:val="468C02C7"/>
    <w:rsid w:val="469E438C"/>
    <w:rsid w:val="46ED7A5B"/>
    <w:rsid w:val="46EE73D1"/>
    <w:rsid w:val="46F74BFA"/>
    <w:rsid w:val="47045863"/>
    <w:rsid w:val="47242D51"/>
    <w:rsid w:val="473E42D2"/>
    <w:rsid w:val="473E5A65"/>
    <w:rsid w:val="475C24EB"/>
    <w:rsid w:val="477908C9"/>
    <w:rsid w:val="477AA4D8"/>
    <w:rsid w:val="47979168"/>
    <w:rsid w:val="47EBF6FD"/>
    <w:rsid w:val="47EE5F11"/>
    <w:rsid w:val="4855334C"/>
    <w:rsid w:val="48C12F4D"/>
    <w:rsid w:val="48D21E57"/>
    <w:rsid w:val="48E90FFC"/>
    <w:rsid w:val="490A6B9B"/>
    <w:rsid w:val="49647D7D"/>
    <w:rsid w:val="497B4AF9"/>
    <w:rsid w:val="4984123F"/>
    <w:rsid w:val="49883A6B"/>
    <w:rsid w:val="4999689B"/>
    <w:rsid w:val="499F0DB5"/>
    <w:rsid w:val="49D767A1"/>
    <w:rsid w:val="49FEDABB"/>
    <w:rsid w:val="4A1E6773"/>
    <w:rsid w:val="4A5568BB"/>
    <w:rsid w:val="4A762224"/>
    <w:rsid w:val="4B224DE7"/>
    <w:rsid w:val="4B5247B1"/>
    <w:rsid w:val="4B7A2929"/>
    <w:rsid w:val="4B925CCE"/>
    <w:rsid w:val="4BA51176"/>
    <w:rsid w:val="4BDD1B8D"/>
    <w:rsid w:val="4C2C2DD4"/>
    <w:rsid w:val="4C5B7215"/>
    <w:rsid w:val="4C750CC2"/>
    <w:rsid w:val="4C997D3D"/>
    <w:rsid w:val="4C9E2145"/>
    <w:rsid w:val="4CAC2DF8"/>
    <w:rsid w:val="4CBB4D72"/>
    <w:rsid w:val="4CDBF0C0"/>
    <w:rsid w:val="4CE05322"/>
    <w:rsid w:val="4D005B8C"/>
    <w:rsid w:val="4D734168"/>
    <w:rsid w:val="4D87182D"/>
    <w:rsid w:val="4D8C499C"/>
    <w:rsid w:val="4D943D57"/>
    <w:rsid w:val="4DA71A53"/>
    <w:rsid w:val="4DDB594E"/>
    <w:rsid w:val="4E026137"/>
    <w:rsid w:val="4E0A55CB"/>
    <w:rsid w:val="4E395334"/>
    <w:rsid w:val="4E485268"/>
    <w:rsid w:val="4E571C5E"/>
    <w:rsid w:val="4E912A95"/>
    <w:rsid w:val="4E9C73F2"/>
    <w:rsid w:val="4EAB4AA6"/>
    <w:rsid w:val="4EB15812"/>
    <w:rsid w:val="4EBA7ACC"/>
    <w:rsid w:val="4ECE0172"/>
    <w:rsid w:val="4EDF79E3"/>
    <w:rsid w:val="4EF832EB"/>
    <w:rsid w:val="4F146AB8"/>
    <w:rsid w:val="4F5F701D"/>
    <w:rsid w:val="4F6F11D2"/>
    <w:rsid w:val="4FD107E1"/>
    <w:rsid w:val="4FD90EC4"/>
    <w:rsid w:val="4FFE3309"/>
    <w:rsid w:val="4FFE4A87"/>
    <w:rsid w:val="50206D91"/>
    <w:rsid w:val="50292ECD"/>
    <w:rsid w:val="5042023C"/>
    <w:rsid w:val="505E47E2"/>
    <w:rsid w:val="50811B32"/>
    <w:rsid w:val="508A5A74"/>
    <w:rsid w:val="50E7722D"/>
    <w:rsid w:val="50EF5604"/>
    <w:rsid w:val="512555A3"/>
    <w:rsid w:val="514069D9"/>
    <w:rsid w:val="51503519"/>
    <w:rsid w:val="519E41D3"/>
    <w:rsid w:val="51BC69A8"/>
    <w:rsid w:val="51D35A9F"/>
    <w:rsid w:val="51DF2ACC"/>
    <w:rsid w:val="51FFA7FB"/>
    <w:rsid w:val="52184717"/>
    <w:rsid w:val="5245699D"/>
    <w:rsid w:val="526820B5"/>
    <w:rsid w:val="528A1BD6"/>
    <w:rsid w:val="52BEE639"/>
    <w:rsid w:val="52F87AA5"/>
    <w:rsid w:val="530461BD"/>
    <w:rsid w:val="53155A17"/>
    <w:rsid w:val="532216A4"/>
    <w:rsid w:val="533B56AA"/>
    <w:rsid w:val="536235F3"/>
    <w:rsid w:val="537137C2"/>
    <w:rsid w:val="53985F97"/>
    <w:rsid w:val="53AA725A"/>
    <w:rsid w:val="53B6F214"/>
    <w:rsid w:val="541B6431"/>
    <w:rsid w:val="542645AC"/>
    <w:rsid w:val="542F37E1"/>
    <w:rsid w:val="546265BB"/>
    <w:rsid w:val="54660E4D"/>
    <w:rsid w:val="5495528E"/>
    <w:rsid w:val="54C94247"/>
    <w:rsid w:val="54EB3CD0"/>
    <w:rsid w:val="552B5884"/>
    <w:rsid w:val="552C5BF2"/>
    <w:rsid w:val="55326BAA"/>
    <w:rsid w:val="55427FE9"/>
    <w:rsid w:val="55A8110A"/>
    <w:rsid w:val="55DD3C11"/>
    <w:rsid w:val="55EF6209"/>
    <w:rsid w:val="55FE26CC"/>
    <w:rsid w:val="564E6C07"/>
    <w:rsid w:val="5661188F"/>
    <w:rsid w:val="56A15EDA"/>
    <w:rsid w:val="56A4738E"/>
    <w:rsid w:val="56B4592A"/>
    <w:rsid w:val="56EE2493"/>
    <w:rsid w:val="57802226"/>
    <w:rsid w:val="57876C3E"/>
    <w:rsid w:val="579249CC"/>
    <w:rsid w:val="57D2075F"/>
    <w:rsid w:val="57EF5FB8"/>
    <w:rsid w:val="57FD6884"/>
    <w:rsid w:val="58511F39"/>
    <w:rsid w:val="58627B7D"/>
    <w:rsid w:val="588B6CAC"/>
    <w:rsid w:val="588D4B53"/>
    <w:rsid w:val="589D0BB5"/>
    <w:rsid w:val="58A25057"/>
    <w:rsid w:val="58AB5080"/>
    <w:rsid w:val="58AF5F17"/>
    <w:rsid w:val="58B959EF"/>
    <w:rsid w:val="58BE2F98"/>
    <w:rsid w:val="58BEB6FE"/>
    <w:rsid w:val="58CC6AC7"/>
    <w:rsid w:val="58D02D39"/>
    <w:rsid w:val="58E30CBE"/>
    <w:rsid w:val="59091DA7"/>
    <w:rsid w:val="59222A51"/>
    <w:rsid w:val="59982901"/>
    <w:rsid w:val="59A66214"/>
    <w:rsid w:val="59DE5FC3"/>
    <w:rsid w:val="5A056964"/>
    <w:rsid w:val="5A107ABE"/>
    <w:rsid w:val="5A180741"/>
    <w:rsid w:val="5A443D90"/>
    <w:rsid w:val="5A75672B"/>
    <w:rsid w:val="5A8B5169"/>
    <w:rsid w:val="5AB11D73"/>
    <w:rsid w:val="5AFC3F11"/>
    <w:rsid w:val="5B667984"/>
    <w:rsid w:val="5B8753C3"/>
    <w:rsid w:val="5B8FA2A8"/>
    <w:rsid w:val="5BBC75A4"/>
    <w:rsid w:val="5BC326E1"/>
    <w:rsid w:val="5BCD34A9"/>
    <w:rsid w:val="5BEE561A"/>
    <w:rsid w:val="5BFFD61B"/>
    <w:rsid w:val="5C2D6647"/>
    <w:rsid w:val="5C342456"/>
    <w:rsid w:val="5C484F48"/>
    <w:rsid w:val="5C921FC6"/>
    <w:rsid w:val="5CA11A5B"/>
    <w:rsid w:val="5CA50CC2"/>
    <w:rsid w:val="5CA91E77"/>
    <w:rsid w:val="5D027781"/>
    <w:rsid w:val="5D1A4CA0"/>
    <w:rsid w:val="5D290C69"/>
    <w:rsid w:val="5D2B35FF"/>
    <w:rsid w:val="5D2C552D"/>
    <w:rsid w:val="5D3E2967"/>
    <w:rsid w:val="5D655B27"/>
    <w:rsid w:val="5D775E79"/>
    <w:rsid w:val="5D79574D"/>
    <w:rsid w:val="5DA327CA"/>
    <w:rsid w:val="5DA410A9"/>
    <w:rsid w:val="5DB45DC4"/>
    <w:rsid w:val="5DC3075B"/>
    <w:rsid w:val="5DD86583"/>
    <w:rsid w:val="5DEB583D"/>
    <w:rsid w:val="5DEBD004"/>
    <w:rsid w:val="5DF64FF0"/>
    <w:rsid w:val="5DFF42D5"/>
    <w:rsid w:val="5DFFE004"/>
    <w:rsid w:val="5E086AD1"/>
    <w:rsid w:val="5E192C37"/>
    <w:rsid w:val="5EBC59BB"/>
    <w:rsid w:val="5EC778D2"/>
    <w:rsid w:val="5EE40F07"/>
    <w:rsid w:val="5EFB3F7B"/>
    <w:rsid w:val="5EFBFFA3"/>
    <w:rsid w:val="5F321771"/>
    <w:rsid w:val="5F77E7AA"/>
    <w:rsid w:val="5F905225"/>
    <w:rsid w:val="5FAB005C"/>
    <w:rsid w:val="5FBEA1F7"/>
    <w:rsid w:val="5FCF23A1"/>
    <w:rsid w:val="5FE23E50"/>
    <w:rsid w:val="5FEB4D45"/>
    <w:rsid w:val="5FEE83DD"/>
    <w:rsid w:val="5FF30181"/>
    <w:rsid w:val="5FFA0F7A"/>
    <w:rsid w:val="5FFE5B46"/>
    <w:rsid w:val="60135CB8"/>
    <w:rsid w:val="6017113C"/>
    <w:rsid w:val="604945DA"/>
    <w:rsid w:val="605C4EB2"/>
    <w:rsid w:val="60730E14"/>
    <w:rsid w:val="60F11942"/>
    <w:rsid w:val="61005A98"/>
    <w:rsid w:val="610417D1"/>
    <w:rsid w:val="610E7BD3"/>
    <w:rsid w:val="61283D1F"/>
    <w:rsid w:val="61493C8B"/>
    <w:rsid w:val="617435D3"/>
    <w:rsid w:val="61BA613A"/>
    <w:rsid w:val="61DC44FC"/>
    <w:rsid w:val="622D0241"/>
    <w:rsid w:val="623E36DF"/>
    <w:rsid w:val="628C1A7E"/>
    <w:rsid w:val="629E4800"/>
    <w:rsid w:val="62D4275A"/>
    <w:rsid w:val="62DA57B0"/>
    <w:rsid w:val="62DE604C"/>
    <w:rsid w:val="63057A83"/>
    <w:rsid w:val="63137471"/>
    <w:rsid w:val="63163512"/>
    <w:rsid w:val="63236659"/>
    <w:rsid w:val="634A17BF"/>
    <w:rsid w:val="63554566"/>
    <w:rsid w:val="637F6BA0"/>
    <w:rsid w:val="6386235E"/>
    <w:rsid w:val="63AE1EC8"/>
    <w:rsid w:val="63BEEF56"/>
    <w:rsid w:val="63C419B3"/>
    <w:rsid w:val="63C95631"/>
    <w:rsid w:val="63CD05A1"/>
    <w:rsid w:val="63DB3BE4"/>
    <w:rsid w:val="63E53BC8"/>
    <w:rsid w:val="63E813D8"/>
    <w:rsid w:val="64147401"/>
    <w:rsid w:val="646FCD9F"/>
    <w:rsid w:val="64794284"/>
    <w:rsid w:val="64986E00"/>
    <w:rsid w:val="64DA61CB"/>
    <w:rsid w:val="64F3704C"/>
    <w:rsid w:val="65080C96"/>
    <w:rsid w:val="65086D53"/>
    <w:rsid w:val="654E08D8"/>
    <w:rsid w:val="655B1BDC"/>
    <w:rsid w:val="65611279"/>
    <w:rsid w:val="65663CFC"/>
    <w:rsid w:val="65672BF4"/>
    <w:rsid w:val="65C11BAC"/>
    <w:rsid w:val="65CB04D4"/>
    <w:rsid w:val="65DC9E89"/>
    <w:rsid w:val="65DD6770"/>
    <w:rsid w:val="65E5455D"/>
    <w:rsid w:val="660D17B3"/>
    <w:rsid w:val="663B073E"/>
    <w:rsid w:val="667C153E"/>
    <w:rsid w:val="6696609E"/>
    <w:rsid w:val="66A86C9C"/>
    <w:rsid w:val="66FF2234"/>
    <w:rsid w:val="6763056A"/>
    <w:rsid w:val="67957627"/>
    <w:rsid w:val="67DA08FB"/>
    <w:rsid w:val="67ED385B"/>
    <w:rsid w:val="67EE9412"/>
    <w:rsid w:val="6890028C"/>
    <w:rsid w:val="68AA017E"/>
    <w:rsid w:val="690861D7"/>
    <w:rsid w:val="69494E65"/>
    <w:rsid w:val="69782D5D"/>
    <w:rsid w:val="69B858AD"/>
    <w:rsid w:val="69D06A01"/>
    <w:rsid w:val="69D4107D"/>
    <w:rsid w:val="69EB1E27"/>
    <w:rsid w:val="69F3050D"/>
    <w:rsid w:val="6A0572EC"/>
    <w:rsid w:val="6A222CC8"/>
    <w:rsid w:val="6A3F6C07"/>
    <w:rsid w:val="6A526DCD"/>
    <w:rsid w:val="6A5658F7"/>
    <w:rsid w:val="6A9C14FC"/>
    <w:rsid w:val="6A9F1CE8"/>
    <w:rsid w:val="6AA3205B"/>
    <w:rsid w:val="6AA9720A"/>
    <w:rsid w:val="6ADD79D8"/>
    <w:rsid w:val="6B080110"/>
    <w:rsid w:val="6B20298C"/>
    <w:rsid w:val="6B386B50"/>
    <w:rsid w:val="6B882793"/>
    <w:rsid w:val="6B934570"/>
    <w:rsid w:val="6BA86DB0"/>
    <w:rsid w:val="6BAE3C58"/>
    <w:rsid w:val="6BC77FCB"/>
    <w:rsid w:val="6BCE20D1"/>
    <w:rsid w:val="6BD5541C"/>
    <w:rsid w:val="6BE421B6"/>
    <w:rsid w:val="6C026D51"/>
    <w:rsid w:val="6C0E6653"/>
    <w:rsid w:val="6C206754"/>
    <w:rsid w:val="6C7F4DC4"/>
    <w:rsid w:val="6C9F50EE"/>
    <w:rsid w:val="6CB22A29"/>
    <w:rsid w:val="6CD01102"/>
    <w:rsid w:val="6D2C27DC"/>
    <w:rsid w:val="6D2D20B0"/>
    <w:rsid w:val="6D413DAD"/>
    <w:rsid w:val="6D4336DE"/>
    <w:rsid w:val="6D6145B2"/>
    <w:rsid w:val="6DA560EA"/>
    <w:rsid w:val="6DAC1227"/>
    <w:rsid w:val="6DCA4861"/>
    <w:rsid w:val="6DFFAB5A"/>
    <w:rsid w:val="6E4B22E9"/>
    <w:rsid w:val="6E5CC557"/>
    <w:rsid w:val="6EBF4388"/>
    <w:rsid w:val="6EC55ECA"/>
    <w:rsid w:val="6EEF1A56"/>
    <w:rsid w:val="6F285B39"/>
    <w:rsid w:val="6F37C93D"/>
    <w:rsid w:val="6F3E6657"/>
    <w:rsid w:val="6F47141A"/>
    <w:rsid w:val="6F5E0C47"/>
    <w:rsid w:val="6F67C53D"/>
    <w:rsid w:val="6F6F4B66"/>
    <w:rsid w:val="6F7C4BE6"/>
    <w:rsid w:val="6F7FE21E"/>
    <w:rsid w:val="6FB607FF"/>
    <w:rsid w:val="6FBD8DD5"/>
    <w:rsid w:val="6FE74F9F"/>
    <w:rsid w:val="6FF06B2D"/>
    <w:rsid w:val="6FF1991F"/>
    <w:rsid w:val="700627D7"/>
    <w:rsid w:val="70440F20"/>
    <w:rsid w:val="705E7DB9"/>
    <w:rsid w:val="7060454A"/>
    <w:rsid w:val="70614DCA"/>
    <w:rsid w:val="708A2CB3"/>
    <w:rsid w:val="70A1703D"/>
    <w:rsid w:val="70BC5C25"/>
    <w:rsid w:val="70C41A1A"/>
    <w:rsid w:val="70DEE5DB"/>
    <w:rsid w:val="71305411"/>
    <w:rsid w:val="71467BE4"/>
    <w:rsid w:val="716622EB"/>
    <w:rsid w:val="71874767"/>
    <w:rsid w:val="71AB797B"/>
    <w:rsid w:val="71DB1C4B"/>
    <w:rsid w:val="71DEF9C1"/>
    <w:rsid w:val="71DEFC70"/>
    <w:rsid w:val="71E67EC4"/>
    <w:rsid w:val="720D706C"/>
    <w:rsid w:val="72264648"/>
    <w:rsid w:val="728C74A3"/>
    <w:rsid w:val="728F1BF4"/>
    <w:rsid w:val="72940B5C"/>
    <w:rsid w:val="72B50B7E"/>
    <w:rsid w:val="72BFBF14"/>
    <w:rsid w:val="72D95522"/>
    <w:rsid w:val="72EE2610"/>
    <w:rsid w:val="732C3A42"/>
    <w:rsid w:val="736F3422"/>
    <w:rsid w:val="737F6E29"/>
    <w:rsid w:val="7392642C"/>
    <w:rsid w:val="739D64DD"/>
    <w:rsid w:val="73FFF045"/>
    <w:rsid w:val="74022B4C"/>
    <w:rsid w:val="74033457"/>
    <w:rsid w:val="74133482"/>
    <w:rsid w:val="741B0EB4"/>
    <w:rsid w:val="742A7C83"/>
    <w:rsid w:val="74381A66"/>
    <w:rsid w:val="744A3547"/>
    <w:rsid w:val="746B2F28"/>
    <w:rsid w:val="746E045B"/>
    <w:rsid w:val="74791B12"/>
    <w:rsid w:val="74F073C7"/>
    <w:rsid w:val="74F6722B"/>
    <w:rsid w:val="751B574F"/>
    <w:rsid w:val="751C1388"/>
    <w:rsid w:val="7555781E"/>
    <w:rsid w:val="75750A98"/>
    <w:rsid w:val="757B7B4C"/>
    <w:rsid w:val="75895700"/>
    <w:rsid w:val="758B68F4"/>
    <w:rsid w:val="75913870"/>
    <w:rsid w:val="7599230C"/>
    <w:rsid w:val="75A153E9"/>
    <w:rsid w:val="75A812BF"/>
    <w:rsid w:val="75B0088F"/>
    <w:rsid w:val="75BE756B"/>
    <w:rsid w:val="75C87B83"/>
    <w:rsid w:val="75D16389"/>
    <w:rsid w:val="75EF5E11"/>
    <w:rsid w:val="75F8DC66"/>
    <w:rsid w:val="75FC2F67"/>
    <w:rsid w:val="76593B08"/>
    <w:rsid w:val="768913A4"/>
    <w:rsid w:val="76AEF9FA"/>
    <w:rsid w:val="76BBC16A"/>
    <w:rsid w:val="76BDDAA6"/>
    <w:rsid w:val="76CE0460"/>
    <w:rsid w:val="76DD06A3"/>
    <w:rsid w:val="76F810AB"/>
    <w:rsid w:val="76FFC9A0"/>
    <w:rsid w:val="77316A3F"/>
    <w:rsid w:val="773FB1EA"/>
    <w:rsid w:val="776FDEA8"/>
    <w:rsid w:val="777BE10A"/>
    <w:rsid w:val="779F40B4"/>
    <w:rsid w:val="77A827D0"/>
    <w:rsid w:val="77B05DB7"/>
    <w:rsid w:val="77B7ADC7"/>
    <w:rsid w:val="77E9774A"/>
    <w:rsid w:val="77E9DFAB"/>
    <w:rsid w:val="77ED023B"/>
    <w:rsid w:val="77EF0278"/>
    <w:rsid w:val="77F8B14C"/>
    <w:rsid w:val="77FBCD86"/>
    <w:rsid w:val="77FF625E"/>
    <w:rsid w:val="78080A1E"/>
    <w:rsid w:val="781D6184"/>
    <w:rsid w:val="782A4CF3"/>
    <w:rsid w:val="785859A5"/>
    <w:rsid w:val="78931B46"/>
    <w:rsid w:val="78A13550"/>
    <w:rsid w:val="78BB09F8"/>
    <w:rsid w:val="78C31B1A"/>
    <w:rsid w:val="78D635FC"/>
    <w:rsid w:val="7901114A"/>
    <w:rsid w:val="792F0BA4"/>
    <w:rsid w:val="79515378"/>
    <w:rsid w:val="795506F4"/>
    <w:rsid w:val="79976421"/>
    <w:rsid w:val="79D73B27"/>
    <w:rsid w:val="79FB7128"/>
    <w:rsid w:val="7A305336"/>
    <w:rsid w:val="7AB729C9"/>
    <w:rsid w:val="7AD63D87"/>
    <w:rsid w:val="7AE43DF9"/>
    <w:rsid w:val="7AE44F8A"/>
    <w:rsid w:val="7AE612FD"/>
    <w:rsid w:val="7AFB74C9"/>
    <w:rsid w:val="7B383D97"/>
    <w:rsid w:val="7B5E948F"/>
    <w:rsid w:val="7B5F54E9"/>
    <w:rsid w:val="7B5FB2E4"/>
    <w:rsid w:val="7B690757"/>
    <w:rsid w:val="7B87F389"/>
    <w:rsid w:val="7BDE397A"/>
    <w:rsid w:val="7BE560F4"/>
    <w:rsid w:val="7BF84A22"/>
    <w:rsid w:val="7BF9E84B"/>
    <w:rsid w:val="7BFE53B2"/>
    <w:rsid w:val="7BFE837C"/>
    <w:rsid w:val="7BFFADB2"/>
    <w:rsid w:val="7C235415"/>
    <w:rsid w:val="7C5B0830"/>
    <w:rsid w:val="7C774E1E"/>
    <w:rsid w:val="7C892AB5"/>
    <w:rsid w:val="7C8A307B"/>
    <w:rsid w:val="7C8E6AF5"/>
    <w:rsid w:val="7CA06DFF"/>
    <w:rsid w:val="7CC611E5"/>
    <w:rsid w:val="7CCF0B59"/>
    <w:rsid w:val="7CE84E2C"/>
    <w:rsid w:val="7CF60E59"/>
    <w:rsid w:val="7CFF95F3"/>
    <w:rsid w:val="7D2B7671"/>
    <w:rsid w:val="7D2F4C07"/>
    <w:rsid w:val="7D5C12FB"/>
    <w:rsid w:val="7D7B1451"/>
    <w:rsid w:val="7D7F5073"/>
    <w:rsid w:val="7D880968"/>
    <w:rsid w:val="7D9D40D9"/>
    <w:rsid w:val="7DA367D5"/>
    <w:rsid w:val="7DA43CC8"/>
    <w:rsid w:val="7DBC56C4"/>
    <w:rsid w:val="7DDA593C"/>
    <w:rsid w:val="7DDDC4A4"/>
    <w:rsid w:val="7DE7F9D6"/>
    <w:rsid w:val="7DED8B18"/>
    <w:rsid w:val="7DEE49B7"/>
    <w:rsid w:val="7DF7B8D1"/>
    <w:rsid w:val="7DFF84E5"/>
    <w:rsid w:val="7E0902D0"/>
    <w:rsid w:val="7E095890"/>
    <w:rsid w:val="7E4D077B"/>
    <w:rsid w:val="7E9005F8"/>
    <w:rsid w:val="7E9D35ED"/>
    <w:rsid w:val="7EABA01D"/>
    <w:rsid w:val="7EB851E0"/>
    <w:rsid w:val="7EBD67C2"/>
    <w:rsid w:val="7EBE43C7"/>
    <w:rsid w:val="7ECE62E2"/>
    <w:rsid w:val="7ED50EA3"/>
    <w:rsid w:val="7EDA74ED"/>
    <w:rsid w:val="7EDE26D0"/>
    <w:rsid w:val="7EF3F6FF"/>
    <w:rsid w:val="7EF82C92"/>
    <w:rsid w:val="7EFB364C"/>
    <w:rsid w:val="7EFBD4B6"/>
    <w:rsid w:val="7EFDCB24"/>
    <w:rsid w:val="7EFEF8E5"/>
    <w:rsid w:val="7EFFD522"/>
    <w:rsid w:val="7F21600F"/>
    <w:rsid w:val="7F39087E"/>
    <w:rsid w:val="7F4F78F3"/>
    <w:rsid w:val="7F6A0F42"/>
    <w:rsid w:val="7F721455"/>
    <w:rsid w:val="7F73653D"/>
    <w:rsid w:val="7F7F9B61"/>
    <w:rsid w:val="7F7FAA9B"/>
    <w:rsid w:val="7F9C6EE6"/>
    <w:rsid w:val="7FAD5D3B"/>
    <w:rsid w:val="7FBF2EB1"/>
    <w:rsid w:val="7FBF5A2F"/>
    <w:rsid w:val="7FBFDCB9"/>
    <w:rsid w:val="7FD74432"/>
    <w:rsid w:val="7FDD1AF9"/>
    <w:rsid w:val="7FEE8C15"/>
    <w:rsid w:val="7FEF23C0"/>
    <w:rsid w:val="7FEF459E"/>
    <w:rsid w:val="7FF364EF"/>
    <w:rsid w:val="7FF4C31C"/>
    <w:rsid w:val="7FFFB4E9"/>
    <w:rsid w:val="87F91845"/>
    <w:rsid w:val="8D6F0996"/>
    <w:rsid w:val="8FBD732B"/>
    <w:rsid w:val="97765E84"/>
    <w:rsid w:val="97A6FD9B"/>
    <w:rsid w:val="97FE9722"/>
    <w:rsid w:val="994D8D8D"/>
    <w:rsid w:val="9B1F36F0"/>
    <w:rsid w:val="9DEE3281"/>
    <w:rsid w:val="9DF1F605"/>
    <w:rsid w:val="9E1FABB0"/>
    <w:rsid w:val="9EB78F67"/>
    <w:rsid w:val="9F7C72B3"/>
    <w:rsid w:val="9FFA7A63"/>
    <w:rsid w:val="A79BEE20"/>
    <w:rsid w:val="A7EFD156"/>
    <w:rsid w:val="ADFFF022"/>
    <w:rsid w:val="AF6FA6F7"/>
    <w:rsid w:val="AFFB2AAD"/>
    <w:rsid w:val="B2F62B7D"/>
    <w:rsid w:val="B56D332B"/>
    <w:rsid w:val="B7DBAA6F"/>
    <w:rsid w:val="BAFE1A56"/>
    <w:rsid w:val="BBEFC8C7"/>
    <w:rsid w:val="BD3F4152"/>
    <w:rsid w:val="BDF56D6F"/>
    <w:rsid w:val="BE7ABB92"/>
    <w:rsid w:val="BF7BE336"/>
    <w:rsid w:val="BFCEC98E"/>
    <w:rsid w:val="BFCEE29C"/>
    <w:rsid w:val="C7DB2E48"/>
    <w:rsid w:val="CAA9E3C9"/>
    <w:rsid w:val="CBBFD932"/>
    <w:rsid w:val="CD4B51AB"/>
    <w:rsid w:val="CDF3678A"/>
    <w:rsid w:val="CEF630B1"/>
    <w:rsid w:val="CEF6582F"/>
    <w:rsid w:val="CFFFDDCC"/>
    <w:rsid w:val="D35D2EF1"/>
    <w:rsid w:val="D556EB9D"/>
    <w:rsid w:val="D5AA03D7"/>
    <w:rsid w:val="D647021D"/>
    <w:rsid w:val="D76F26A9"/>
    <w:rsid w:val="D77F2D8C"/>
    <w:rsid w:val="D7D701E6"/>
    <w:rsid w:val="D7FB4184"/>
    <w:rsid w:val="D9FFA463"/>
    <w:rsid w:val="DD9F8BC4"/>
    <w:rsid w:val="DDBCC3F4"/>
    <w:rsid w:val="DDFB0210"/>
    <w:rsid w:val="DF5F7D58"/>
    <w:rsid w:val="DFFB9FC3"/>
    <w:rsid w:val="DFFE2897"/>
    <w:rsid w:val="E3FD4E41"/>
    <w:rsid w:val="E67466CE"/>
    <w:rsid w:val="E8D7044E"/>
    <w:rsid w:val="E9B8013A"/>
    <w:rsid w:val="E9BF3292"/>
    <w:rsid w:val="EAFE4C1E"/>
    <w:rsid w:val="EBDFF3B8"/>
    <w:rsid w:val="EDAE66D9"/>
    <w:rsid w:val="EDCFBFC9"/>
    <w:rsid w:val="EDF99F8A"/>
    <w:rsid w:val="EE1F5F26"/>
    <w:rsid w:val="EE73E105"/>
    <w:rsid w:val="EE8DE3A7"/>
    <w:rsid w:val="EEFB73A6"/>
    <w:rsid w:val="EEFED354"/>
    <w:rsid w:val="EF335020"/>
    <w:rsid w:val="EF3B82C4"/>
    <w:rsid w:val="EF7B3F9F"/>
    <w:rsid w:val="EF96EBCD"/>
    <w:rsid w:val="EF9FB489"/>
    <w:rsid w:val="EFBFC4F4"/>
    <w:rsid w:val="EFCFC71C"/>
    <w:rsid w:val="EFFE1093"/>
    <w:rsid w:val="EFFFD2A1"/>
    <w:rsid w:val="F0FF9F5A"/>
    <w:rsid w:val="F36F597F"/>
    <w:rsid w:val="F3A3E1CE"/>
    <w:rsid w:val="F3DF653C"/>
    <w:rsid w:val="F3EC3B2D"/>
    <w:rsid w:val="F3F30771"/>
    <w:rsid w:val="F3FD32E8"/>
    <w:rsid w:val="F3FED38A"/>
    <w:rsid w:val="F5ABF388"/>
    <w:rsid w:val="F5BBCA7B"/>
    <w:rsid w:val="F5DFD5E5"/>
    <w:rsid w:val="F5FD609D"/>
    <w:rsid w:val="F76FF282"/>
    <w:rsid w:val="F7F93A02"/>
    <w:rsid w:val="F7FDE884"/>
    <w:rsid w:val="F8F57470"/>
    <w:rsid w:val="F8FB1A5C"/>
    <w:rsid w:val="F9CB57B4"/>
    <w:rsid w:val="F9FAF7BB"/>
    <w:rsid w:val="F9FCCC8D"/>
    <w:rsid w:val="FA1FA065"/>
    <w:rsid w:val="FAF97F61"/>
    <w:rsid w:val="FAFC4FF0"/>
    <w:rsid w:val="FAFF5751"/>
    <w:rsid w:val="FB3D5EF5"/>
    <w:rsid w:val="FB5A75BC"/>
    <w:rsid w:val="FB5F3F5E"/>
    <w:rsid w:val="FB6FC13D"/>
    <w:rsid w:val="FBAB53DD"/>
    <w:rsid w:val="FBDE7ADE"/>
    <w:rsid w:val="FBF71865"/>
    <w:rsid w:val="FCBC76DA"/>
    <w:rsid w:val="FCFEB78B"/>
    <w:rsid w:val="FDFEA800"/>
    <w:rsid w:val="FE7AC69F"/>
    <w:rsid w:val="FEAF0B2A"/>
    <w:rsid w:val="FED3E2C9"/>
    <w:rsid w:val="FEF74439"/>
    <w:rsid w:val="FEF7FF89"/>
    <w:rsid w:val="FEFF5B8F"/>
    <w:rsid w:val="FEFF9B50"/>
    <w:rsid w:val="FEFF9D4D"/>
    <w:rsid w:val="FF57D15C"/>
    <w:rsid w:val="FF5F0709"/>
    <w:rsid w:val="FF6A27C7"/>
    <w:rsid w:val="FF7D241E"/>
    <w:rsid w:val="FFA876F1"/>
    <w:rsid w:val="FFA89C14"/>
    <w:rsid w:val="FFBE7A30"/>
    <w:rsid w:val="FFCCCC96"/>
    <w:rsid w:val="FFDD62C0"/>
    <w:rsid w:val="FFDF18A5"/>
    <w:rsid w:val="FFED38C5"/>
    <w:rsid w:val="FFEF27B7"/>
    <w:rsid w:val="FFF21D3B"/>
    <w:rsid w:val="FFF38D2F"/>
    <w:rsid w:val="FFF3C40C"/>
    <w:rsid w:val="FFF9CA85"/>
    <w:rsid w:val="FFFB7179"/>
    <w:rsid w:val="FFFF7DA1"/>
    <w:rsid w:val="FFFF862C"/>
    <w:rsid w:val="FFFF9E19"/>
    <w:rsid w:val="FFFFA3DD"/>
    <w:rsid w:val="FFFFB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100" w:after="100" w:afterLines="100" w:line="360" w:lineRule="auto"/>
      <w:jc w:val="center"/>
      <w:outlineLvl w:val="0"/>
    </w:pPr>
    <w:rPr>
      <w:rFonts w:ascii="Times New Roman" w:hAnsi="Times New Roman" w:cs="Times New Roman"/>
      <w:b/>
      <w:kern w:val="44"/>
      <w:sz w:val="28"/>
    </w:rPr>
  </w:style>
  <w:style w:type="paragraph" w:styleId="3">
    <w:name w:val="heading 2"/>
    <w:basedOn w:val="1"/>
    <w:next w:val="1"/>
    <w:qFormat/>
    <w:uiPriority w:val="0"/>
    <w:pPr>
      <w:keepNext/>
      <w:keepLines/>
      <w:spacing w:before="100" w:beforeLines="100" w:after="100" w:afterLines="100"/>
      <w:jc w:val="center"/>
      <w:outlineLvl w:val="1"/>
    </w:pPr>
    <w:rPr>
      <w:rFonts w:ascii="Times New Roman" w:hAnsi="Times New Roman" w:cs="Times New Roman"/>
      <w:b/>
      <w:sz w:val="24"/>
    </w:rPr>
  </w:style>
  <w:style w:type="paragraph" w:styleId="4">
    <w:name w:val="heading 3"/>
    <w:basedOn w:val="1"/>
    <w:next w:val="1"/>
    <w:link w:val="29"/>
    <w:unhideWhenUsed/>
    <w:qFormat/>
    <w:uiPriority w:val="0"/>
    <w:pPr>
      <w:keepNext/>
      <w:keepLines/>
      <w:spacing w:line="360" w:lineRule="auto"/>
      <w:jc w:val="left"/>
      <w:outlineLvl w:val="2"/>
    </w:pPr>
    <w:rPr>
      <w:rFonts w:ascii="Times New Roman" w:hAnsi="Times New Roman"/>
      <w:b/>
      <w:bCs/>
      <w:sz w:val="24"/>
      <w:szCs w:val="32"/>
    </w:rPr>
  </w:style>
  <w:style w:type="paragraph" w:styleId="5">
    <w:name w:val="heading 4"/>
    <w:basedOn w:val="1"/>
    <w:next w:val="1"/>
    <w:qFormat/>
    <w:uiPriority w:val="1"/>
    <w:pPr>
      <w:ind w:left="4758" w:hanging="332"/>
      <w:outlineLvl w:val="3"/>
    </w:pPr>
    <w:rPr>
      <w:rFonts w:ascii="宋体" w:hAnsi="宋体" w:eastAsia="宋体" w:cs="宋体"/>
      <w:b/>
      <w:bCs/>
      <w:sz w:val="22"/>
      <w:szCs w:val="22"/>
      <w:lang w:eastAsia="en-US" w:bidi="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qFormat/>
    <w:uiPriority w:val="0"/>
    <w:pPr>
      <w:jc w:val="left"/>
    </w:pPr>
  </w:style>
  <w:style w:type="paragraph" w:styleId="7">
    <w:name w:val="Body Text"/>
    <w:basedOn w:val="1"/>
    <w:link w:val="28"/>
    <w:unhideWhenUsed/>
    <w:qFormat/>
    <w:uiPriority w:val="1"/>
    <w:rPr>
      <w:rFonts w:hint="eastAsia"/>
      <w:sz w:val="22"/>
      <w:szCs w:val="22"/>
    </w:rPr>
  </w:style>
  <w:style w:type="paragraph" w:styleId="8">
    <w:name w:val="Balloon Text"/>
    <w:basedOn w:val="1"/>
    <w:link w:val="3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pPr>
      <w:spacing w:line="360" w:lineRule="auto"/>
    </w:pPr>
    <w:rPr>
      <w:rFonts w:ascii="Times New Roman" w:hAnsi="Times New Roman" w:eastAsia="宋体"/>
      <w:sz w:val="24"/>
    </w:rPr>
  </w:style>
  <w:style w:type="paragraph" w:styleId="12">
    <w:name w:val="toc 2"/>
    <w:basedOn w:val="1"/>
    <w:next w:val="1"/>
    <w:qFormat/>
    <w:uiPriority w:val="0"/>
    <w:pPr>
      <w:spacing w:line="360" w:lineRule="auto"/>
      <w:ind w:left="420" w:leftChars="200"/>
    </w:pPr>
    <w:rPr>
      <w:rFonts w:ascii="Times New Roman" w:hAnsi="Times New Roman" w:eastAsia="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正文标题"/>
    <w:basedOn w:val="1"/>
    <w:qFormat/>
    <w:uiPriority w:val="0"/>
  </w:style>
  <w:style w:type="paragraph" w:styleId="18">
    <w:name w:val="List Paragraph"/>
    <w:basedOn w:val="1"/>
    <w:unhideWhenUsed/>
    <w:qFormat/>
    <w:uiPriority w:val="1"/>
    <w:pPr>
      <w:ind w:left="495"/>
    </w:pPr>
    <w:rPr>
      <w:rFonts w:hint="eastAsia"/>
      <w:sz w:val="22"/>
      <w:szCs w:val="22"/>
    </w:rPr>
  </w:style>
  <w:style w:type="paragraph" w:customStyle="1" w:styleId="19">
    <w:name w:val="Table Paragraph"/>
    <w:basedOn w:val="1"/>
    <w:unhideWhenUsed/>
    <w:qFormat/>
    <w:uiPriority w:val="0"/>
    <w:rPr>
      <w:rFonts w:hint="eastAsia"/>
      <w:sz w:val="22"/>
      <w:szCs w:val="22"/>
    </w:rPr>
  </w:style>
  <w:style w:type="paragraph" w:customStyle="1" w:styleId="20">
    <w:name w:val="c01条文"/>
    <w:link w:val="32"/>
    <w:qFormat/>
    <w:uiPriority w:val="0"/>
    <w:pPr>
      <w:spacing w:line="360" w:lineRule="auto"/>
      <w:jc w:val="both"/>
    </w:pPr>
    <w:rPr>
      <w:rFonts w:ascii="Times New Roman" w:hAnsi="Times New Roman" w:eastAsia="宋体" w:cstheme="minorBidi"/>
      <w:kern w:val="2"/>
      <w:sz w:val="24"/>
      <w:szCs w:val="21"/>
      <w:lang w:val="en-US" w:eastAsia="zh-CN" w:bidi="ar-SA"/>
    </w:rPr>
  </w:style>
  <w:style w:type="paragraph" w:customStyle="1" w:styleId="21">
    <w:name w:val="c02条文说明"/>
    <w:next w:val="20"/>
    <w:qFormat/>
    <w:uiPriority w:val="0"/>
    <w:pPr>
      <w:spacing w:line="360" w:lineRule="auto"/>
    </w:pPr>
    <w:rPr>
      <w:rFonts w:ascii="Times New Roman" w:hAnsi="Times New Roman" w:eastAsia="宋体" w:cstheme="minorBidi"/>
      <w:sz w:val="24"/>
      <w:szCs w:val="22"/>
      <w:lang w:val="en-US" w:eastAsia="zh-CN" w:bidi="ar-SA"/>
    </w:rPr>
  </w:style>
  <w:style w:type="paragraph" w:customStyle="1" w:styleId="22">
    <w:name w:val="c03首行缩进"/>
    <w:qFormat/>
    <w:uiPriority w:val="0"/>
    <w:pPr>
      <w:spacing w:line="360" w:lineRule="auto"/>
      <w:ind w:firstLine="440" w:firstLineChars="200"/>
    </w:pPr>
    <w:rPr>
      <w:rFonts w:ascii="Times New Roman" w:hAnsi="Times New Roman" w:eastAsia="宋体" w:cstheme="minorBidi"/>
      <w:sz w:val="24"/>
      <w:szCs w:val="21"/>
      <w:lang w:val="en-US" w:eastAsia="zh-CN" w:bidi="ar-SA"/>
    </w:rPr>
  </w:style>
  <w:style w:type="paragraph" w:customStyle="1" w:styleId="23">
    <w:name w:val="c04表格"/>
    <w:basedOn w:val="1"/>
    <w:qFormat/>
    <w:uiPriority w:val="0"/>
    <w:pPr>
      <w:jc w:val="center"/>
    </w:pPr>
    <w:rPr>
      <w:rFonts w:ascii="Times New Roman" w:hAnsi="Times New Roman" w:eastAsia="宋体"/>
      <w:szCs w:val="22"/>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List Paragraph1"/>
    <w:basedOn w:val="1"/>
    <w:semiHidden/>
    <w:qFormat/>
    <w:uiPriority w:val="0"/>
    <w:pPr>
      <w:ind w:left="495"/>
    </w:pPr>
    <w:rPr>
      <w:rFonts w:ascii="Calibri" w:hAnsi="Calibri" w:eastAsia="宋体" w:cs="Times New Roman"/>
      <w:sz w:val="22"/>
      <w:szCs w:val="22"/>
    </w:rPr>
  </w:style>
  <w:style w:type="character" w:customStyle="1" w:styleId="27">
    <w:name w:val="批注文字 字符"/>
    <w:basedOn w:val="15"/>
    <w:link w:val="6"/>
    <w:qFormat/>
    <w:uiPriority w:val="0"/>
    <w:rPr>
      <w:kern w:val="2"/>
      <w:sz w:val="21"/>
      <w:szCs w:val="24"/>
    </w:rPr>
  </w:style>
  <w:style w:type="character" w:customStyle="1" w:styleId="28">
    <w:name w:val="正文文本 字符"/>
    <w:basedOn w:val="15"/>
    <w:link w:val="7"/>
    <w:qFormat/>
    <w:uiPriority w:val="1"/>
    <w:rPr>
      <w:kern w:val="2"/>
      <w:sz w:val="22"/>
      <w:szCs w:val="22"/>
    </w:rPr>
  </w:style>
  <w:style w:type="character" w:customStyle="1" w:styleId="29">
    <w:name w:val="标题 3 字符"/>
    <w:basedOn w:val="15"/>
    <w:link w:val="4"/>
    <w:qFormat/>
    <w:uiPriority w:val="0"/>
    <w:rPr>
      <w:rFonts w:ascii="Times New Roman" w:hAnsi="Times New Roman"/>
      <w:b/>
      <w:bCs/>
      <w:kern w:val="2"/>
      <w:sz w:val="24"/>
      <w:szCs w:val="32"/>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c05公式"/>
    <w:qFormat/>
    <w:uiPriority w:val="0"/>
    <w:pPr>
      <w:tabs>
        <w:tab w:val="center" w:pos="4463"/>
        <w:tab w:val="right" w:pos="8820"/>
      </w:tabs>
      <w:spacing w:line="480" w:lineRule="auto"/>
      <w:jc w:val="center"/>
    </w:pPr>
    <w:rPr>
      <w:rFonts w:ascii="Times New Roman" w:hAnsi="Times New Roman" w:eastAsia="宋体" w:cs="Times New Roman"/>
      <w:sz w:val="24"/>
      <w:szCs w:val="21"/>
      <w:lang w:val="en-US" w:eastAsia="zh-CN" w:bidi="ar-SA"/>
    </w:rPr>
  </w:style>
  <w:style w:type="character" w:customStyle="1" w:styleId="32">
    <w:name w:val="c01条文 Char"/>
    <w:link w:val="20"/>
    <w:qFormat/>
    <w:uiPriority w:val="0"/>
    <w:rPr>
      <w:rFonts w:ascii="Times New Roman" w:hAnsi="Times New Roman" w:eastAsia="宋体" w:cstheme="minorBidi"/>
      <w:color w:val="auto"/>
      <w:kern w:val="2"/>
      <w:sz w:val="24"/>
      <w:szCs w:val="21"/>
      <w:lang w:val="en-US" w:eastAsia="zh-CN" w:bidi="ar-SA"/>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批注框文本 字符"/>
    <w:basedOn w:val="15"/>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6006</Words>
  <Characters>34235</Characters>
  <Lines>285</Lines>
  <Paragraphs>80</Paragraphs>
  <TotalTime>3</TotalTime>
  <ScaleCrop>false</ScaleCrop>
  <LinksUpToDate>false</LinksUpToDate>
  <CharactersWithSpaces>40161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2023-07-08T18:47:00Z</dcterms:created>
  <dc:creator>WPS_1663557041</dc:creator>
  <cp:lastModifiedBy>曹永俊</cp:lastModifiedBy>
  <cp:lastPrinted>2023-08-30T16:48:00Z</cp:lastPrinted>
  <dcterms:modified xsi:type="dcterms:W3CDTF">2024-03-08T15:31:47Z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94731B37E998499AA38BD82FA25ADA17</vt:lpwstr>
  </property>
</Properties>
</file>