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719"/>
        </w:tabs>
        <w:spacing w:line="360" w:lineRule="auto"/>
        <w:ind w:left="720" w:right="98"/>
        <w:jc w:val="center"/>
        <w:rPr>
          <w:rFonts w:ascii="Times New Roman" w:hAnsi="Times New Roman" w:eastAsia="方正小标宋简体" w:cs="方正小标宋简体"/>
          <w:b w:val="0"/>
          <w:bCs w:val="0"/>
          <w:kern w:val="2"/>
          <w:szCs w:val="52"/>
          <w:lang w:val="zh-CN"/>
        </w:rPr>
      </w:pPr>
    </w:p>
    <w:p>
      <w:pPr>
        <w:pStyle w:val="2"/>
        <w:tabs>
          <w:tab w:val="left" w:pos="719"/>
        </w:tabs>
        <w:spacing w:line="360" w:lineRule="auto"/>
        <w:ind w:left="720" w:right="98"/>
        <w:jc w:val="center"/>
        <w:rPr>
          <w:rFonts w:ascii="Times New Roman" w:hAnsi="Times New Roman" w:eastAsia="方正小标宋简体" w:cs="方正小标宋简体"/>
          <w:b w:val="0"/>
          <w:bCs w:val="0"/>
          <w:kern w:val="2"/>
          <w:szCs w:val="52"/>
          <w:lang w:val="zh-CN"/>
        </w:rPr>
      </w:pPr>
    </w:p>
    <w:p>
      <w:pPr>
        <w:pStyle w:val="2"/>
        <w:tabs>
          <w:tab w:val="left" w:pos="719"/>
        </w:tabs>
        <w:spacing w:line="360" w:lineRule="auto"/>
        <w:ind w:left="720" w:right="98"/>
        <w:jc w:val="center"/>
        <w:rPr>
          <w:rFonts w:ascii="Times New Roman" w:hAnsi="Times New Roman" w:eastAsia="方正小标宋简体" w:cs="方正小标宋简体"/>
          <w:b w:val="0"/>
          <w:bCs w:val="0"/>
          <w:kern w:val="2"/>
          <w:szCs w:val="52"/>
          <w:lang w:val="zh-CN"/>
        </w:rPr>
      </w:pPr>
    </w:p>
    <w:p>
      <w:pPr>
        <w:pStyle w:val="2"/>
        <w:tabs>
          <w:tab w:val="left" w:pos="719"/>
        </w:tabs>
        <w:spacing w:line="360" w:lineRule="auto"/>
        <w:ind w:left="720" w:right="98"/>
        <w:jc w:val="center"/>
        <w:rPr>
          <w:rFonts w:ascii="Times New Roman" w:hAnsi="Times New Roman" w:eastAsia="方正小标宋简体" w:cs="方正小标宋简体"/>
          <w:b w:val="0"/>
          <w:bCs w:val="0"/>
          <w:kern w:val="2"/>
          <w:szCs w:val="52"/>
          <w:lang w:val="zh-CN"/>
        </w:rPr>
      </w:pPr>
    </w:p>
    <w:p>
      <w:pPr>
        <w:jc w:val="center"/>
        <w:rPr>
          <w:rFonts w:ascii="黑体" w:hAnsi="黑体" w:eastAsia="黑体"/>
          <w:b/>
          <w:sz w:val="44"/>
          <w:szCs w:val="44"/>
          <w:lang w:eastAsia="zh-CN"/>
        </w:rPr>
        <w:sectPr>
          <w:footerReference r:id="rId3" w:type="default"/>
          <w:pgSz w:w="11900" w:h="16840"/>
          <w:pgMar w:top="800" w:right="1680" w:bottom="1180" w:left="1680" w:header="0" w:footer="983" w:gutter="0"/>
          <w:cols w:space="720" w:num="1"/>
        </w:sectPr>
      </w:pPr>
      <w:bookmarkStart w:id="0" w:name="_Toc16122"/>
      <w:r>
        <w:rPr>
          <w:rFonts w:hint="eastAsia" w:ascii="黑体" w:hAnsi="黑体" w:eastAsia="黑体"/>
          <w:b/>
          <w:sz w:val="44"/>
          <w:szCs w:val="44"/>
          <w:lang w:val="zh-CN" w:eastAsia="zh-CN"/>
        </w:rPr>
        <w:t>海</w:t>
      </w:r>
      <w:bookmarkStart w:id="11" w:name="_GoBack"/>
      <w:bookmarkEnd w:id="11"/>
      <w:r>
        <w:rPr>
          <w:rFonts w:hint="eastAsia" w:ascii="黑体" w:hAnsi="黑体" w:eastAsia="黑体"/>
          <w:b/>
          <w:sz w:val="44"/>
          <w:szCs w:val="44"/>
          <w:lang w:val="zh-CN" w:eastAsia="zh-CN"/>
        </w:rPr>
        <w:t>南省装配式建筑施工图设计审查要点</w:t>
      </w:r>
      <w:bookmarkEnd w:id="0"/>
    </w:p>
    <w:p>
      <w:pPr>
        <w:pStyle w:val="18"/>
        <w:tabs>
          <w:tab w:val="right" w:leader="dot" w:pos="8540"/>
        </w:tabs>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目 录</w:t>
      </w:r>
    </w:p>
    <w:p>
      <w:pPr>
        <w:rPr>
          <w:rFonts w:hint="eastAsia" w:ascii="Times New Roman" w:hAnsi="Times New Roman" w:eastAsia="黑体" w:cs="黑体"/>
          <w:lang w:eastAsia="zh-CN"/>
        </w:rPr>
      </w:pPr>
    </w:p>
    <w:p>
      <w:pPr>
        <w:pStyle w:val="18"/>
        <w:tabs>
          <w:tab w:val="right" w:leader="dot" w:pos="8530"/>
        </w:tabs>
        <w:spacing w:before="0" w:line="360" w:lineRule="auto"/>
        <w:ind w:left="0"/>
        <w:contextualSpacing/>
        <w:rPr>
          <w:rFonts w:hint="eastAsia" w:ascii="仿宋" w:hAnsi="仿宋" w:eastAsia="仿宋"/>
          <w:kern w:val="2"/>
          <w:sz w:val="28"/>
          <w:szCs w:val="28"/>
          <w:lang w:eastAsia="zh-CN"/>
        </w:rPr>
      </w:pPr>
      <w:r>
        <w:rPr>
          <w:rFonts w:hint="eastAsia" w:ascii="仿宋" w:hAnsi="仿宋" w:eastAsia="仿宋" w:cs="仿宋_GB2312"/>
          <w:lang w:eastAsia="zh-CN"/>
        </w:rPr>
        <w:fldChar w:fldCharType="begin"/>
      </w:r>
      <w:r>
        <w:rPr>
          <w:rFonts w:hint="eastAsia" w:ascii="仿宋" w:hAnsi="仿宋" w:eastAsia="仿宋" w:cs="仿宋_GB2312"/>
          <w:lang w:eastAsia="zh-CN"/>
        </w:rPr>
        <w:instrText xml:space="preserve">TOC \o "1-3" \h \u </w:instrText>
      </w:r>
      <w:r>
        <w:rPr>
          <w:rFonts w:hint="eastAsia" w:ascii="仿宋" w:hAnsi="仿宋" w:eastAsia="仿宋" w:cs="仿宋_GB2312"/>
          <w:lang w:eastAsia="zh-CN"/>
        </w:rPr>
        <w:fldChar w:fldCharType="separate"/>
      </w:r>
      <w:r>
        <w:rPr>
          <w:rStyle w:val="24"/>
          <w:rFonts w:ascii="仿宋" w:hAnsi="仿宋" w:eastAsia="仿宋"/>
        </w:rPr>
        <w:fldChar w:fldCharType="begin"/>
      </w:r>
      <w:r>
        <w:rPr>
          <w:rStyle w:val="24"/>
          <w:rFonts w:ascii="仿宋" w:hAnsi="仿宋" w:eastAsia="仿宋"/>
        </w:rPr>
        <w:instrText xml:space="preserve"> </w:instrText>
      </w:r>
      <w:r>
        <w:rPr>
          <w:rFonts w:ascii="仿宋" w:hAnsi="仿宋" w:eastAsia="仿宋"/>
        </w:rPr>
        <w:instrText xml:space="preserve">HYPERLINK \l "_Toc136536500"</w:instrText>
      </w:r>
      <w:r>
        <w:rPr>
          <w:rStyle w:val="24"/>
          <w:rFonts w:ascii="仿宋" w:hAnsi="仿宋" w:eastAsia="仿宋"/>
        </w:rPr>
        <w:instrText xml:space="preserve"> </w:instrText>
      </w:r>
      <w:r>
        <w:rPr>
          <w:rStyle w:val="24"/>
          <w:rFonts w:ascii="仿宋" w:hAnsi="仿宋" w:eastAsia="仿宋"/>
        </w:rPr>
        <w:fldChar w:fldCharType="separate"/>
      </w:r>
      <w:r>
        <w:rPr>
          <w:rStyle w:val="24"/>
          <w:rFonts w:hint="eastAsia" w:ascii="仿宋" w:hAnsi="仿宋" w:eastAsia="仿宋"/>
          <w:lang w:eastAsia="zh-CN"/>
        </w:rPr>
        <w:t>编制说明</w:t>
      </w:r>
      <w:r>
        <w:rPr>
          <w:rFonts w:ascii="仿宋" w:hAnsi="仿宋" w:eastAsia="仿宋"/>
        </w:rPr>
        <w:tab/>
      </w:r>
      <w:r>
        <w:rPr>
          <w:rStyle w:val="24"/>
          <w:rFonts w:ascii="仿宋" w:hAnsi="仿宋" w:eastAsia="仿宋"/>
        </w:rPr>
        <w:fldChar w:fldCharType="end"/>
      </w:r>
      <w:r>
        <w:rPr>
          <w:rFonts w:hint="eastAsia" w:ascii="仿宋" w:hAnsi="仿宋" w:eastAsia="仿宋"/>
          <w:lang w:val="en-US" w:eastAsia="zh-CN"/>
        </w:rPr>
        <w:t>1</w:t>
      </w:r>
    </w:p>
    <w:p>
      <w:pPr>
        <w:pStyle w:val="18"/>
        <w:tabs>
          <w:tab w:val="left" w:pos="840"/>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rPr>
        <w:fldChar w:fldCharType="begin"/>
      </w:r>
      <w:r>
        <w:rPr>
          <w:rStyle w:val="24"/>
          <w:rFonts w:ascii="仿宋" w:hAnsi="仿宋" w:eastAsia="仿宋"/>
        </w:rPr>
        <w:instrText xml:space="preserve"> </w:instrText>
      </w:r>
      <w:r>
        <w:rPr>
          <w:rFonts w:ascii="仿宋" w:hAnsi="仿宋" w:eastAsia="仿宋"/>
        </w:rPr>
        <w:instrText xml:space="preserve">HYPERLINK \l "_Toc136536501"</w:instrText>
      </w:r>
      <w:r>
        <w:rPr>
          <w:rStyle w:val="24"/>
          <w:rFonts w:ascii="仿宋" w:hAnsi="仿宋" w:eastAsia="仿宋"/>
        </w:rPr>
        <w:instrText xml:space="preserve"> </w:instrText>
      </w:r>
      <w:r>
        <w:rPr>
          <w:rStyle w:val="24"/>
          <w:rFonts w:ascii="仿宋" w:hAnsi="仿宋" w:eastAsia="仿宋"/>
        </w:rPr>
        <w:fldChar w:fldCharType="separate"/>
      </w:r>
      <w:r>
        <w:rPr>
          <w:rStyle w:val="24"/>
          <w:rFonts w:ascii="仿宋" w:hAnsi="仿宋" w:eastAsia="仿宋" w:cs="Trebuchet MS"/>
          <w:lang w:eastAsia="zh-CN"/>
        </w:rPr>
        <w:t>1.</w:t>
      </w:r>
      <w:r>
        <w:rPr>
          <w:rStyle w:val="24"/>
          <w:rFonts w:hint="eastAsia" w:ascii="仿宋" w:hAnsi="仿宋" w:eastAsia="仿宋" w:cs="Microsoft JhengHei"/>
          <w:lang w:eastAsia="zh-CN"/>
        </w:rPr>
        <w:t>基本规定</w:t>
      </w:r>
      <w:r>
        <w:rPr>
          <w:rFonts w:ascii="仿宋" w:hAnsi="仿宋" w:eastAsia="仿宋"/>
        </w:rPr>
        <w:tab/>
      </w:r>
      <w:r>
        <w:rPr>
          <w:rStyle w:val="24"/>
          <w:rFonts w:ascii="仿宋" w:hAnsi="仿宋" w:eastAsia="仿宋"/>
        </w:rPr>
        <w:fldChar w:fldCharType="end"/>
      </w:r>
      <w:r>
        <w:rPr>
          <w:rFonts w:hint="eastAsia" w:ascii="仿宋" w:hAnsi="仿宋" w:eastAsia="仿宋"/>
          <w:lang w:val="en-US" w:eastAsia="zh-CN"/>
        </w:rPr>
        <w:t>1</w:t>
      </w:r>
    </w:p>
    <w:p>
      <w:pPr>
        <w:pStyle w:val="18"/>
        <w:tabs>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rPr>
        <w:fldChar w:fldCharType="begin"/>
      </w:r>
      <w:r>
        <w:rPr>
          <w:rStyle w:val="24"/>
          <w:rFonts w:ascii="仿宋" w:hAnsi="仿宋" w:eastAsia="仿宋"/>
        </w:rPr>
        <w:instrText xml:space="preserve"> </w:instrText>
      </w:r>
      <w:r>
        <w:rPr>
          <w:rFonts w:ascii="仿宋" w:hAnsi="仿宋" w:eastAsia="仿宋"/>
        </w:rPr>
        <w:instrText xml:space="preserve">HYPERLINK \l "_Toc136536502"</w:instrText>
      </w:r>
      <w:r>
        <w:rPr>
          <w:rStyle w:val="24"/>
          <w:rFonts w:ascii="仿宋" w:hAnsi="仿宋" w:eastAsia="仿宋"/>
        </w:rPr>
        <w:instrText xml:space="preserve"> </w:instrText>
      </w:r>
      <w:r>
        <w:rPr>
          <w:rStyle w:val="24"/>
          <w:rFonts w:ascii="仿宋" w:hAnsi="仿宋" w:eastAsia="仿宋"/>
        </w:rPr>
        <w:fldChar w:fldCharType="separate"/>
      </w:r>
      <w:r>
        <w:rPr>
          <w:rStyle w:val="24"/>
          <w:rFonts w:ascii="仿宋" w:hAnsi="仿宋" w:eastAsia="仿宋" w:cs="Trebuchet MS"/>
          <w:lang w:eastAsia="zh-CN"/>
        </w:rPr>
        <w:t>2.</w:t>
      </w:r>
      <w:r>
        <w:rPr>
          <w:rStyle w:val="24"/>
          <w:rFonts w:hint="eastAsia" w:ascii="仿宋" w:hAnsi="仿宋" w:eastAsia="仿宋" w:cs="宋体"/>
          <w:lang w:eastAsia="zh-CN"/>
        </w:rPr>
        <w:t>施工图审查要点</w:t>
      </w:r>
      <w:r>
        <w:rPr>
          <w:rFonts w:ascii="仿宋" w:hAnsi="仿宋" w:eastAsia="仿宋"/>
        </w:rPr>
        <w:tab/>
      </w:r>
      <w:r>
        <w:rPr>
          <w:rStyle w:val="24"/>
          <w:rFonts w:ascii="仿宋" w:hAnsi="仿宋" w:eastAsia="仿宋"/>
        </w:rPr>
        <w:fldChar w:fldCharType="end"/>
      </w:r>
      <w:r>
        <w:rPr>
          <w:rFonts w:hint="eastAsia" w:ascii="仿宋" w:hAnsi="仿宋" w:eastAsia="仿宋"/>
          <w:lang w:val="en-US" w:eastAsia="zh-CN"/>
        </w:rPr>
        <w:t>2</w:t>
      </w:r>
    </w:p>
    <w:p>
      <w:pPr>
        <w:pStyle w:val="20"/>
        <w:tabs>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sz w:val="28"/>
          <w:szCs w:val="28"/>
        </w:rPr>
        <w:fldChar w:fldCharType="begin"/>
      </w:r>
      <w:r>
        <w:rPr>
          <w:rStyle w:val="24"/>
          <w:rFonts w:ascii="仿宋" w:hAnsi="仿宋" w:eastAsia="仿宋"/>
          <w:sz w:val="28"/>
          <w:szCs w:val="28"/>
        </w:rPr>
        <w:instrText xml:space="preserve"> </w:instrText>
      </w:r>
      <w:r>
        <w:rPr>
          <w:rFonts w:ascii="仿宋" w:hAnsi="仿宋" w:eastAsia="仿宋"/>
          <w:sz w:val="28"/>
          <w:szCs w:val="28"/>
        </w:rPr>
        <w:instrText xml:space="preserve">HYPERLINK \l "_Toc136536503"</w:instrText>
      </w:r>
      <w:r>
        <w:rPr>
          <w:rStyle w:val="24"/>
          <w:rFonts w:ascii="仿宋" w:hAnsi="仿宋" w:eastAsia="仿宋"/>
          <w:sz w:val="28"/>
          <w:szCs w:val="28"/>
        </w:rPr>
        <w:instrText xml:space="preserve"> </w:instrText>
      </w:r>
      <w:r>
        <w:rPr>
          <w:rStyle w:val="24"/>
          <w:rFonts w:ascii="仿宋" w:hAnsi="仿宋" w:eastAsia="仿宋"/>
          <w:sz w:val="28"/>
          <w:szCs w:val="28"/>
        </w:rPr>
        <w:fldChar w:fldCharType="separate"/>
      </w:r>
      <w:r>
        <w:rPr>
          <w:rStyle w:val="24"/>
          <w:rFonts w:ascii="仿宋" w:hAnsi="仿宋" w:eastAsia="仿宋" w:cs="Trebuchet MS"/>
          <w:b w:val="0"/>
          <w:bCs/>
          <w:sz w:val="28"/>
          <w:szCs w:val="28"/>
          <w:lang w:eastAsia="zh-CN"/>
        </w:rPr>
        <w:t>2.1</w:t>
      </w:r>
      <w:r>
        <w:rPr>
          <w:rStyle w:val="24"/>
          <w:rFonts w:hint="eastAsia" w:ascii="仿宋" w:hAnsi="仿宋" w:eastAsia="仿宋" w:cs="微软雅黑"/>
          <w:sz w:val="28"/>
          <w:szCs w:val="28"/>
          <w:lang w:eastAsia="zh-CN"/>
        </w:rPr>
        <w:t>建筑专业</w:t>
      </w:r>
      <w:r>
        <w:rPr>
          <w:rFonts w:ascii="仿宋" w:hAnsi="仿宋" w:eastAsia="仿宋"/>
          <w:sz w:val="28"/>
          <w:szCs w:val="28"/>
        </w:rPr>
        <w:tab/>
      </w:r>
      <w:r>
        <w:rPr>
          <w:rStyle w:val="24"/>
          <w:rFonts w:ascii="仿宋" w:hAnsi="仿宋" w:eastAsia="仿宋"/>
          <w:sz w:val="28"/>
          <w:szCs w:val="28"/>
        </w:rPr>
        <w:fldChar w:fldCharType="end"/>
      </w:r>
      <w:r>
        <w:rPr>
          <w:rFonts w:hint="eastAsia" w:ascii="仿宋" w:hAnsi="仿宋" w:eastAsia="仿宋"/>
          <w:sz w:val="28"/>
          <w:szCs w:val="28"/>
          <w:lang w:val="en-US" w:eastAsia="zh-CN"/>
        </w:rPr>
        <w:t>2</w:t>
      </w:r>
    </w:p>
    <w:p>
      <w:pPr>
        <w:pStyle w:val="20"/>
        <w:tabs>
          <w:tab w:val="right" w:leader="dot" w:pos="8530"/>
        </w:tabs>
        <w:spacing w:before="0" w:line="360" w:lineRule="auto"/>
        <w:ind w:left="0"/>
        <w:contextualSpacing/>
        <w:rPr>
          <w:rFonts w:hint="eastAsia" w:ascii="仿宋" w:hAnsi="仿宋" w:eastAsia="仿宋"/>
          <w:kern w:val="2"/>
          <w:sz w:val="28"/>
          <w:szCs w:val="28"/>
          <w:lang w:val="en-US" w:eastAsia="zh-CN"/>
        </w:rPr>
      </w:pPr>
      <w:r>
        <w:rPr>
          <w:rStyle w:val="24"/>
          <w:rFonts w:ascii="仿宋" w:hAnsi="仿宋" w:eastAsia="仿宋"/>
          <w:sz w:val="28"/>
          <w:szCs w:val="28"/>
        </w:rPr>
        <w:fldChar w:fldCharType="begin"/>
      </w:r>
      <w:r>
        <w:rPr>
          <w:rStyle w:val="24"/>
          <w:rFonts w:ascii="仿宋" w:hAnsi="仿宋" w:eastAsia="仿宋"/>
          <w:sz w:val="28"/>
          <w:szCs w:val="28"/>
        </w:rPr>
        <w:instrText xml:space="preserve"> </w:instrText>
      </w:r>
      <w:r>
        <w:rPr>
          <w:rFonts w:ascii="仿宋" w:hAnsi="仿宋" w:eastAsia="仿宋"/>
          <w:sz w:val="28"/>
          <w:szCs w:val="28"/>
        </w:rPr>
        <w:instrText xml:space="preserve">HYPERLINK \l "_Toc136536504"</w:instrText>
      </w:r>
      <w:r>
        <w:rPr>
          <w:rStyle w:val="24"/>
          <w:rFonts w:ascii="仿宋" w:hAnsi="仿宋" w:eastAsia="仿宋"/>
          <w:sz w:val="28"/>
          <w:szCs w:val="28"/>
        </w:rPr>
        <w:instrText xml:space="preserve"> </w:instrText>
      </w:r>
      <w:r>
        <w:rPr>
          <w:rStyle w:val="24"/>
          <w:rFonts w:ascii="仿宋" w:hAnsi="仿宋" w:eastAsia="仿宋"/>
          <w:sz w:val="28"/>
          <w:szCs w:val="28"/>
        </w:rPr>
        <w:fldChar w:fldCharType="separate"/>
      </w:r>
      <w:r>
        <w:rPr>
          <w:rStyle w:val="24"/>
          <w:rFonts w:ascii="仿宋" w:hAnsi="仿宋" w:eastAsia="仿宋" w:cs="Trebuchet MS"/>
          <w:b w:val="0"/>
          <w:bCs/>
          <w:sz w:val="28"/>
          <w:szCs w:val="28"/>
          <w:lang w:eastAsia="zh-CN"/>
        </w:rPr>
        <w:t>2.2</w:t>
      </w:r>
      <w:r>
        <w:rPr>
          <w:rStyle w:val="24"/>
          <w:rFonts w:hint="eastAsia" w:ascii="仿宋" w:hAnsi="仿宋" w:eastAsia="仿宋" w:cs="微软雅黑"/>
          <w:b w:val="0"/>
          <w:bCs/>
          <w:sz w:val="28"/>
          <w:szCs w:val="28"/>
          <w:lang w:eastAsia="zh-CN"/>
        </w:rPr>
        <w:t>结构专业</w:t>
      </w:r>
      <w:r>
        <w:rPr>
          <w:rFonts w:ascii="仿宋" w:hAnsi="仿宋" w:eastAsia="仿宋"/>
          <w:sz w:val="28"/>
          <w:szCs w:val="28"/>
        </w:rPr>
        <w:tab/>
      </w:r>
      <w:r>
        <w:rPr>
          <w:rStyle w:val="24"/>
          <w:rFonts w:ascii="仿宋" w:hAnsi="仿宋" w:eastAsia="仿宋"/>
          <w:sz w:val="28"/>
          <w:szCs w:val="28"/>
        </w:rPr>
        <w:fldChar w:fldCharType="end"/>
      </w:r>
      <w:r>
        <w:rPr>
          <w:rStyle w:val="24"/>
          <w:rFonts w:hint="eastAsia" w:ascii="仿宋" w:hAnsi="仿宋" w:eastAsia="仿宋"/>
          <w:sz w:val="28"/>
          <w:szCs w:val="28"/>
          <w:lang w:val="en-US" w:eastAsia="zh-CN"/>
        </w:rPr>
        <w:t>3</w:t>
      </w:r>
    </w:p>
    <w:p>
      <w:pPr>
        <w:pStyle w:val="20"/>
        <w:tabs>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sz w:val="28"/>
          <w:szCs w:val="28"/>
        </w:rPr>
        <w:fldChar w:fldCharType="begin"/>
      </w:r>
      <w:r>
        <w:rPr>
          <w:rStyle w:val="24"/>
          <w:rFonts w:ascii="仿宋" w:hAnsi="仿宋" w:eastAsia="仿宋"/>
          <w:sz w:val="28"/>
          <w:szCs w:val="28"/>
        </w:rPr>
        <w:instrText xml:space="preserve"> </w:instrText>
      </w:r>
      <w:r>
        <w:rPr>
          <w:rFonts w:ascii="仿宋" w:hAnsi="仿宋" w:eastAsia="仿宋"/>
          <w:sz w:val="28"/>
          <w:szCs w:val="28"/>
        </w:rPr>
        <w:instrText xml:space="preserve">HYPERLINK \l "_Toc136536505"</w:instrText>
      </w:r>
      <w:r>
        <w:rPr>
          <w:rStyle w:val="24"/>
          <w:rFonts w:ascii="仿宋" w:hAnsi="仿宋" w:eastAsia="仿宋"/>
          <w:sz w:val="28"/>
          <w:szCs w:val="28"/>
        </w:rPr>
        <w:instrText xml:space="preserve"> </w:instrText>
      </w:r>
      <w:r>
        <w:rPr>
          <w:rStyle w:val="24"/>
          <w:rFonts w:ascii="仿宋" w:hAnsi="仿宋" w:eastAsia="仿宋"/>
          <w:sz w:val="28"/>
          <w:szCs w:val="28"/>
        </w:rPr>
        <w:fldChar w:fldCharType="separate"/>
      </w:r>
      <w:r>
        <w:rPr>
          <w:rStyle w:val="24"/>
          <w:rFonts w:ascii="仿宋" w:hAnsi="仿宋" w:eastAsia="仿宋" w:cs="Trebuchet MS"/>
          <w:b w:val="0"/>
          <w:bCs/>
          <w:sz w:val="28"/>
          <w:szCs w:val="28"/>
          <w:lang w:eastAsia="zh-CN"/>
        </w:rPr>
        <w:t>2.3</w:t>
      </w:r>
      <w:r>
        <w:rPr>
          <w:rStyle w:val="24"/>
          <w:rFonts w:hint="eastAsia" w:ascii="仿宋" w:hAnsi="仿宋" w:eastAsia="仿宋" w:cs="微软雅黑"/>
          <w:b w:val="0"/>
          <w:bCs/>
          <w:sz w:val="28"/>
          <w:szCs w:val="28"/>
          <w:lang w:eastAsia="zh-CN"/>
        </w:rPr>
        <w:t>设备专业</w:t>
      </w:r>
      <w:r>
        <w:rPr>
          <w:rFonts w:ascii="仿宋" w:hAnsi="仿宋" w:eastAsia="仿宋"/>
          <w:sz w:val="28"/>
          <w:szCs w:val="28"/>
        </w:rPr>
        <w:tab/>
      </w:r>
      <w:r>
        <w:rPr>
          <w:rStyle w:val="24"/>
          <w:rFonts w:ascii="仿宋" w:hAnsi="仿宋" w:eastAsia="仿宋"/>
          <w:sz w:val="28"/>
          <w:szCs w:val="28"/>
        </w:rPr>
        <w:fldChar w:fldCharType="end"/>
      </w:r>
      <w:r>
        <w:rPr>
          <w:rFonts w:hint="eastAsia" w:ascii="仿宋" w:hAnsi="仿宋" w:eastAsia="仿宋"/>
          <w:sz w:val="28"/>
          <w:szCs w:val="28"/>
          <w:lang w:val="en-US" w:eastAsia="zh-CN"/>
        </w:rPr>
        <w:t>4</w:t>
      </w:r>
    </w:p>
    <w:p>
      <w:pPr>
        <w:pStyle w:val="20"/>
        <w:tabs>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sz w:val="28"/>
          <w:szCs w:val="28"/>
        </w:rPr>
        <w:fldChar w:fldCharType="begin"/>
      </w:r>
      <w:r>
        <w:rPr>
          <w:rStyle w:val="24"/>
          <w:rFonts w:ascii="仿宋" w:hAnsi="仿宋" w:eastAsia="仿宋"/>
          <w:sz w:val="28"/>
          <w:szCs w:val="28"/>
        </w:rPr>
        <w:instrText xml:space="preserve"> </w:instrText>
      </w:r>
      <w:r>
        <w:rPr>
          <w:rFonts w:ascii="仿宋" w:hAnsi="仿宋" w:eastAsia="仿宋"/>
          <w:sz w:val="28"/>
          <w:szCs w:val="28"/>
        </w:rPr>
        <w:instrText xml:space="preserve">HYPERLINK \l "_Toc136536506"</w:instrText>
      </w:r>
      <w:r>
        <w:rPr>
          <w:rStyle w:val="24"/>
          <w:rFonts w:ascii="仿宋" w:hAnsi="仿宋" w:eastAsia="仿宋"/>
          <w:sz w:val="28"/>
          <w:szCs w:val="28"/>
        </w:rPr>
        <w:instrText xml:space="preserve"> </w:instrText>
      </w:r>
      <w:r>
        <w:rPr>
          <w:rStyle w:val="24"/>
          <w:rFonts w:ascii="仿宋" w:hAnsi="仿宋" w:eastAsia="仿宋"/>
          <w:sz w:val="28"/>
          <w:szCs w:val="28"/>
        </w:rPr>
        <w:fldChar w:fldCharType="separate"/>
      </w:r>
      <w:r>
        <w:rPr>
          <w:rStyle w:val="24"/>
          <w:rFonts w:ascii="仿宋" w:hAnsi="仿宋" w:eastAsia="仿宋" w:cs="Trebuchet MS"/>
          <w:b w:val="0"/>
          <w:bCs/>
          <w:sz w:val="28"/>
          <w:szCs w:val="28"/>
          <w:lang w:eastAsia="zh-CN"/>
        </w:rPr>
        <w:t>2.4</w:t>
      </w:r>
      <w:r>
        <w:rPr>
          <w:rStyle w:val="24"/>
          <w:rFonts w:hint="eastAsia" w:ascii="仿宋" w:hAnsi="仿宋" w:eastAsia="仿宋" w:cs="微软雅黑"/>
          <w:b w:val="0"/>
          <w:bCs/>
          <w:sz w:val="28"/>
          <w:szCs w:val="28"/>
          <w:lang w:eastAsia="zh-CN"/>
        </w:rPr>
        <w:t>装饰装修</w:t>
      </w:r>
      <w:r>
        <w:rPr>
          <w:rFonts w:ascii="仿宋" w:hAnsi="仿宋" w:eastAsia="仿宋"/>
          <w:sz w:val="28"/>
          <w:szCs w:val="28"/>
        </w:rPr>
        <w:tab/>
      </w:r>
      <w:r>
        <w:rPr>
          <w:rStyle w:val="24"/>
          <w:rFonts w:ascii="仿宋" w:hAnsi="仿宋" w:eastAsia="仿宋"/>
          <w:sz w:val="28"/>
          <w:szCs w:val="28"/>
        </w:rPr>
        <w:fldChar w:fldCharType="end"/>
      </w:r>
      <w:r>
        <w:rPr>
          <w:rFonts w:hint="eastAsia" w:ascii="仿宋" w:hAnsi="仿宋" w:eastAsia="仿宋"/>
          <w:sz w:val="28"/>
          <w:szCs w:val="28"/>
          <w:lang w:val="en-US" w:eastAsia="zh-CN"/>
        </w:rPr>
        <w:t>5</w:t>
      </w:r>
    </w:p>
    <w:p>
      <w:pPr>
        <w:pStyle w:val="20"/>
        <w:tabs>
          <w:tab w:val="right" w:leader="dot" w:pos="8530"/>
        </w:tabs>
        <w:spacing w:before="0" w:line="360" w:lineRule="auto"/>
        <w:ind w:left="0"/>
        <w:contextualSpacing/>
        <w:rPr>
          <w:rFonts w:hint="eastAsia" w:ascii="仿宋" w:hAnsi="仿宋" w:eastAsia="仿宋"/>
          <w:kern w:val="2"/>
          <w:sz w:val="28"/>
          <w:szCs w:val="28"/>
          <w:lang w:eastAsia="zh-CN"/>
        </w:rPr>
      </w:pPr>
      <w:r>
        <w:rPr>
          <w:rStyle w:val="24"/>
          <w:rFonts w:ascii="仿宋" w:hAnsi="仿宋" w:eastAsia="仿宋"/>
          <w:sz w:val="28"/>
          <w:szCs w:val="28"/>
        </w:rPr>
        <w:fldChar w:fldCharType="begin"/>
      </w:r>
      <w:r>
        <w:rPr>
          <w:rStyle w:val="24"/>
          <w:rFonts w:ascii="仿宋" w:hAnsi="仿宋" w:eastAsia="仿宋"/>
          <w:sz w:val="28"/>
          <w:szCs w:val="28"/>
        </w:rPr>
        <w:instrText xml:space="preserve"> </w:instrText>
      </w:r>
      <w:r>
        <w:rPr>
          <w:rFonts w:ascii="仿宋" w:hAnsi="仿宋" w:eastAsia="仿宋"/>
          <w:sz w:val="28"/>
          <w:szCs w:val="28"/>
        </w:rPr>
        <w:instrText xml:space="preserve">HYPERLINK \l "_Toc136536507"</w:instrText>
      </w:r>
      <w:r>
        <w:rPr>
          <w:rStyle w:val="24"/>
          <w:rFonts w:ascii="仿宋" w:hAnsi="仿宋" w:eastAsia="仿宋"/>
          <w:sz w:val="28"/>
          <w:szCs w:val="28"/>
        </w:rPr>
        <w:instrText xml:space="preserve"> </w:instrText>
      </w:r>
      <w:r>
        <w:rPr>
          <w:rStyle w:val="24"/>
          <w:rFonts w:ascii="仿宋" w:hAnsi="仿宋" w:eastAsia="仿宋"/>
          <w:sz w:val="28"/>
          <w:szCs w:val="28"/>
        </w:rPr>
        <w:fldChar w:fldCharType="separate"/>
      </w:r>
      <w:r>
        <w:rPr>
          <w:rStyle w:val="24"/>
          <w:rFonts w:ascii="仿宋" w:hAnsi="仿宋" w:eastAsia="仿宋" w:cs="Trebuchet MS"/>
          <w:b w:val="0"/>
          <w:bCs/>
          <w:sz w:val="28"/>
          <w:szCs w:val="28"/>
          <w:lang w:eastAsia="zh-CN"/>
        </w:rPr>
        <w:t>2.5</w:t>
      </w:r>
      <w:r>
        <w:rPr>
          <w:rStyle w:val="24"/>
          <w:rFonts w:hint="eastAsia" w:ascii="仿宋" w:hAnsi="仿宋" w:eastAsia="仿宋" w:cs="微软雅黑"/>
          <w:b w:val="0"/>
          <w:bCs/>
          <w:sz w:val="28"/>
          <w:szCs w:val="28"/>
          <w:lang w:eastAsia="zh-CN"/>
        </w:rPr>
        <w:t>其他</w:t>
      </w:r>
      <w:r>
        <w:rPr>
          <w:rFonts w:ascii="仿宋" w:hAnsi="仿宋" w:eastAsia="仿宋"/>
          <w:sz w:val="28"/>
          <w:szCs w:val="28"/>
        </w:rPr>
        <w:tab/>
      </w:r>
      <w:r>
        <w:rPr>
          <w:rStyle w:val="24"/>
          <w:rFonts w:ascii="仿宋" w:hAnsi="仿宋" w:eastAsia="仿宋"/>
          <w:sz w:val="28"/>
          <w:szCs w:val="28"/>
        </w:rPr>
        <w:fldChar w:fldCharType="end"/>
      </w:r>
      <w:r>
        <w:rPr>
          <w:rFonts w:hint="eastAsia" w:ascii="仿宋" w:hAnsi="仿宋" w:eastAsia="仿宋"/>
          <w:sz w:val="28"/>
          <w:szCs w:val="28"/>
          <w:lang w:val="en-US" w:eastAsia="zh-CN"/>
        </w:rPr>
        <w:t>5</w:t>
      </w:r>
    </w:p>
    <w:p>
      <w:pPr>
        <w:pStyle w:val="2"/>
        <w:tabs>
          <w:tab w:val="left" w:pos="719"/>
        </w:tabs>
        <w:spacing w:line="360" w:lineRule="auto"/>
        <w:contextualSpacing/>
        <w:rPr>
          <w:rFonts w:ascii="仿宋" w:hAnsi="仿宋" w:eastAsia="仿宋"/>
          <w:b w:val="0"/>
          <w:sz w:val="28"/>
          <w:szCs w:val="28"/>
          <w:lang w:eastAsia="zh-CN"/>
        </w:rPr>
        <w:sectPr>
          <w:footerReference r:id="rId4" w:type="default"/>
          <w:pgSz w:w="11900" w:h="16840"/>
          <w:pgMar w:top="800" w:right="1680" w:bottom="1180" w:left="1680" w:header="0" w:footer="983" w:gutter="0"/>
          <w:cols w:space="720" w:num="1"/>
        </w:sectPr>
      </w:pPr>
      <w:r>
        <w:rPr>
          <w:rFonts w:hint="eastAsia" w:ascii="仿宋" w:hAnsi="仿宋" w:eastAsia="仿宋" w:cs="仿宋_GB2312"/>
          <w:b w:val="0"/>
          <w:sz w:val="28"/>
          <w:szCs w:val="28"/>
          <w:lang w:eastAsia="zh-CN"/>
        </w:rPr>
        <w:fldChar w:fldCharType="end"/>
      </w:r>
    </w:p>
    <w:p>
      <w:pPr>
        <w:pStyle w:val="2"/>
        <w:tabs>
          <w:tab w:val="left" w:pos="719"/>
        </w:tabs>
        <w:spacing w:line="360" w:lineRule="auto"/>
        <w:ind w:left="720" w:right="98"/>
        <w:jc w:val="center"/>
        <w:rPr>
          <w:rFonts w:ascii="Times New Roman" w:hAnsi="Times New Roman"/>
          <w:lang w:eastAsia="zh-CN"/>
        </w:rPr>
      </w:pPr>
      <w:bookmarkStart w:id="1" w:name="_Toc136536500"/>
      <w:r>
        <w:rPr>
          <w:rFonts w:hint="eastAsia" w:ascii="Times New Roman" w:hAnsi="Times New Roman"/>
          <w:lang w:eastAsia="zh-CN"/>
        </w:rPr>
        <w:t>编制说明</w:t>
      </w:r>
      <w:bookmarkEnd w:id="1"/>
    </w:p>
    <w:p>
      <w:pPr>
        <w:pStyle w:val="12"/>
        <w:tabs>
          <w:tab w:val="left" w:pos="751"/>
        </w:tabs>
        <w:spacing w:line="360" w:lineRule="auto"/>
        <w:ind w:left="0" w:firstLine="560" w:firstLineChars="200"/>
        <w:contextualSpacing/>
        <w:jc w:val="both"/>
        <w:rPr>
          <w:rFonts w:ascii="Times New Roman" w:hAnsi="Times New Roman" w:eastAsia="仿宋" w:cs="Times New Roman"/>
          <w:sz w:val="28"/>
          <w:szCs w:val="28"/>
          <w:lang w:eastAsia="zh-CN"/>
        </w:rPr>
      </w:pPr>
      <w:r>
        <w:rPr>
          <w:rFonts w:hint="eastAsia" w:ascii="Times New Roman" w:hAnsi="Times New Roman" w:eastAsia="仿宋" w:cs="Times New Roman"/>
          <w:bCs/>
          <w:sz w:val="28"/>
          <w:szCs w:val="28"/>
          <w:lang w:eastAsia="zh-CN"/>
        </w:rPr>
        <w:t>1.</w:t>
      </w:r>
      <w:r>
        <w:rPr>
          <w:rFonts w:ascii="Times New Roman" w:hAnsi="Times New Roman" w:eastAsia="仿宋" w:cs="Times New Roman"/>
          <w:bCs/>
          <w:sz w:val="28"/>
          <w:szCs w:val="28"/>
          <w:lang w:eastAsia="zh-CN"/>
        </w:rPr>
        <w:t>本要点</w:t>
      </w:r>
      <w:r>
        <w:rPr>
          <w:rFonts w:hint="eastAsia" w:ascii="Times New Roman" w:hAnsi="Times New Roman" w:eastAsia="仿宋" w:cs="Times New Roman"/>
          <w:bCs/>
          <w:sz w:val="28"/>
          <w:szCs w:val="28"/>
          <w:lang w:eastAsia="zh-CN"/>
        </w:rPr>
        <w:t>用于指导</w:t>
      </w:r>
      <w:r>
        <w:rPr>
          <w:rFonts w:ascii="Times New Roman" w:hAnsi="Times New Roman" w:eastAsia="仿宋" w:cs="Times New Roman"/>
          <w:bCs/>
          <w:sz w:val="28"/>
          <w:szCs w:val="28"/>
          <w:lang w:eastAsia="zh-CN"/>
        </w:rPr>
        <w:t>图审机构</w:t>
      </w:r>
      <w:r>
        <w:rPr>
          <w:rFonts w:hint="eastAsia" w:ascii="Times New Roman" w:hAnsi="Times New Roman" w:eastAsia="仿宋" w:cs="Times New Roman"/>
          <w:bCs/>
          <w:sz w:val="28"/>
          <w:szCs w:val="28"/>
          <w:lang w:eastAsia="zh-CN"/>
        </w:rPr>
        <w:t>审查</w:t>
      </w:r>
      <w:r>
        <w:rPr>
          <w:rFonts w:ascii="Times New Roman" w:hAnsi="Times New Roman" w:eastAsia="仿宋" w:cs="Times New Roman"/>
          <w:bCs/>
          <w:sz w:val="28"/>
          <w:szCs w:val="28"/>
          <w:lang w:eastAsia="zh-CN"/>
        </w:rPr>
        <w:t>装配式建筑施工图。</w:t>
      </w:r>
    </w:p>
    <w:p>
      <w:pPr>
        <w:pStyle w:val="12"/>
        <w:tabs>
          <w:tab w:val="left" w:pos="751"/>
        </w:tabs>
        <w:spacing w:line="360" w:lineRule="auto"/>
        <w:ind w:left="0" w:firstLine="560" w:firstLineChars="200"/>
        <w:contextualSpacing/>
        <w:jc w:val="both"/>
        <w:rPr>
          <w:rFonts w:ascii="Times New Roman" w:hAnsi="Times New Roman" w:eastAsia="仿宋" w:cs="Times New Roman"/>
          <w:sz w:val="28"/>
          <w:szCs w:val="28"/>
          <w:lang w:eastAsia="zh-CN"/>
        </w:rPr>
      </w:pPr>
      <w:r>
        <w:rPr>
          <w:rFonts w:hint="eastAsia" w:ascii="Times New Roman" w:hAnsi="Times New Roman" w:eastAsia="仿宋" w:cs="Times New Roman"/>
          <w:bCs/>
          <w:sz w:val="28"/>
          <w:szCs w:val="28"/>
          <w:lang w:eastAsia="zh-CN"/>
        </w:rPr>
        <w:t>2.</w:t>
      </w:r>
      <w:r>
        <w:rPr>
          <w:rFonts w:ascii="Times New Roman" w:hAnsi="Times New Roman" w:eastAsia="仿宋" w:cs="Times New Roman"/>
          <w:bCs/>
          <w:sz w:val="28"/>
          <w:szCs w:val="28"/>
          <w:lang w:eastAsia="zh-CN"/>
        </w:rPr>
        <w:t>本要点未尽事宜，应按国家和海南省现行相关规范、标准的有关技术法规文件执行。</w:t>
      </w:r>
    </w:p>
    <w:p>
      <w:pPr>
        <w:pStyle w:val="2"/>
        <w:numPr>
          <w:ilvl w:val="0"/>
          <w:numId w:val="1"/>
        </w:numPr>
        <w:tabs>
          <w:tab w:val="left" w:pos="719"/>
        </w:tabs>
        <w:spacing w:line="360" w:lineRule="auto"/>
        <w:ind w:right="98"/>
        <w:jc w:val="center"/>
        <w:rPr>
          <w:rFonts w:ascii="Times New Roman" w:hAnsi="Times New Roman" w:eastAsia="Microsoft JhengHei" w:cs="Microsoft JhengHei"/>
          <w:lang w:eastAsia="zh-CN"/>
        </w:rPr>
      </w:pPr>
      <w:bookmarkStart w:id="2" w:name="_Toc136536501"/>
      <w:r>
        <w:rPr>
          <w:rFonts w:hint="eastAsia" w:ascii="Times New Roman" w:hAnsi="Times New Roman" w:eastAsia="Microsoft JhengHei" w:cs="Microsoft JhengHei"/>
          <w:lang w:eastAsia="zh-CN"/>
        </w:rPr>
        <w:t>基本规定</w:t>
      </w:r>
      <w:bookmarkEnd w:id="2"/>
    </w:p>
    <w:p>
      <w:pPr>
        <w:pStyle w:val="12"/>
        <w:tabs>
          <w:tab w:val="left" w:pos="751"/>
        </w:tabs>
        <w:spacing w:line="360" w:lineRule="auto"/>
        <w:ind w:left="0" w:firstLine="562" w:firstLineChars="200"/>
        <w:contextualSpacing/>
        <w:jc w:val="both"/>
        <w:rPr>
          <w:rFonts w:ascii="Times New Roman" w:hAnsi="Times New Roman" w:eastAsia="仿宋" w:cs="Times New Roman"/>
          <w:bCs/>
          <w:sz w:val="28"/>
          <w:szCs w:val="28"/>
          <w:lang w:eastAsia="zh-CN"/>
        </w:rPr>
      </w:pPr>
      <w:r>
        <w:rPr>
          <w:rFonts w:ascii="Times New Roman" w:hAnsi="Times New Roman" w:eastAsia="仿宋" w:cs="Times New Roman"/>
          <w:b/>
          <w:bCs/>
          <w:sz w:val="28"/>
          <w:szCs w:val="28"/>
          <w:lang w:eastAsia="zh-CN"/>
        </w:rPr>
        <w:t xml:space="preserve">1.1 </w:t>
      </w:r>
      <w:r>
        <w:rPr>
          <w:rFonts w:ascii="Times New Roman" w:hAnsi="Times New Roman" w:eastAsia="仿宋" w:cs="Times New Roman"/>
          <w:bCs/>
          <w:sz w:val="28"/>
          <w:szCs w:val="28"/>
          <w:lang w:eastAsia="zh-CN"/>
        </w:rPr>
        <w:t>装配式建筑项目</w:t>
      </w:r>
      <w:r>
        <w:rPr>
          <w:rFonts w:hint="eastAsia" w:ascii="Times New Roman" w:hAnsi="Times New Roman" w:eastAsia="仿宋" w:cs="Times New Roman"/>
          <w:bCs/>
          <w:sz w:val="28"/>
          <w:szCs w:val="28"/>
          <w:lang w:eastAsia="zh-CN"/>
        </w:rPr>
        <w:t>的实施范围应符合《关于进一步稳步推进装配式建筑有关事项的通知》</w:t>
      </w:r>
      <w:r>
        <w:rPr>
          <w:rFonts w:ascii="Times New Roman" w:hAnsi="Times New Roman" w:eastAsia="仿宋" w:cs="Times New Roman"/>
          <w:bCs/>
          <w:sz w:val="28"/>
          <w:szCs w:val="28"/>
          <w:lang w:eastAsia="zh-CN"/>
        </w:rPr>
        <w:t>（琼建科函</w:t>
      </w:r>
      <w:r>
        <w:rPr>
          <w:rFonts w:hint="eastAsia" w:ascii="Times New Roman" w:hAnsi="Times New Roman" w:eastAsia="仿宋" w:cs="Times New Roman"/>
          <w:bCs/>
          <w:sz w:val="28"/>
          <w:szCs w:val="28"/>
          <w:lang w:eastAsia="zh-CN"/>
        </w:rPr>
        <w:t>[</w:t>
      </w:r>
      <w:r>
        <w:rPr>
          <w:rFonts w:ascii="Times New Roman" w:hAnsi="Times New Roman" w:eastAsia="仿宋" w:cs="Times New Roman"/>
          <w:bCs/>
          <w:sz w:val="28"/>
          <w:szCs w:val="28"/>
          <w:lang w:eastAsia="zh-CN"/>
        </w:rPr>
        <w:t>2021]155号）</w:t>
      </w:r>
      <w:r>
        <w:rPr>
          <w:rFonts w:hint="eastAsia" w:ascii="Times New Roman" w:hAnsi="Times New Roman" w:eastAsia="仿宋" w:cs="Times New Roman"/>
          <w:bCs/>
          <w:sz w:val="28"/>
          <w:szCs w:val="28"/>
          <w:lang w:eastAsia="zh-CN"/>
        </w:rPr>
        <w:t>的规定。</w:t>
      </w:r>
    </w:p>
    <w:p>
      <w:pPr>
        <w:pStyle w:val="12"/>
        <w:tabs>
          <w:tab w:val="left" w:pos="751"/>
        </w:tabs>
        <w:spacing w:line="360" w:lineRule="auto"/>
        <w:ind w:left="0" w:firstLine="562" w:firstLineChars="200"/>
        <w:contextualSpacing/>
        <w:jc w:val="both"/>
        <w:rPr>
          <w:rFonts w:ascii="Times New Roman" w:hAnsi="Times New Roman" w:eastAsia="仿宋" w:cs="宋体"/>
          <w:spacing w:val="-8"/>
          <w:sz w:val="28"/>
          <w:szCs w:val="28"/>
          <w:lang w:eastAsia="zh-CN"/>
        </w:rPr>
      </w:pPr>
      <w:r>
        <w:rPr>
          <w:rFonts w:ascii="Times New Roman" w:hAnsi="Times New Roman" w:eastAsia="仿宋" w:cs="Times New Roman"/>
          <w:b/>
          <w:bCs/>
          <w:sz w:val="28"/>
          <w:szCs w:val="28"/>
          <w:lang w:eastAsia="zh-CN"/>
        </w:rPr>
        <w:t>1.2</w:t>
      </w:r>
      <w:r>
        <w:rPr>
          <w:rFonts w:ascii="Times New Roman" w:hAnsi="Times New Roman" w:eastAsia="仿宋" w:cs="宋体"/>
          <w:spacing w:val="-4"/>
          <w:sz w:val="28"/>
          <w:szCs w:val="28"/>
          <w:lang w:eastAsia="zh-CN"/>
        </w:rPr>
        <w:t>装配式建筑项目按单体或建筑组团作为计算单元，应符合现行《</w:t>
      </w:r>
      <w:r>
        <w:rPr>
          <w:rFonts w:hint="eastAsia" w:ascii="Times New Roman" w:hAnsi="Times New Roman" w:eastAsia="仿宋" w:cs="宋体"/>
          <w:spacing w:val="-4"/>
          <w:sz w:val="28"/>
          <w:szCs w:val="28"/>
          <w:lang w:eastAsia="zh-CN"/>
        </w:rPr>
        <w:t>海南</w:t>
      </w:r>
      <w:r>
        <w:rPr>
          <w:rFonts w:ascii="Times New Roman" w:hAnsi="Times New Roman" w:eastAsia="仿宋" w:cs="宋体"/>
          <w:spacing w:val="-4"/>
          <w:sz w:val="28"/>
          <w:szCs w:val="28"/>
          <w:lang w:eastAsia="zh-CN"/>
        </w:rPr>
        <w:t>省装配式建筑装配率计算规则</w:t>
      </w:r>
      <w:r>
        <w:rPr>
          <w:rFonts w:ascii="Times New Roman" w:hAnsi="Times New Roman" w:eastAsia="仿宋" w:cs="宋体"/>
          <w:spacing w:val="-8"/>
          <w:sz w:val="28"/>
          <w:szCs w:val="28"/>
          <w:lang w:eastAsia="zh-CN"/>
        </w:rPr>
        <w:t>》</w:t>
      </w:r>
      <w:r>
        <w:rPr>
          <w:rFonts w:hint="eastAsia" w:ascii="Times New Roman" w:hAnsi="Times New Roman" w:eastAsia="仿宋" w:cs="宋体"/>
          <w:spacing w:val="-8"/>
          <w:sz w:val="28"/>
          <w:szCs w:val="28"/>
          <w:lang w:eastAsia="zh-CN"/>
        </w:rPr>
        <w:t>的要求，申请容积率奖励的同时满足《装配式建筑评价标准》（G</w:t>
      </w:r>
      <w:r>
        <w:rPr>
          <w:rFonts w:ascii="Times New Roman" w:hAnsi="Times New Roman" w:eastAsia="仿宋" w:cs="宋体"/>
          <w:spacing w:val="-8"/>
          <w:sz w:val="28"/>
          <w:szCs w:val="28"/>
          <w:lang w:eastAsia="zh-CN"/>
        </w:rPr>
        <w:t>B/T51129</w:t>
      </w:r>
      <w:r>
        <w:rPr>
          <w:rFonts w:hint="eastAsia" w:ascii="Times New Roman" w:hAnsi="Times New Roman" w:eastAsia="仿宋" w:cs="宋体"/>
          <w:spacing w:val="-8"/>
          <w:sz w:val="28"/>
          <w:szCs w:val="28"/>
          <w:lang w:eastAsia="zh-CN"/>
        </w:rPr>
        <w:t>）的规定</w:t>
      </w:r>
      <w:r>
        <w:rPr>
          <w:rFonts w:ascii="Times New Roman" w:hAnsi="Times New Roman" w:eastAsia="仿宋" w:cs="宋体"/>
          <w:spacing w:val="-8"/>
          <w:sz w:val="28"/>
          <w:szCs w:val="28"/>
          <w:lang w:eastAsia="zh-CN"/>
        </w:rPr>
        <w:t>。</w:t>
      </w:r>
    </w:p>
    <w:p>
      <w:pPr>
        <w:pStyle w:val="12"/>
        <w:spacing w:line="360" w:lineRule="auto"/>
        <w:ind w:left="0" w:firstLine="562" w:firstLineChars="200"/>
        <w:contextualSpacing/>
        <w:jc w:val="both"/>
        <w:rPr>
          <w:rFonts w:ascii="Times New Roman" w:hAnsi="Times New Roman" w:eastAsia="仿宋" w:cs="宋体"/>
          <w:spacing w:val="-4"/>
          <w:sz w:val="28"/>
          <w:szCs w:val="28"/>
          <w:lang w:eastAsia="zh-CN"/>
        </w:rPr>
      </w:pPr>
      <w:r>
        <w:rPr>
          <w:rFonts w:ascii="Times New Roman" w:hAnsi="Times New Roman" w:eastAsia="仿宋" w:cs="Times New Roman"/>
          <w:b/>
          <w:bCs/>
          <w:sz w:val="28"/>
          <w:szCs w:val="28"/>
          <w:lang w:eastAsia="zh-CN"/>
        </w:rPr>
        <w:t>1.3</w:t>
      </w:r>
      <w:r>
        <w:rPr>
          <w:rFonts w:ascii="Times New Roman" w:hAnsi="Times New Roman" w:eastAsia="仿宋" w:cs="宋体"/>
          <w:spacing w:val="-4"/>
          <w:sz w:val="28"/>
          <w:szCs w:val="28"/>
          <w:lang w:eastAsia="zh-CN"/>
        </w:rPr>
        <w:t>装配式建筑施工图设计审查报审材料主要有：</w:t>
      </w:r>
    </w:p>
    <w:p>
      <w:pPr>
        <w:pStyle w:val="12"/>
        <w:numPr>
          <w:ilvl w:val="0"/>
          <w:numId w:val="2"/>
        </w:numPr>
        <w:spacing w:line="360" w:lineRule="auto"/>
        <w:ind w:left="0" w:firstLine="504" w:firstLineChars="200"/>
        <w:contextualSpacing/>
        <w:jc w:val="both"/>
        <w:rPr>
          <w:rFonts w:ascii="Times New Roman" w:hAnsi="Times New Roman" w:eastAsia="仿宋" w:cs="宋体"/>
          <w:spacing w:val="-14"/>
          <w:sz w:val="28"/>
          <w:szCs w:val="28"/>
          <w:lang w:eastAsia="zh-CN"/>
        </w:rPr>
      </w:pPr>
      <w:r>
        <w:rPr>
          <w:rFonts w:ascii="Times New Roman" w:hAnsi="Times New Roman" w:eastAsia="仿宋" w:cs="宋体"/>
          <w:spacing w:val="-14"/>
          <w:sz w:val="28"/>
          <w:szCs w:val="28"/>
          <w:lang w:eastAsia="zh-CN"/>
        </w:rPr>
        <w:t>装配式建筑计算书；</w:t>
      </w:r>
    </w:p>
    <w:p>
      <w:pPr>
        <w:pStyle w:val="12"/>
        <w:numPr>
          <w:ilvl w:val="0"/>
          <w:numId w:val="2"/>
        </w:numPr>
        <w:spacing w:line="360" w:lineRule="auto"/>
        <w:ind w:left="0" w:firstLine="504" w:firstLineChars="200"/>
        <w:contextualSpacing/>
        <w:jc w:val="both"/>
        <w:rPr>
          <w:rFonts w:hint="eastAsia" w:ascii="Times New Roman" w:hAnsi="Times New Roman" w:eastAsia="仿宋" w:cs="宋体"/>
          <w:spacing w:val="-14"/>
          <w:sz w:val="28"/>
          <w:szCs w:val="28"/>
          <w:lang w:eastAsia="zh-CN"/>
        </w:rPr>
      </w:pPr>
      <w:r>
        <w:rPr>
          <w:rFonts w:ascii="Times New Roman" w:hAnsi="Times New Roman" w:eastAsia="仿宋" w:cs="宋体"/>
          <w:spacing w:val="-14"/>
          <w:sz w:val="28"/>
          <w:szCs w:val="28"/>
          <w:lang w:eastAsia="zh-CN"/>
        </w:rPr>
        <w:t>装配式建筑设计图纸</w:t>
      </w:r>
    </w:p>
    <w:p>
      <w:pPr>
        <w:pStyle w:val="12"/>
        <w:spacing w:line="360" w:lineRule="auto"/>
        <w:ind w:left="0" w:firstLine="504" w:firstLineChars="200"/>
        <w:contextualSpacing/>
        <w:jc w:val="both"/>
        <w:rPr>
          <w:rFonts w:ascii="Times New Roman" w:hAnsi="Times New Roman" w:eastAsia="仿宋" w:cs="宋体"/>
          <w:spacing w:val="-37"/>
          <w:sz w:val="28"/>
          <w:szCs w:val="28"/>
          <w:lang w:eastAsia="zh-CN"/>
        </w:rPr>
      </w:pPr>
      <w:r>
        <w:rPr>
          <w:rFonts w:hint="eastAsia" w:ascii="Times New Roman" w:hAnsi="Times New Roman" w:eastAsia="仿宋" w:cs="宋体"/>
          <w:spacing w:val="-14"/>
          <w:sz w:val="28"/>
          <w:szCs w:val="28"/>
          <w:lang w:eastAsia="zh-CN"/>
        </w:rPr>
        <w:t>3</w:t>
      </w:r>
      <w:r>
        <w:rPr>
          <w:rFonts w:ascii="Times New Roman" w:hAnsi="Times New Roman" w:eastAsia="仿宋" w:cs="宋体"/>
          <w:spacing w:val="-14"/>
          <w:sz w:val="28"/>
          <w:szCs w:val="28"/>
          <w:lang w:eastAsia="zh-CN"/>
        </w:rPr>
        <w:t>）其他相关材料，如</w:t>
      </w:r>
      <w:r>
        <w:rPr>
          <w:rFonts w:ascii="Times New Roman" w:hAnsi="Times New Roman" w:eastAsia="仿宋" w:cs="宋体"/>
          <w:spacing w:val="-37"/>
          <w:sz w:val="28"/>
          <w:szCs w:val="28"/>
          <w:lang w:eastAsia="zh-CN"/>
        </w:rPr>
        <w:t>规划许可证、超限审查报告等批复文件。</w:t>
      </w:r>
    </w:p>
    <w:p>
      <w:pPr>
        <w:pStyle w:val="12"/>
        <w:spacing w:line="360" w:lineRule="auto"/>
        <w:ind w:left="0" w:firstLine="546" w:firstLineChars="200"/>
        <w:contextualSpacing/>
        <w:jc w:val="both"/>
        <w:rPr>
          <w:rFonts w:ascii="Times New Roman" w:hAnsi="Times New Roman" w:eastAsia="仿宋" w:cs="宋体"/>
          <w:spacing w:val="-4"/>
          <w:sz w:val="28"/>
          <w:szCs w:val="28"/>
          <w:lang w:eastAsia="zh-CN"/>
        </w:rPr>
      </w:pPr>
      <w:r>
        <w:rPr>
          <w:rFonts w:ascii="Times New Roman" w:hAnsi="Times New Roman" w:eastAsia="仿宋" w:cs="宋体"/>
          <w:b/>
          <w:spacing w:val="-4"/>
          <w:sz w:val="28"/>
          <w:szCs w:val="28"/>
          <w:lang w:eastAsia="zh-CN"/>
        </w:rPr>
        <w:t>1.4</w:t>
      </w:r>
      <w:r>
        <w:rPr>
          <w:rFonts w:ascii="Times New Roman" w:hAnsi="Times New Roman" w:eastAsia="仿宋" w:cs="宋体"/>
          <w:spacing w:val="-4"/>
          <w:sz w:val="28"/>
          <w:szCs w:val="28"/>
          <w:lang w:eastAsia="zh-CN"/>
        </w:rPr>
        <w:t>涉及</w:t>
      </w:r>
      <w:r>
        <w:rPr>
          <w:rFonts w:hint="eastAsia" w:ascii="Times New Roman" w:hAnsi="Times New Roman" w:eastAsia="仿宋" w:cs="宋体"/>
          <w:spacing w:val="-4"/>
          <w:sz w:val="28"/>
          <w:szCs w:val="28"/>
          <w:lang w:eastAsia="zh-CN"/>
        </w:rPr>
        <w:t>超限的建设项目在开展装配式建筑设计施工图审查前需先完成超限评审。</w:t>
      </w:r>
    </w:p>
    <w:p>
      <w:pPr>
        <w:pStyle w:val="12"/>
        <w:tabs>
          <w:tab w:val="left" w:pos="751"/>
        </w:tabs>
        <w:spacing w:line="360" w:lineRule="auto"/>
        <w:ind w:left="0" w:firstLine="562" w:firstLineChars="200"/>
        <w:contextualSpacing/>
        <w:jc w:val="both"/>
        <w:rPr>
          <w:rFonts w:ascii="Times New Roman" w:hAnsi="Times New Roman" w:eastAsia="仿宋" w:cs="宋体"/>
          <w:sz w:val="28"/>
          <w:szCs w:val="28"/>
          <w:lang w:eastAsia="zh-CN"/>
        </w:rPr>
      </w:pPr>
      <w:r>
        <w:rPr>
          <w:rFonts w:ascii="Times New Roman" w:hAnsi="Times New Roman" w:eastAsia="仿宋" w:cs="Times New Roman"/>
          <w:b/>
          <w:bCs/>
          <w:sz w:val="28"/>
          <w:szCs w:val="28"/>
          <w:lang w:eastAsia="zh-CN"/>
        </w:rPr>
        <w:t>1.5</w:t>
      </w:r>
      <w:r>
        <w:rPr>
          <w:rFonts w:ascii="Times New Roman" w:hAnsi="Times New Roman" w:eastAsia="仿宋" w:cs="Times New Roman"/>
          <w:bCs/>
          <w:sz w:val="28"/>
          <w:szCs w:val="28"/>
          <w:lang w:eastAsia="zh-CN"/>
        </w:rPr>
        <w:t>建设工程项目完成</w:t>
      </w:r>
      <w:r>
        <w:rPr>
          <w:rFonts w:ascii="Times New Roman" w:hAnsi="Times New Roman" w:eastAsia="仿宋" w:cs="宋体"/>
          <w:sz w:val="28"/>
          <w:szCs w:val="28"/>
          <w:lang w:eastAsia="zh-CN"/>
        </w:rPr>
        <w:t>装配式建筑施工图</w:t>
      </w:r>
      <w:r>
        <w:rPr>
          <w:rFonts w:ascii="Times New Roman" w:hAnsi="Times New Roman" w:eastAsia="仿宋" w:cs="宋体"/>
          <w:spacing w:val="-4"/>
          <w:sz w:val="28"/>
          <w:szCs w:val="28"/>
          <w:lang w:eastAsia="zh-CN"/>
        </w:rPr>
        <w:t>审查后，图审机构</w:t>
      </w:r>
      <w:r>
        <w:rPr>
          <w:rFonts w:ascii="Times New Roman" w:hAnsi="Times New Roman" w:eastAsia="仿宋" w:cs="宋体"/>
          <w:spacing w:val="-11"/>
          <w:sz w:val="28"/>
          <w:szCs w:val="28"/>
          <w:lang w:eastAsia="zh-CN"/>
        </w:rPr>
        <w:t>在《海南省建设工程图审合格证》上</w:t>
      </w:r>
      <w:r>
        <w:rPr>
          <w:rFonts w:hint="eastAsia" w:ascii="Times New Roman" w:hAnsi="Times New Roman" w:eastAsia="仿宋" w:cs="宋体"/>
          <w:spacing w:val="-11"/>
          <w:sz w:val="28"/>
          <w:szCs w:val="28"/>
          <w:lang w:eastAsia="zh-CN"/>
        </w:rPr>
        <w:t>注明该项目装配式建筑施工图设计审查合格的结论</w:t>
      </w:r>
      <w:r>
        <w:rPr>
          <w:rFonts w:ascii="Times New Roman" w:hAnsi="Times New Roman" w:eastAsia="仿宋" w:cs="宋体"/>
          <w:spacing w:val="-11"/>
          <w:sz w:val="28"/>
          <w:szCs w:val="28"/>
          <w:lang w:eastAsia="zh-CN"/>
        </w:rPr>
        <w:t>。</w:t>
      </w:r>
    </w:p>
    <w:p>
      <w:pPr>
        <w:pStyle w:val="12"/>
        <w:tabs>
          <w:tab w:val="left" w:pos="751"/>
        </w:tabs>
        <w:spacing w:line="360" w:lineRule="auto"/>
        <w:ind w:left="0" w:firstLine="558" w:firstLineChars="200"/>
        <w:contextualSpacing/>
        <w:jc w:val="both"/>
        <w:rPr>
          <w:rFonts w:ascii="Times New Roman" w:hAnsi="Times New Roman" w:eastAsia="仿宋" w:cs="宋体"/>
          <w:sz w:val="28"/>
          <w:szCs w:val="28"/>
          <w:lang w:eastAsia="zh-CN"/>
        </w:rPr>
      </w:pPr>
      <w:r>
        <w:rPr>
          <w:rFonts w:ascii="Times New Roman" w:hAnsi="Times New Roman" w:eastAsia="仿宋" w:cs="Times New Roman"/>
          <w:b/>
          <w:bCs/>
          <w:spacing w:val="-1"/>
          <w:sz w:val="28"/>
          <w:szCs w:val="28"/>
          <w:lang w:eastAsia="zh-CN"/>
        </w:rPr>
        <w:t>1.6</w:t>
      </w:r>
      <w:r>
        <w:rPr>
          <w:rFonts w:ascii="Times New Roman" w:hAnsi="Times New Roman" w:eastAsia="仿宋" w:cs="宋体"/>
          <w:spacing w:val="-2"/>
          <w:sz w:val="28"/>
          <w:szCs w:val="28"/>
          <w:lang w:eastAsia="zh-CN"/>
        </w:rPr>
        <w:t>装配式建筑施工图审查内容</w:t>
      </w:r>
      <w:r>
        <w:rPr>
          <w:rFonts w:ascii="Times New Roman" w:hAnsi="Times New Roman" w:eastAsia="仿宋" w:cs="宋体"/>
          <w:spacing w:val="-4"/>
          <w:sz w:val="28"/>
          <w:szCs w:val="28"/>
          <w:lang w:eastAsia="zh-CN"/>
        </w:rPr>
        <w:t>包含建筑、结构、水、电、室内装修、建筑与光伏一体化等各</w:t>
      </w:r>
      <w:r>
        <w:rPr>
          <w:rFonts w:ascii="Times New Roman" w:hAnsi="Times New Roman" w:eastAsia="仿宋" w:cs="宋体"/>
          <w:spacing w:val="-1"/>
          <w:sz w:val="28"/>
          <w:szCs w:val="28"/>
          <w:lang w:eastAsia="zh-CN"/>
        </w:rPr>
        <w:t>专业设计文件</w:t>
      </w:r>
      <w:r>
        <w:rPr>
          <w:rFonts w:hint="eastAsia" w:ascii="Times New Roman" w:hAnsi="Times New Roman" w:eastAsia="仿宋" w:cs="宋体"/>
          <w:spacing w:val="-1"/>
          <w:sz w:val="28"/>
          <w:szCs w:val="28"/>
          <w:lang w:eastAsia="zh-CN"/>
        </w:rPr>
        <w:t>和装配率计算书</w:t>
      </w:r>
      <w:r>
        <w:rPr>
          <w:rFonts w:ascii="Times New Roman" w:hAnsi="Times New Roman" w:eastAsia="仿宋" w:cs="宋体"/>
          <w:spacing w:val="-1"/>
          <w:sz w:val="28"/>
          <w:szCs w:val="28"/>
          <w:lang w:eastAsia="zh-CN"/>
        </w:rPr>
        <w:t>，审查意见分别反映在相关专业施工图</w:t>
      </w:r>
      <w:r>
        <w:rPr>
          <w:rFonts w:ascii="Times New Roman" w:hAnsi="Times New Roman" w:eastAsia="仿宋" w:cs="宋体"/>
          <w:spacing w:val="-11"/>
          <w:sz w:val="28"/>
          <w:szCs w:val="28"/>
          <w:lang w:eastAsia="zh-CN"/>
        </w:rPr>
        <w:t>审查意见表。</w:t>
      </w:r>
    </w:p>
    <w:p>
      <w:pPr>
        <w:pStyle w:val="12"/>
        <w:spacing w:line="360" w:lineRule="auto"/>
        <w:ind w:left="0" w:firstLine="562" w:firstLineChars="200"/>
        <w:contextualSpacing/>
        <w:jc w:val="both"/>
        <w:rPr>
          <w:rFonts w:ascii="Times New Roman" w:hAnsi="Times New Roman" w:eastAsia="仿宋" w:cs="宋体"/>
          <w:sz w:val="28"/>
          <w:szCs w:val="28"/>
          <w:lang w:eastAsia="zh-CN"/>
        </w:rPr>
      </w:pPr>
      <w:r>
        <w:rPr>
          <w:rFonts w:ascii="Times New Roman" w:hAnsi="Times New Roman" w:eastAsia="仿宋" w:cs="Times New Roman"/>
          <w:b/>
          <w:bCs/>
          <w:sz w:val="28"/>
          <w:szCs w:val="28"/>
          <w:lang w:eastAsia="zh-CN"/>
        </w:rPr>
        <w:t>1.7</w:t>
      </w:r>
      <w:r>
        <w:rPr>
          <w:rFonts w:ascii="Times New Roman" w:hAnsi="Times New Roman" w:eastAsia="仿宋" w:cs="宋体"/>
          <w:spacing w:val="-4"/>
          <w:sz w:val="28"/>
          <w:szCs w:val="28"/>
          <w:lang w:eastAsia="zh-CN"/>
        </w:rPr>
        <w:t>当房屋高度、规则性、设计方案和预制构件连接类型等超出国家、地方装配式建筑设计标准</w:t>
      </w:r>
      <w:r>
        <w:rPr>
          <w:rFonts w:ascii="Times New Roman" w:hAnsi="Times New Roman" w:eastAsia="仿宋" w:cs="宋体"/>
          <w:sz w:val="28"/>
          <w:szCs w:val="28"/>
          <w:lang w:eastAsia="zh-CN"/>
        </w:rPr>
        <w:t>的规定时，</w:t>
      </w:r>
      <w:r>
        <w:rPr>
          <w:rFonts w:ascii="Times New Roman" w:hAnsi="Times New Roman" w:eastAsia="仿宋" w:cs="宋体"/>
          <w:spacing w:val="-99"/>
          <w:sz w:val="28"/>
          <w:szCs w:val="28"/>
          <w:lang w:eastAsia="zh-CN"/>
        </w:rPr>
        <w:t xml:space="preserve"> </w:t>
      </w:r>
      <w:r>
        <w:rPr>
          <w:rFonts w:ascii="Times New Roman" w:hAnsi="Times New Roman" w:eastAsia="仿宋" w:cs="宋体"/>
          <w:sz w:val="28"/>
          <w:szCs w:val="28"/>
          <w:lang w:eastAsia="zh-CN"/>
        </w:rPr>
        <w:t>应先进行专门研究和论证。</w:t>
      </w:r>
    </w:p>
    <w:p>
      <w:pPr>
        <w:pStyle w:val="12"/>
        <w:spacing w:line="360" w:lineRule="auto"/>
        <w:ind w:left="0" w:firstLine="562" w:firstLineChars="200"/>
        <w:contextualSpacing/>
        <w:jc w:val="both"/>
        <w:rPr>
          <w:rFonts w:hint="eastAsia" w:ascii="Times New Roman" w:hAnsi="Times New Roman" w:eastAsia="仿宋" w:cs="宋体"/>
          <w:sz w:val="28"/>
          <w:szCs w:val="28"/>
          <w:lang w:eastAsia="zh-CN"/>
        </w:rPr>
      </w:pPr>
      <w:r>
        <w:rPr>
          <w:rFonts w:hint="eastAsia" w:ascii="Times New Roman" w:hAnsi="Times New Roman" w:eastAsia="仿宋" w:cs="宋体"/>
          <w:b/>
          <w:sz w:val="28"/>
          <w:szCs w:val="28"/>
          <w:lang w:eastAsia="zh-CN"/>
        </w:rPr>
        <w:t>1</w:t>
      </w:r>
      <w:r>
        <w:rPr>
          <w:rFonts w:ascii="Times New Roman" w:hAnsi="Times New Roman" w:eastAsia="仿宋" w:cs="宋体"/>
          <w:b/>
          <w:sz w:val="28"/>
          <w:szCs w:val="28"/>
          <w:lang w:eastAsia="zh-CN"/>
        </w:rPr>
        <w:t xml:space="preserve">.8  </w:t>
      </w:r>
      <w:r>
        <w:rPr>
          <w:rFonts w:hint="eastAsia" w:ascii="Times New Roman" w:hAnsi="Times New Roman" w:eastAsia="仿宋" w:cs="宋体"/>
          <w:sz w:val="28"/>
          <w:szCs w:val="28"/>
          <w:lang w:eastAsia="zh-CN"/>
        </w:rPr>
        <w:t>如出现同一得分项计算及指标的不同要求，例如集成厨房、集成卫生间的要求随着标准、规则的修订而不断提高，应按照最新发布的标准要求执行。</w:t>
      </w:r>
    </w:p>
    <w:p>
      <w:pPr>
        <w:pStyle w:val="2"/>
        <w:tabs>
          <w:tab w:val="left" w:pos="719"/>
        </w:tabs>
        <w:spacing w:line="360" w:lineRule="auto"/>
        <w:ind w:right="98"/>
        <w:jc w:val="center"/>
        <w:rPr>
          <w:rFonts w:ascii="Times New Roman" w:hAnsi="Times New Roman" w:eastAsia="Trebuchet MS" w:cs="Trebuchet MS"/>
          <w:b w:val="0"/>
          <w:bCs w:val="0"/>
          <w:sz w:val="39"/>
          <w:szCs w:val="39"/>
          <w:lang w:eastAsia="zh-CN"/>
        </w:rPr>
      </w:pPr>
      <w:bookmarkStart w:id="3" w:name="_Toc136536502"/>
      <w:r>
        <w:rPr>
          <w:rFonts w:ascii="Times New Roman" w:hAnsi="Times New Roman" w:eastAsia="Trebuchet MS" w:cs="Trebuchet MS"/>
          <w:sz w:val="39"/>
          <w:szCs w:val="39"/>
          <w:lang w:eastAsia="zh-CN"/>
        </w:rPr>
        <w:t>2.</w:t>
      </w:r>
      <w:r>
        <w:rPr>
          <w:rFonts w:hint="eastAsia" w:ascii="Times New Roman" w:hAnsi="Times New Roman" w:eastAsia="Trebuchet MS" w:cs="Trebuchet MS"/>
          <w:sz w:val="39"/>
          <w:szCs w:val="39"/>
          <w:lang w:eastAsia="zh-CN"/>
        </w:rPr>
        <w:t>施工图审查要点</w:t>
      </w:r>
      <w:bookmarkEnd w:id="3"/>
    </w:p>
    <w:p>
      <w:pPr>
        <w:pStyle w:val="3"/>
        <w:spacing w:line="360" w:lineRule="auto"/>
        <w:jc w:val="center"/>
        <w:rPr>
          <w:rFonts w:ascii="Times New Roman" w:hAnsi="Times New Roman" w:eastAsia="微软雅黑" w:cs="微软雅黑"/>
          <w:sz w:val="32"/>
          <w:lang w:eastAsia="zh-CN"/>
        </w:rPr>
      </w:pPr>
      <w:bookmarkStart w:id="4" w:name="_Toc136536503"/>
      <w:r>
        <w:rPr>
          <w:rFonts w:ascii="Times New Roman" w:hAnsi="Times New Roman" w:eastAsia="Trebuchet MS" w:cs="Trebuchet MS"/>
          <w:b/>
          <w:bCs/>
          <w:sz w:val="32"/>
          <w:szCs w:val="28"/>
          <w:lang w:eastAsia="zh-CN"/>
        </w:rPr>
        <w:t>2.1</w:t>
      </w:r>
      <w:r>
        <w:rPr>
          <w:rFonts w:ascii="Times New Roman" w:hAnsi="Times New Roman" w:eastAsia="Trebuchet MS" w:cs="Trebuchet MS"/>
          <w:b/>
          <w:bCs/>
          <w:spacing w:val="47"/>
          <w:sz w:val="32"/>
          <w:szCs w:val="28"/>
          <w:lang w:eastAsia="zh-CN"/>
        </w:rPr>
        <w:t xml:space="preserve"> </w:t>
      </w:r>
      <w:r>
        <w:rPr>
          <w:rFonts w:hint="eastAsia" w:ascii="Times New Roman" w:hAnsi="Times New Roman" w:eastAsia="微软雅黑" w:cs="微软雅黑"/>
          <w:sz w:val="32"/>
          <w:szCs w:val="28"/>
          <w:lang w:eastAsia="zh-CN"/>
        </w:rPr>
        <w:t>建筑专业</w:t>
      </w:r>
      <w:bookmarkEnd w:id="4"/>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2.1.1设计说明</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1)</w:t>
      </w:r>
      <w:r>
        <w:rPr>
          <w:rFonts w:hint="eastAsia" w:ascii="Times New Roman" w:hAnsi="Times New Roman" w:eastAsia="仿宋"/>
          <w:sz w:val="28"/>
          <w:szCs w:val="28"/>
          <w:lang w:eastAsia="zh-CN"/>
        </w:rPr>
        <w:t>装配式建筑设计概况及设计依据；</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w:t>
      </w:r>
      <w:r>
        <w:rPr>
          <w:rFonts w:hint="eastAsia" w:ascii="Times New Roman" w:hAnsi="Times New Roman" w:eastAsia="仿宋"/>
          <w:sz w:val="28"/>
          <w:szCs w:val="28"/>
          <w:lang w:eastAsia="zh-CN"/>
        </w:rPr>
        <w:t>装配式建筑设计的目标和定位；</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3)</w:t>
      </w:r>
      <w:r>
        <w:rPr>
          <w:rFonts w:hint="eastAsia" w:ascii="Times New Roman" w:hAnsi="Times New Roman" w:eastAsia="仿宋"/>
          <w:sz w:val="28"/>
          <w:szCs w:val="28"/>
          <w:lang w:eastAsia="zh-CN"/>
        </w:rPr>
        <w:t>装配式建筑装配率得分表；</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建筑专业相关的装配式建筑技术选项内容，拟采用的技术措施，围护墙与内隔墙体系、装饰装修体系、</w:t>
      </w:r>
      <w:r>
        <w:rPr>
          <w:rFonts w:ascii="Times New Roman" w:hAnsi="Times New Roman" w:eastAsia="仿宋"/>
          <w:sz w:val="28"/>
          <w:szCs w:val="28"/>
          <w:lang w:eastAsia="zh-CN"/>
        </w:rPr>
        <w:t>材料</w:t>
      </w:r>
      <w:r>
        <w:rPr>
          <w:rFonts w:hint="eastAsia" w:ascii="Times New Roman" w:hAnsi="Times New Roman" w:eastAsia="仿宋"/>
          <w:sz w:val="28"/>
          <w:szCs w:val="28"/>
          <w:lang w:eastAsia="zh-CN"/>
        </w:rPr>
        <w:t>选型等是否满足功能需求，如标准化设计要点、预制部位、装配节点等技术应用说明；</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 xml:space="preserve">5) </w:t>
      </w:r>
      <w:r>
        <w:rPr>
          <w:rFonts w:hint="eastAsia" w:ascii="Times New Roman" w:hAnsi="Times New Roman" w:eastAsia="仿宋"/>
          <w:sz w:val="28"/>
          <w:szCs w:val="28"/>
          <w:lang w:eastAsia="zh-CN"/>
        </w:rPr>
        <w:t>装配式构件的构造层次及节点做法，节点做法、</w:t>
      </w:r>
      <w:r>
        <w:rPr>
          <w:rFonts w:ascii="Times New Roman" w:hAnsi="Times New Roman" w:eastAsia="仿宋"/>
          <w:sz w:val="28"/>
          <w:szCs w:val="28"/>
          <w:lang w:eastAsia="zh-CN"/>
        </w:rPr>
        <w:t>防水</w:t>
      </w:r>
      <w:r>
        <w:rPr>
          <w:rFonts w:hint="eastAsia" w:ascii="Times New Roman" w:hAnsi="Times New Roman" w:eastAsia="仿宋"/>
          <w:sz w:val="28"/>
          <w:szCs w:val="28"/>
          <w:lang w:eastAsia="zh-CN"/>
        </w:rPr>
        <w:t>性能、</w:t>
      </w:r>
      <w:r>
        <w:rPr>
          <w:rFonts w:ascii="Times New Roman" w:hAnsi="Times New Roman" w:eastAsia="仿宋"/>
          <w:sz w:val="28"/>
          <w:szCs w:val="28"/>
          <w:lang w:eastAsia="zh-CN"/>
        </w:rPr>
        <w:t>耐久</w:t>
      </w:r>
      <w:r>
        <w:rPr>
          <w:rFonts w:hint="eastAsia" w:ascii="Times New Roman" w:hAnsi="Times New Roman" w:eastAsia="仿宋"/>
          <w:sz w:val="28"/>
          <w:szCs w:val="28"/>
          <w:lang w:eastAsia="zh-CN"/>
        </w:rPr>
        <w:t>性能、隔墙体系一体化性能等是否合理可行，例如当采用预制外墙时，应注明预制外墙外饰面做法等；</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6</w:t>
      </w:r>
      <w:r>
        <w:rPr>
          <w:rFonts w:hint="eastAsia" w:ascii="Times New Roman" w:hAnsi="Times New Roman" w:eastAsia="仿宋"/>
          <w:sz w:val="28"/>
          <w:szCs w:val="28"/>
          <w:lang w:eastAsia="zh-CN"/>
        </w:rPr>
        <w:t>）各主要部位的</w:t>
      </w:r>
      <w:r>
        <w:rPr>
          <w:rFonts w:ascii="Times New Roman" w:hAnsi="Times New Roman" w:eastAsia="仿宋"/>
          <w:sz w:val="28"/>
          <w:szCs w:val="28"/>
          <w:lang w:eastAsia="zh-CN"/>
        </w:rPr>
        <w:t>装饰装修</w:t>
      </w:r>
      <w:r>
        <w:rPr>
          <w:rFonts w:hint="eastAsia" w:ascii="Times New Roman" w:hAnsi="Times New Roman" w:eastAsia="仿宋"/>
          <w:sz w:val="28"/>
          <w:szCs w:val="28"/>
          <w:lang w:eastAsia="zh-CN"/>
        </w:rPr>
        <w:t>做法表。</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2.1.2平面图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建筑平面图中用图例注明不同预制构件位置，并标注构件编号、尺寸等信息。平面图中表达内容与装配式建筑计算书中数据及应用比例是否匹配，</w:t>
      </w:r>
      <w:r>
        <w:rPr>
          <w:rFonts w:ascii="Times New Roman" w:hAnsi="Times New Roman" w:eastAsia="仿宋"/>
          <w:sz w:val="28"/>
          <w:szCs w:val="28"/>
          <w:lang w:eastAsia="zh-CN"/>
        </w:rPr>
        <w:t>预制</w:t>
      </w:r>
      <w:r>
        <w:rPr>
          <w:rFonts w:hint="eastAsia" w:ascii="Times New Roman" w:hAnsi="Times New Roman" w:eastAsia="仿宋"/>
          <w:sz w:val="28"/>
          <w:szCs w:val="28"/>
          <w:lang w:eastAsia="zh-CN"/>
        </w:rPr>
        <w:t>构件布置位置是否合理。</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2.1.3</w:t>
      </w:r>
      <w:r>
        <w:rPr>
          <w:rFonts w:hint="eastAsia" w:ascii="Times New Roman" w:hAnsi="Times New Roman" w:eastAsia="仿宋"/>
          <w:sz w:val="28"/>
          <w:szCs w:val="28"/>
          <w:lang w:eastAsia="zh-CN"/>
        </w:rPr>
        <w:t>按照建筑制图标准规定的不同图例示意，装配式建筑立面应反映出预制构件的分块拼缝，包括拼缝分布位置及宽度等。</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2.1.4</w:t>
      </w:r>
      <w:r>
        <w:rPr>
          <w:rFonts w:hint="eastAsia" w:ascii="Times New Roman" w:hAnsi="Times New Roman" w:eastAsia="仿宋"/>
          <w:sz w:val="28"/>
          <w:szCs w:val="28"/>
          <w:lang w:eastAsia="zh-CN"/>
        </w:rPr>
        <w:t>墙身大样详图、构造节点详图、平面放大详图、集成厨房、集成卫生间及楼梯详图、隔墙体系一体化详图应表达预制构件与主体之间、预制构件之间、敷设管线之间的水平、竖向构造关系，构件连接、防水、保温等交接关系和构造做法是否合理可行。</w:t>
      </w:r>
    </w:p>
    <w:p>
      <w:pPr>
        <w:spacing w:line="360" w:lineRule="auto"/>
        <w:jc w:val="center"/>
        <w:rPr>
          <w:rFonts w:ascii="Times New Roman" w:hAnsi="Times New Roman" w:eastAsia="Trebuchet MS" w:cs="Trebuchet MS"/>
          <w:b/>
          <w:bCs/>
          <w:sz w:val="32"/>
          <w:lang w:eastAsia="zh-CN"/>
        </w:rPr>
      </w:pPr>
      <w:bookmarkStart w:id="5" w:name="_Toc136536504"/>
      <w:bookmarkStart w:id="6" w:name="_Toc125036660"/>
      <w:r>
        <w:rPr>
          <w:rFonts w:ascii="Times New Roman" w:hAnsi="Times New Roman" w:eastAsia="Trebuchet MS" w:cs="Trebuchet MS"/>
          <w:b/>
          <w:bCs/>
          <w:sz w:val="32"/>
          <w:lang w:eastAsia="zh-CN"/>
        </w:rPr>
        <w:br w:type="page"/>
      </w:r>
    </w:p>
    <w:p>
      <w:pPr>
        <w:pStyle w:val="3"/>
        <w:spacing w:line="360" w:lineRule="auto"/>
        <w:jc w:val="center"/>
        <w:rPr>
          <w:rFonts w:ascii="Times New Roman" w:hAnsi="Times New Roman" w:eastAsia="微软雅黑" w:cs="微软雅黑"/>
          <w:sz w:val="32"/>
          <w:lang w:eastAsia="zh-CN"/>
        </w:rPr>
      </w:pPr>
      <w:r>
        <w:rPr>
          <w:rFonts w:ascii="Times New Roman" w:hAnsi="Times New Roman" w:eastAsia="Trebuchet MS" w:cs="Trebuchet MS"/>
          <w:b/>
          <w:bCs/>
          <w:sz w:val="32"/>
          <w:lang w:eastAsia="zh-CN"/>
        </w:rPr>
        <w:t>2.2</w:t>
      </w:r>
      <w:r>
        <w:rPr>
          <w:rFonts w:ascii="Times New Roman" w:hAnsi="Times New Roman" w:eastAsia="微软雅黑" w:cs="微软雅黑"/>
          <w:b/>
          <w:bCs/>
          <w:sz w:val="32"/>
          <w:lang w:eastAsia="zh-CN"/>
        </w:rPr>
        <w:t>结构专业</w:t>
      </w:r>
      <w:bookmarkEnd w:id="5"/>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2.2.1</w:t>
      </w:r>
      <w:r>
        <w:rPr>
          <w:rFonts w:hint="eastAsia" w:ascii="Times New Roman" w:hAnsi="Times New Roman" w:eastAsia="仿宋"/>
          <w:sz w:val="28"/>
          <w:szCs w:val="28"/>
          <w:lang w:eastAsia="zh-CN"/>
        </w:rPr>
        <w:t>设计说明</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1)</w:t>
      </w:r>
      <w:r>
        <w:rPr>
          <w:rFonts w:hint="eastAsia" w:ascii="Times New Roman" w:hAnsi="Times New Roman" w:eastAsia="仿宋"/>
          <w:sz w:val="28"/>
          <w:szCs w:val="28"/>
          <w:lang w:eastAsia="zh-CN"/>
        </w:rPr>
        <w:t>装配式结构体系及类型，采用的主要预制构件形式是否安全、合理、可行；</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w:t>
      </w:r>
      <w:r>
        <w:rPr>
          <w:rFonts w:hint="eastAsia" w:ascii="Times New Roman" w:hAnsi="Times New Roman" w:eastAsia="仿宋"/>
          <w:sz w:val="28"/>
          <w:szCs w:val="28"/>
          <w:lang w:eastAsia="zh-CN"/>
        </w:rPr>
        <w:t>结构</w:t>
      </w:r>
      <w:r>
        <w:rPr>
          <w:rFonts w:ascii="Times New Roman" w:hAnsi="Times New Roman" w:eastAsia="仿宋"/>
          <w:sz w:val="28"/>
          <w:szCs w:val="28"/>
          <w:lang w:eastAsia="zh-CN"/>
        </w:rPr>
        <w:t>关键</w:t>
      </w:r>
      <w:r>
        <w:rPr>
          <w:rFonts w:hint="eastAsia" w:ascii="Times New Roman" w:hAnsi="Times New Roman" w:eastAsia="仿宋"/>
          <w:sz w:val="28"/>
          <w:szCs w:val="28"/>
          <w:lang w:eastAsia="zh-CN"/>
        </w:rPr>
        <w:t>节点及构件的抗震构造措施是否合理；</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3)</w:t>
      </w:r>
      <w:r>
        <w:rPr>
          <w:rFonts w:hint="eastAsia" w:ascii="Times New Roman" w:hAnsi="Times New Roman" w:eastAsia="仿宋"/>
          <w:sz w:val="28"/>
          <w:szCs w:val="28"/>
          <w:lang w:eastAsia="zh-CN"/>
        </w:rPr>
        <w:t>结构设计依据及配套图集；</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结构的抗震、</w:t>
      </w:r>
      <w:r>
        <w:rPr>
          <w:rFonts w:ascii="Times New Roman" w:hAnsi="Times New Roman" w:eastAsia="仿宋"/>
          <w:sz w:val="28"/>
          <w:szCs w:val="28"/>
          <w:lang w:eastAsia="zh-CN"/>
        </w:rPr>
        <w:t>抗风</w:t>
      </w:r>
      <w:r>
        <w:rPr>
          <w:rFonts w:hint="eastAsia" w:ascii="Times New Roman" w:hAnsi="Times New Roman" w:eastAsia="仿宋"/>
          <w:sz w:val="28"/>
          <w:szCs w:val="28"/>
          <w:lang w:eastAsia="zh-CN"/>
        </w:rPr>
        <w:t>设计关键参数是否符合规范要求；</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5)</w:t>
      </w:r>
      <w:r>
        <w:rPr>
          <w:rFonts w:hint="eastAsia" w:ascii="Times New Roman" w:hAnsi="Times New Roman" w:eastAsia="仿宋"/>
          <w:sz w:val="28"/>
          <w:szCs w:val="28"/>
          <w:lang w:eastAsia="zh-CN"/>
        </w:rPr>
        <w:t>预制构件制作和安装施工说明，包括对材料、质量检验、运输、堆放、存储和安装施工的要求等；</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6</w:t>
      </w:r>
      <w:r>
        <w:rPr>
          <w:rFonts w:ascii="Times New Roman" w:hAnsi="Times New Roman" w:eastAsia="仿宋"/>
          <w:sz w:val="28"/>
          <w:szCs w:val="28"/>
          <w:lang w:eastAsia="zh-CN"/>
        </w:rPr>
        <w:t>)</w:t>
      </w:r>
      <w:r>
        <w:rPr>
          <w:rFonts w:hint="eastAsia" w:ascii="Times New Roman" w:hAnsi="Times New Roman" w:eastAsia="仿宋"/>
          <w:sz w:val="28"/>
          <w:szCs w:val="28"/>
          <w:lang w:eastAsia="zh-CN"/>
        </w:rPr>
        <w:t>新型装配式结构体系应提供相关研究结论及技术论证意见。</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2.2.2</w:t>
      </w:r>
      <w:r>
        <w:rPr>
          <w:rFonts w:hint="eastAsia" w:ascii="Times New Roman" w:hAnsi="Times New Roman" w:eastAsia="仿宋"/>
          <w:sz w:val="28"/>
          <w:szCs w:val="28"/>
          <w:lang w:eastAsia="zh-CN"/>
        </w:rPr>
        <w:t>平面图</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1)</w:t>
      </w:r>
      <w:r>
        <w:rPr>
          <w:rFonts w:hint="eastAsia" w:ascii="Times New Roman" w:hAnsi="Times New Roman" w:eastAsia="仿宋"/>
          <w:sz w:val="28"/>
          <w:szCs w:val="28"/>
          <w:lang w:eastAsia="zh-CN"/>
        </w:rPr>
        <w:t>结构整体布置图中用不同的填充符号标明预制构件和非预制构件；</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w:t>
      </w:r>
      <w:r>
        <w:rPr>
          <w:rFonts w:hint="eastAsia" w:ascii="Times New Roman" w:hAnsi="Times New Roman" w:eastAsia="仿宋"/>
          <w:sz w:val="28"/>
          <w:szCs w:val="28"/>
          <w:lang w:eastAsia="zh-CN"/>
        </w:rPr>
        <w:t>注明预制构件编号，给出预制构件编号、型号对应关系以及详图索引号；</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3)</w:t>
      </w:r>
      <w:r>
        <w:rPr>
          <w:rFonts w:hint="eastAsia" w:ascii="Times New Roman" w:hAnsi="Times New Roman" w:eastAsia="仿宋"/>
          <w:sz w:val="28"/>
          <w:szCs w:val="28"/>
          <w:lang w:eastAsia="zh-CN"/>
        </w:rPr>
        <w:t>当选用标准图中节点或另绘节点构造详图时，应在平面图中注明详图索引号；</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楼梯间可绘斜线注明编号与所在详图号，也可直接绘制预制楼梯平面布置并索引相关详图。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5</w:t>
      </w:r>
      <w:r>
        <w:rPr>
          <w:rFonts w:ascii="Times New Roman" w:hAnsi="Times New Roman" w:eastAsia="仿宋"/>
          <w:sz w:val="28"/>
          <w:szCs w:val="28"/>
          <w:lang w:eastAsia="zh-CN"/>
        </w:rPr>
        <w:t>)</w:t>
      </w:r>
      <w:r>
        <w:rPr>
          <w:rFonts w:hint="eastAsia" w:ascii="Times New Roman" w:hAnsi="Times New Roman" w:eastAsia="仿宋"/>
          <w:sz w:val="28"/>
          <w:szCs w:val="28"/>
          <w:lang w:eastAsia="zh-CN"/>
        </w:rPr>
        <w:t>应用体系及数据比例是否与装配率计算书中保持一致。</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2.2.3</w:t>
      </w:r>
      <w:r>
        <w:rPr>
          <w:rFonts w:hint="eastAsia" w:ascii="Times New Roman" w:hAnsi="Times New Roman" w:eastAsia="仿宋"/>
          <w:sz w:val="28"/>
          <w:szCs w:val="28"/>
          <w:lang w:eastAsia="zh-CN"/>
        </w:rPr>
        <w:t>详图</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1</w:t>
      </w:r>
      <w:r>
        <w:rPr>
          <w:rFonts w:hint="eastAsia" w:ascii="Times New Roman" w:hAnsi="Times New Roman" w:eastAsia="仿宋"/>
          <w:sz w:val="28"/>
          <w:szCs w:val="28"/>
          <w:lang w:eastAsia="zh-CN"/>
        </w:rPr>
        <w:t>）构件模板信息：应有模板尺寸、预留洞及预埋件位置和尺寸、预埋件编号、必要的标高等，后张预应力构件尚需表示预留孔道的定位尺寸、张拉端、锚固端等；</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w:t>
      </w:r>
      <w:r>
        <w:rPr>
          <w:rFonts w:hint="eastAsia" w:ascii="Times New Roman" w:hAnsi="Times New Roman" w:eastAsia="仿宋"/>
          <w:sz w:val="28"/>
          <w:szCs w:val="28"/>
          <w:lang w:eastAsia="zh-CN"/>
        </w:rPr>
        <w:t>）构件配筋信息：纵剖面表示纵筋形式、箍筋直径与间距，配筋复杂时宜将非预应力筋分离绘出；横剖面注明断面尺寸、钢筋规格及数量等；</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3</w:t>
      </w:r>
      <w:r>
        <w:rPr>
          <w:rFonts w:hint="eastAsia" w:ascii="Times New Roman" w:hAnsi="Times New Roman" w:eastAsia="仿宋"/>
          <w:sz w:val="28"/>
          <w:szCs w:val="28"/>
          <w:lang w:eastAsia="zh-CN"/>
        </w:rPr>
        <w:t>）构件简单时模板图和配筋图可合为一张；对形状简单规则的预制构件，满足上述规定可用列表法绘制。</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）结构节点构造详图梁、柱与墙体锚拉等详图应绘出平、剖面，注明相互定位关系。</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5）构件代号、连接材料、附加钢筋（或埋件）的规格、型号及数量，并注明连接方法以及对施工安装、后浇混凝土的有关要求等。</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 xml:space="preserve">2.2.4 </w:t>
      </w:r>
      <w:r>
        <w:rPr>
          <w:rFonts w:hint="eastAsia" w:ascii="Times New Roman" w:hAnsi="Times New Roman" w:eastAsia="仿宋"/>
          <w:sz w:val="28"/>
          <w:szCs w:val="28"/>
          <w:lang w:eastAsia="zh-CN"/>
        </w:rPr>
        <w:t>结构计算书</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 xml:space="preserve">1) </w:t>
      </w:r>
      <w:r>
        <w:rPr>
          <w:rFonts w:hint="eastAsia" w:ascii="Times New Roman" w:hAnsi="Times New Roman" w:eastAsia="仿宋"/>
          <w:sz w:val="28"/>
          <w:szCs w:val="28"/>
          <w:lang w:eastAsia="zh-CN"/>
        </w:rPr>
        <w:t>装配式结构整体计算相关系数应按照规范要求调整，连接接缝应按照规范要求进行计算；无支撑叠合构件应进行两阶段验算；</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 xml:space="preserve">2) </w:t>
      </w:r>
      <w:r>
        <w:rPr>
          <w:rFonts w:hint="eastAsia" w:ascii="Times New Roman" w:hAnsi="Times New Roman" w:eastAsia="仿宋"/>
          <w:sz w:val="28"/>
          <w:szCs w:val="28"/>
          <w:lang w:eastAsia="zh-CN"/>
        </w:rPr>
        <w:t>采用预制外墙时，连接件连接构造应符合其产品说明的要求，当采用没有定型的新型连接件时，应有结构计算书或结构试验验证；</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 xml:space="preserve">3) </w:t>
      </w:r>
      <w:r>
        <w:rPr>
          <w:rFonts w:hint="eastAsia" w:ascii="Times New Roman" w:hAnsi="Times New Roman" w:eastAsia="仿宋"/>
          <w:sz w:val="28"/>
          <w:szCs w:val="28"/>
          <w:lang w:eastAsia="zh-CN"/>
        </w:rPr>
        <w:t>外挂墙板的板片计算、连接节点承载力计算。</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）预制构件脱模、吊装和安装定位、连接施工等阶段的复核验算和预设连接件、预埋件、临时固定支撑等施工阶段的设计和验算；</w:t>
      </w:r>
    </w:p>
    <w:bookmarkEnd w:id="6"/>
    <w:p>
      <w:pPr>
        <w:pStyle w:val="3"/>
        <w:spacing w:line="360" w:lineRule="auto"/>
        <w:jc w:val="center"/>
        <w:rPr>
          <w:rFonts w:ascii="Times New Roman" w:hAnsi="Times New Roman" w:eastAsia="微软雅黑" w:cs="微软雅黑"/>
          <w:sz w:val="32"/>
          <w:lang w:eastAsia="zh-CN"/>
        </w:rPr>
      </w:pPr>
      <w:bookmarkStart w:id="7" w:name="_Toc136536505"/>
      <w:bookmarkStart w:id="8" w:name="_Toc125036662"/>
      <w:r>
        <w:rPr>
          <w:rFonts w:ascii="Times New Roman" w:hAnsi="Times New Roman" w:eastAsia="Trebuchet MS" w:cs="Trebuchet MS"/>
          <w:b/>
          <w:bCs/>
          <w:sz w:val="32"/>
          <w:lang w:eastAsia="zh-CN"/>
        </w:rPr>
        <w:t>2.3</w:t>
      </w:r>
      <w:r>
        <w:rPr>
          <w:rFonts w:hint="eastAsia" w:ascii="Times New Roman" w:hAnsi="Times New Roman" w:eastAsia="微软雅黑" w:cs="微软雅黑"/>
          <w:b/>
          <w:bCs/>
          <w:sz w:val="32"/>
          <w:lang w:eastAsia="zh-CN"/>
        </w:rPr>
        <w:t>设备</w:t>
      </w:r>
      <w:r>
        <w:rPr>
          <w:rFonts w:ascii="Times New Roman" w:hAnsi="Times New Roman" w:eastAsia="微软雅黑" w:cs="微软雅黑"/>
          <w:b/>
          <w:bCs/>
          <w:sz w:val="32"/>
          <w:lang w:eastAsia="zh-CN"/>
        </w:rPr>
        <w:t>专业</w:t>
      </w:r>
      <w:bookmarkEnd w:id="7"/>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2.3.1</w:t>
      </w:r>
      <w:r>
        <w:rPr>
          <w:rFonts w:hint="eastAsia" w:ascii="Times New Roman" w:hAnsi="Times New Roman" w:eastAsia="仿宋"/>
          <w:sz w:val="28"/>
          <w:szCs w:val="28"/>
          <w:lang w:eastAsia="zh-CN"/>
        </w:rPr>
        <w:t>设计说明</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1</w:t>
      </w:r>
      <w:r>
        <w:rPr>
          <w:rFonts w:hint="eastAsia" w:ascii="Times New Roman" w:hAnsi="Times New Roman" w:eastAsia="仿宋"/>
          <w:sz w:val="28"/>
          <w:szCs w:val="28"/>
          <w:lang w:eastAsia="zh-CN"/>
        </w:rPr>
        <w:t>）设备各专业管线分离专项说明及主要技术措施。</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w:t>
      </w:r>
      <w:r>
        <w:rPr>
          <w:rFonts w:hint="eastAsia" w:ascii="Times New Roman" w:hAnsi="Times New Roman" w:eastAsia="仿宋"/>
          <w:sz w:val="28"/>
          <w:szCs w:val="28"/>
          <w:lang w:eastAsia="zh-CN"/>
        </w:rPr>
        <w:t>）集成厨、卫、户内及公共区域管线布置情况、管井布置、管线与结构分离情况。</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3</w:t>
      </w:r>
      <w:r>
        <w:rPr>
          <w:rFonts w:hint="eastAsia" w:ascii="Times New Roman" w:hAnsi="Times New Roman" w:eastAsia="仿宋"/>
          <w:sz w:val="28"/>
          <w:szCs w:val="28"/>
          <w:lang w:eastAsia="zh-CN"/>
        </w:rPr>
        <w:t>）管线敷设方式；管道、管件及附件等设置预制墙体内的位置及做法；说明预留孔洞、沟槽做法、预埋套管、管道安装方式及预留孔洞、管槽等的尺寸情况。</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4</w:t>
      </w:r>
      <w:r>
        <w:rPr>
          <w:rFonts w:hint="eastAsia" w:ascii="Times New Roman" w:hAnsi="Times New Roman" w:eastAsia="仿宋"/>
          <w:sz w:val="28"/>
          <w:szCs w:val="28"/>
          <w:lang w:eastAsia="zh-CN"/>
        </w:rPr>
        <w:t>）墙内预留机电设备时的隔声及防水措施；管线穿过预制构件部位采取相应的防水、防火、隔声、保温等措施。</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2.3.2</w:t>
      </w:r>
      <w:r>
        <w:rPr>
          <w:rFonts w:hint="eastAsia" w:ascii="Times New Roman" w:hAnsi="Times New Roman" w:eastAsia="仿宋"/>
          <w:sz w:val="28"/>
          <w:szCs w:val="28"/>
          <w:lang w:eastAsia="zh-CN"/>
        </w:rPr>
        <w:t>平面图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是否采用图例表达可分离、</w:t>
      </w:r>
      <w:r>
        <w:rPr>
          <w:rFonts w:ascii="Times New Roman" w:hAnsi="Times New Roman" w:eastAsia="仿宋"/>
          <w:sz w:val="28"/>
          <w:szCs w:val="28"/>
          <w:lang w:eastAsia="zh-CN"/>
        </w:rPr>
        <w:t>不</w:t>
      </w:r>
      <w:r>
        <w:rPr>
          <w:rFonts w:hint="eastAsia" w:ascii="Times New Roman" w:hAnsi="Times New Roman" w:eastAsia="仿宋"/>
          <w:sz w:val="28"/>
          <w:szCs w:val="28"/>
          <w:lang w:eastAsia="zh-CN"/>
        </w:rPr>
        <w:t>可分离管线，</w:t>
      </w:r>
      <w:r>
        <w:rPr>
          <w:rFonts w:ascii="Times New Roman" w:hAnsi="Times New Roman" w:eastAsia="仿宋"/>
          <w:sz w:val="28"/>
          <w:szCs w:val="28"/>
          <w:lang w:eastAsia="zh-CN"/>
        </w:rPr>
        <w:t>并</w:t>
      </w:r>
      <w:r>
        <w:rPr>
          <w:rFonts w:hint="eastAsia" w:ascii="Times New Roman" w:hAnsi="Times New Roman" w:eastAsia="仿宋"/>
          <w:sz w:val="28"/>
          <w:szCs w:val="28"/>
          <w:lang w:eastAsia="zh-CN"/>
        </w:rPr>
        <w:t>标注其尺寸，汇总可分离及不可分离管线长度数据。审查分离数据是否与装配率计算书保持一致。</w:t>
      </w:r>
    </w:p>
    <w:p>
      <w:pPr>
        <w:pStyle w:val="3"/>
        <w:spacing w:line="360" w:lineRule="auto"/>
        <w:jc w:val="center"/>
        <w:rPr>
          <w:rFonts w:ascii="Times New Roman" w:hAnsi="Times New Roman" w:eastAsia="微软雅黑" w:cs="微软雅黑"/>
          <w:sz w:val="32"/>
          <w:lang w:eastAsia="zh-CN"/>
        </w:rPr>
      </w:pPr>
      <w:bookmarkStart w:id="9" w:name="_Toc136536506"/>
      <w:r>
        <w:rPr>
          <w:rFonts w:ascii="Times New Roman" w:hAnsi="Times New Roman" w:eastAsia="Trebuchet MS" w:cs="Trebuchet MS"/>
          <w:b/>
          <w:bCs/>
          <w:sz w:val="32"/>
          <w:lang w:eastAsia="zh-CN"/>
        </w:rPr>
        <w:t>2.4</w:t>
      </w:r>
      <w:r>
        <w:rPr>
          <w:rFonts w:ascii="Times New Roman" w:hAnsi="Times New Roman" w:eastAsia="微软雅黑" w:cs="微软雅黑"/>
          <w:b/>
          <w:bCs/>
          <w:sz w:val="32"/>
          <w:lang w:eastAsia="zh-CN"/>
        </w:rPr>
        <w:t>装饰装修</w:t>
      </w:r>
      <w:bookmarkEnd w:id="9"/>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2.4.1</w:t>
      </w:r>
      <w:r>
        <w:rPr>
          <w:rFonts w:hint="eastAsia" w:ascii="Times New Roman" w:hAnsi="Times New Roman" w:eastAsia="仿宋"/>
          <w:sz w:val="28"/>
          <w:szCs w:val="28"/>
          <w:lang w:eastAsia="zh-CN"/>
        </w:rPr>
        <w:t>设计说明</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1)采用装配式装修的主要部位、</w:t>
      </w:r>
      <w:r>
        <w:rPr>
          <w:rFonts w:ascii="Times New Roman" w:hAnsi="Times New Roman" w:eastAsia="仿宋"/>
          <w:sz w:val="28"/>
          <w:szCs w:val="28"/>
          <w:lang w:eastAsia="zh-CN"/>
        </w:rPr>
        <w:t>产品</w:t>
      </w:r>
      <w:r>
        <w:rPr>
          <w:rFonts w:hint="eastAsia" w:ascii="Times New Roman" w:hAnsi="Times New Roman" w:eastAsia="仿宋"/>
          <w:sz w:val="28"/>
          <w:szCs w:val="28"/>
          <w:lang w:eastAsia="zh-CN"/>
        </w:rPr>
        <w:t>选型及技术措施是否符合装配式装修要求；</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2)内装修设计是否与建筑设计同步进行，与结构系统、外围护系统及设备管线系统是否进行一体化集成设计；</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3)内装修材料表；建筑设施配置情况等。</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4)</w:t>
      </w:r>
      <w:r>
        <w:rPr>
          <w:rFonts w:ascii="Times New Roman" w:hAnsi="Times New Roman" w:eastAsia="仿宋"/>
          <w:sz w:val="28"/>
          <w:szCs w:val="28"/>
          <w:lang w:eastAsia="zh-CN"/>
        </w:rPr>
        <w:t>产品</w:t>
      </w:r>
      <w:r>
        <w:rPr>
          <w:rFonts w:hint="eastAsia" w:ascii="Times New Roman" w:hAnsi="Times New Roman" w:eastAsia="仿宋"/>
          <w:sz w:val="28"/>
          <w:szCs w:val="28"/>
          <w:lang w:eastAsia="zh-CN"/>
        </w:rPr>
        <w:t>材料选型、</w:t>
      </w:r>
      <w:r>
        <w:rPr>
          <w:rFonts w:ascii="Times New Roman" w:hAnsi="Times New Roman" w:eastAsia="仿宋"/>
          <w:sz w:val="28"/>
          <w:szCs w:val="28"/>
          <w:lang w:eastAsia="zh-CN"/>
        </w:rPr>
        <w:t>材料</w:t>
      </w:r>
      <w:r>
        <w:rPr>
          <w:rFonts w:hint="eastAsia" w:ascii="Times New Roman" w:hAnsi="Times New Roman" w:eastAsia="仿宋"/>
          <w:sz w:val="28"/>
          <w:szCs w:val="28"/>
          <w:lang w:eastAsia="zh-CN"/>
        </w:rPr>
        <w:t>性能指标是否满足规范及建筑使用要求，</w:t>
      </w:r>
      <w:r>
        <w:rPr>
          <w:rFonts w:ascii="Times New Roman" w:hAnsi="Times New Roman" w:eastAsia="仿宋"/>
          <w:sz w:val="28"/>
          <w:szCs w:val="28"/>
          <w:lang w:eastAsia="zh-CN"/>
        </w:rPr>
        <w:t>技术</w:t>
      </w:r>
      <w:r>
        <w:rPr>
          <w:rFonts w:hint="eastAsia" w:ascii="Times New Roman" w:hAnsi="Times New Roman" w:eastAsia="仿宋"/>
          <w:sz w:val="28"/>
          <w:szCs w:val="28"/>
          <w:lang w:eastAsia="zh-CN"/>
        </w:rPr>
        <w:t>措施是否合理妥当。</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2.4.2</w:t>
      </w:r>
      <w:r>
        <w:rPr>
          <w:rFonts w:hint="eastAsia" w:ascii="Times New Roman" w:hAnsi="Times New Roman" w:eastAsia="仿宋"/>
          <w:sz w:val="28"/>
          <w:szCs w:val="28"/>
          <w:lang w:eastAsia="zh-CN"/>
        </w:rPr>
        <w:t>平面图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1)与评价标准得分对应的内装修图纸完整并满足要求；</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2)</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进行内装和机电管线综合设计，并提供预留预埋点位的准确定位。</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2.4.3</w:t>
      </w:r>
      <w:r>
        <w:rPr>
          <w:rFonts w:hint="eastAsia" w:ascii="Times New Roman" w:hAnsi="Times New Roman" w:eastAsia="仿宋"/>
          <w:sz w:val="28"/>
          <w:szCs w:val="28"/>
          <w:lang w:eastAsia="zh-CN"/>
        </w:rPr>
        <w:t>立面图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内装立面是否反映出预制构件和部品部件的分块拼缝，包括拼缝分布位置及宽度等；是否表达预制构件和部品部件上的内装和机电预留预埋点位。</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2.4.4</w:t>
      </w:r>
      <w:r>
        <w:rPr>
          <w:rFonts w:hint="eastAsia" w:ascii="Times New Roman" w:hAnsi="Times New Roman" w:eastAsia="仿宋"/>
          <w:sz w:val="28"/>
          <w:szCs w:val="28"/>
          <w:lang w:eastAsia="zh-CN"/>
        </w:rPr>
        <w:t>详图</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内装墙身大样详图、平面放大详图是否表达内装的部品部件、机电管线与土建之间的水平、 竖向构造关系，表达连接、防水、保温和防火等交接关系和构造做法。</w:t>
      </w:r>
    </w:p>
    <w:p>
      <w:pPr>
        <w:pStyle w:val="3"/>
        <w:spacing w:line="360" w:lineRule="auto"/>
        <w:jc w:val="center"/>
        <w:rPr>
          <w:rFonts w:ascii="Times New Roman" w:hAnsi="Times New Roman" w:eastAsia="微软雅黑" w:cs="微软雅黑"/>
          <w:sz w:val="32"/>
          <w:lang w:eastAsia="zh-CN"/>
        </w:rPr>
      </w:pPr>
      <w:bookmarkStart w:id="10" w:name="_Toc136536507"/>
      <w:r>
        <w:rPr>
          <w:rFonts w:ascii="Times New Roman" w:hAnsi="Times New Roman" w:eastAsia="Trebuchet MS" w:cs="Trebuchet MS"/>
          <w:b/>
          <w:bCs/>
          <w:sz w:val="32"/>
          <w:lang w:eastAsia="zh-CN"/>
        </w:rPr>
        <w:t>2.</w:t>
      </w:r>
      <w:r>
        <w:rPr>
          <w:rFonts w:hint="eastAsia" w:ascii="Times New Roman" w:hAnsi="Times New Roman" w:eastAsia="Trebuchet MS" w:cs="Trebuchet MS"/>
          <w:b/>
          <w:bCs/>
          <w:sz w:val="32"/>
          <w:lang w:eastAsia="zh-CN"/>
        </w:rPr>
        <w:t>5</w:t>
      </w:r>
      <w:r>
        <w:rPr>
          <w:rFonts w:ascii="Times New Roman" w:hAnsi="Times New Roman" w:eastAsia="微软雅黑" w:cs="微软雅黑"/>
          <w:b/>
          <w:bCs/>
          <w:sz w:val="32"/>
          <w:lang w:eastAsia="zh-CN"/>
        </w:rPr>
        <w:t>其他</w:t>
      </w:r>
      <w:bookmarkEnd w:id="10"/>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2</w:t>
      </w:r>
      <w:r>
        <w:rPr>
          <w:rFonts w:ascii="Times New Roman" w:hAnsi="Times New Roman" w:eastAsia="仿宋"/>
          <w:sz w:val="28"/>
          <w:szCs w:val="28"/>
          <w:lang w:eastAsia="zh-CN"/>
        </w:rPr>
        <w:t xml:space="preserve">.5.1 </w:t>
      </w:r>
      <w:r>
        <w:rPr>
          <w:rFonts w:hint="eastAsia" w:ascii="Times New Roman" w:hAnsi="Times New Roman" w:eastAsia="仿宋"/>
          <w:sz w:val="28"/>
          <w:szCs w:val="28"/>
          <w:lang w:eastAsia="zh-CN"/>
        </w:rPr>
        <w:t>墙体与窗框一体化应有相关具体说明，构造措施是否合理，建筑立面图中是否清晰表达，是否有具体安装施工措施，是否有气密性、</w:t>
      </w:r>
      <w:r>
        <w:rPr>
          <w:rFonts w:ascii="Times New Roman" w:hAnsi="Times New Roman" w:eastAsia="仿宋"/>
          <w:sz w:val="28"/>
          <w:szCs w:val="28"/>
          <w:lang w:eastAsia="zh-CN"/>
        </w:rPr>
        <w:t>水密性</w:t>
      </w:r>
      <w:r>
        <w:rPr>
          <w:rFonts w:hint="eastAsia" w:ascii="Times New Roman" w:hAnsi="Times New Roman" w:eastAsia="仿宋"/>
          <w:sz w:val="28"/>
          <w:szCs w:val="28"/>
          <w:lang w:eastAsia="zh-CN"/>
        </w:rPr>
        <w:t>等相关性能指标验证文件，</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与装配率计算书中数据及应用比例保持一致。</w:t>
      </w:r>
    </w:p>
    <w:p>
      <w:pPr>
        <w:spacing w:line="360" w:lineRule="auto"/>
        <w:ind w:firstLine="560" w:firstLineChars="200"/>
        <w:rPr>
          <w:rFonts w:ascii="Times New Roman" w:hAnsi="Times New Roman" w:eastAsia="仿宋"/>
          <w:sz w:val="28"/>
          <w:szCs w:val="28"/>
          <w:lang w:eastAsia="zh-CN"/>
        </w:rPr>
      </w:pPr>
      <w:r>
        <w:rPr>
          <w:rFonts w:hint="eastAsia" w:ascii="Times New Roman" w:hAnsi="Times New Roman" w:eastAsia="仿宋"/>
          <w:sz w:val="28"/>
          <w:szCs w:val="28"/>
          <w:lang w:eastAsia="zh-CN"/>
        </w:rPr>
        <w:t>2</w:t>
      </w:r>
      <w:r>
        <w:rPr>
          <w:rFonts w:ascii="Times New Roman" w:hAnsi="Times New Roman" w:eastAsia="仿宋"/>
          <w:sz w:val="28"/>
          <w:szCs w:val="28"/>
          <w:lang w:eastAsia="zh-CN"/>
        </w:rPr>
        <w:t>.5.2</w:t>
      </w:r>
      <w:r>
        <w:rPr>
          <w:rFonts w:hint="eastAsia" w:ascii="Times New Roman" w:hAnsi="Times New Roman" w:eastAsia="仿宋"/>
          <w:sz w:val="28"/>
          <w:szCs w:val="28"/>
          <w:lang w:eastAsia="zh-CN"/>
        </w:rPr>
        <w:t>组合成型钢筋制品应有相关具体说明，</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有出厂合格文件，</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有成套的质量检验文件，</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与装配率计算书中数据及应用比例保持一致。</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2.5.3</w:t>
      </w:r>
      <w:r>
        <w:rPr>
          <w:rFonts w:hint="eastAsia" w:ascii="Times New Roman" w:hAnsi="Times New Roman" w:eastAsia="仿宋"/>
          <w:sz w:val="28"/>
          <w:szCs w:val="28"/>
          <w:lang w:eastAsia="zh-CN"/>
        </w:rPr>
        <w:t>市政先行应有具体说明及总平面布置图，是否有施工的具体措施及时间进度安排，</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与装配率计算书中数据及应用比例保持一致。</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2.5.4</w:t>
      </w:r>
      <w:r>
        <w:rPr>
          <w:rFonts w:hint="eastAsia" w:ascii="Times New Roman" w:hAnsi="Times New Roman" w:eastAsia="仿宋"/>
          <w:sz w:val="28"/>
          <w:szCs w:val="28"/>
          <w:lang w:eastAsia="zh-CN"/>
        </w:rPr>
        <w:t>小区配套附属工程标准化应有具体说明，是否有配套附属工程标准化的具体应用产品，标准化产品是否有证明文件等佐证材料，</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与装配率计算书中数据及应用比例保持一致。</w:t>
      </w:r>
    </w:p>
    <w:p>
      <w:pPr>
        <w:spacing w:line="360" w:lineRule="auto"/>
        <w:ind w:firstLine="560" w:firstLineChars="200"/>
        <w:rPr>
          <w:rFonts w:ascii="Times New Roman" w:hAnsi="Times New Roman" w:eastAsia="仿宋"/>
          <w:sz w:val="28"/>
          <w:szCs w:val="28"/>
          <w:lang w:eastAsia="zh-CN"/>
        </w:rPr>
      </w:pPr>
      <w:r>
        <w:rPr>
          <w:rFonts w:ascii="Times New Roman" w:hAnsi="Times New Roman" w:eastAsia="仿宋"/>
          <w:sz w:val="28"/>
          <w:szCs w:val="28"/>
          <w:lang w:eastAsia="zh-CN"/>
        </w:rPr>
        <w:t>2.5.5</w:t>
      </w:r>
      <w:r>
        <w:rPr>
          <w:rFonts w:hint="eastAsia" w:ascii="Times New Roman" w:hAnsi="Times New Roman" w:eastAsia="仿宋"/>
          <w:sz w:val="28"/>
          <w:szCs w:val="28"/>
          <w:lang w:eastAsia="zh-CN"/>
        </w:rPr>
        <w:t>建筑光伏一体化的具体说明、产品选型、</w:t>
      </w:r>
      <w:r>
        <w:rPr>
          <w:rFonts w:ascii="Times New Roman" w:hAnsi="Times New Roman" w:eastAsia="仿宋"/>
          <w:sz w:val="28"/>
          <w:szCs w:val="28"/>
          <w:lang w:eastAsia="zh-CN"/>
        </w:rPr>
        <w:t>平面</w:t>
      </w:r>
      <w:r>
        <w:rPr>
          <w:rFonts w:hint="eastAsia" w:ascii="Times New Roman" w:hAnsi="Times New Roman" w:eastAsia="仿宋"/>
          <w:sz w:val="28"/>
          <w:szCs w:val="28"/>
          <w:lang w:eastAsia="zh-CN"/>
        </w:rPr>
        <w:t>布置及相关技术措施是否符合规范标准，</w:t>
      </w:r>
      <w:r>
        <w:rPr>
          <w:rFonts w:ascii="Times New Roman" w:hAnsi="Times New Roman" w:eastAsia="仿宋"/>
          <w:sz w:val="28"/>
          <w:szCs w:val="28"/>
          <w:lang w:eastAsia="zh-CN"/>
        </w:rPr>
        <w:t>是否</w:t>
      </w:r>
      <w:r>
        <w:rPr>
          <w:rFonts w:hint="eastAsia" w:ascii="Times New Roman" w:hAnsi="Times New Roman" w:eastAsia="仿宋"/>
          <w:sz w:val="28"/>
          <w:szCs w:val="28"/>
          <w:lang w:eastAsia="zh-CN"/>
        </w:rPr>
        <w:t>与装配率计算书中数据及应用比例保持一致。</w:t>
      </w:r>
    </w:p>
    <w:bookmarkEnd w:id="8"/>
    <w:p>
      <w:pPr>
        <w:rPr>
          <w:rFonts w:hint="eastAsia" w:ascii="Times New Roman" w:hAnsi="Times New Roman"/>
          <w:lang w:eastAsia="zh-CN"/>
        </w:rPr>
      </w:pPr>
    </w:p>
    <w:sectPr>
      <w:footerReference r:id="rId5" w:type="default"/>
      <w:pgSz w:w="11900" w:h="16840"/>
      <w:pgMar w:top="800" w:right="1680" w:bottom="1180" w:left="1680" w:header="0" w:footer="983"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Nimbus Roman No9 L"/>
    <w:panose1 w:val="020B0604020202020204"/>
    <w:charset w:val="86"/>
    <w:family w:val="swiss"/>
    <w:pitch w:val="default"/>
    <w:sig w:usb0="00000000" w:usb1="00000000" w:usb2="0000003F" w:usb3="00000000" w:csb0="603F01FF" w:csb1="FFFF0000"/>
  </w:font>
  <w:font w:name="Microsoft JhengHei">
    <w:altName w:val="方正书宋_GBK"/>
    <w:panose1 w:val="020B0604030504040204"/>
    <w:charset w:val="88"/>
    <w:family w:val="swiss"/>
    <w:pitch w:val="default"/>
    <w:sig w:usb0="00000000" w:usb1="00000000" w:usb2="00000016" w:usb3="00000000" w:csb0="00100009"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rebuchet MS">
    <w:altName w:val="Nimbus Roman No9 L"/>
    <w:panose1 w:val="020B0603020202020204"/>
    <w:charset w:val="00"/>
    <w:family w:val="swiss"/>
    <w:pitch w:val="default"/>
    <w:sig w:usb0="00000000" w:usb1="00000000"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771D26"/>
    <w:multiLevelType w:val="multilevel"/>
    <w:tmpl w:val="49771D26"/>
    <w:lvl w:ilvl="0" w:tentative="0">
      <w:start w:val="1"/>
      <w:numFmt w:val="decimal"/>
      <w:lvlText w:val="%1."/>
      <w:lvlJc w:val="left"/>
      <w:pPr>
        <w:ind w:left="720" w:hanging="720"/>
      </w:pPr>
      <w:rPr>
        <w:rFonts w:hint="default" w:ascii="Trebuchet MS" w:hAnsi="Trebuchet MS" w:eastAsia="Trebuchet MS" w:cs="Trebuchet M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3A0A16"/>
    <w:multiLevelType w:val="multilevel"/>
    <w:tmpl w:val="6A3A0A16"/>
    <w:lvl w:ilvl="0" w:tentative="0">
      <w:start w:val="1"/>
      <w:numFmt w:val="decimal"/>
      <w:lvlText w:val="%1）"/>
      <w:lvlJc w:val="left"/>
      <w:pPr>
        <w:ind w:left="1252" w:hanging="720"/>
      </w:pPr>
      <w:rPr>
        <w:rFonts w:hint="default"/>
      </w:rPr>
    </w:lvl>
    <w:lvl w:ilvl="1" w:tentative="0">
      <w:start w:val="1"/>
      <w:numFmt w:val="lowerLetter"/>
      <w:lvlText w:val="%2)"/>
      <w:lvlJc w:val="left"/>
      <w:pPr>
        <w:ind w:left="1372" w:hanging="420"/>
      </w:pPr>
    </w:lvl>
    <w:lvl w:ilvl="2" w:tentative="0">
      <w:start w:val="1"/>
      <w:numFmt w:val="lowerRoman"/>
      <w:lvlText w:val="%3."/>
      <w:lvlJc w:val="right"/>
      <w:pPr>
        <w:ind w:left="1792" w:hanging="420"/>
      </w:pPr>
    </w:lvl>
    <w:lvl w:ilvl="3" w:tentative="0">
      <w:start w:val="1"/>
      <w:numFmt w:val="decimal"/>
      <w:lvlText w:val="%4."/>
      <w:lvlJc w:val="left"/>
      <w:pPr>
        <w:ind w:left="2212" w:hanging="420"/>
      </w:pPr>
    </w:lvl>
    <w:lvl w:ilvl="4" w:tentative="0">
      <w:start w:val="1"/>
      <w:numFmt w:val="lowerLetter"/>
      <w:lvlText w:val="%5)"/>
      <w:lvlJc w:val="left"/>
      <w:pPr>
        <w:ind w:left="2632" w:hanging="420"/>
      </w:pPr>
    </w:lvl>
    <w:lvl w:ilvl="5" w:tentative="0">
      <w:start w:val="1"/>
      <w:numFmt w:val="lowerRoman"/>
      <w:lvlText w:val="%6."/>
      <w:lvlJc w:val="right"/>
      <w:pPr>
        <w:ind w:left="3052" w:hanging="420"/>
      </w:pPr>
    </w:lvl>
    <w:lvl w:ilvl="6" w:tentative="0">
      <w:start w:val="1"/>
      <w:numFmt w:val="decimal"/>
      <w:lvlText w:val="%7."/>
      <w:lvlJc w:val="left"/>
      <w:pPr>
        <w:ind w:left="3472" w:hanging="420"/>
      </w:pPr>
    </w:lvl>
    <w:lvl w:ilvl="7" w:tentative="0">
      <w:start w:val="1"/>
      <w:numFmt w:val="lowerLetter"/>
      <w:lvlText w:val="%8)"/>
      <w:lvlJc w:val="left"/>
      <w:pPr>
        <w:ind w:left="3892" w:hanging="420"/>
      </w:pPr>
    </w:lvl>
    <w:lvl w:ilvl="8" w:tentative="0">
      <w:start w:val="1"/>
      <w:numFmt w:val="lowerRoman"/>
      <w:lvlText w:val="%9."/>
      <w:lvlJc w:val="right"/>
      <w:pPr>
        <w:ind w:left="43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revisionView w:markup="0"/>
  <w:trackRevisions w:val="true"/>
  <w:documentProtection w:enforcement="0"/>
  <w:defaultTabStop w:val="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5YTc2NGUyY2UwMjA0YWVhZjA0MTg4MWE1Y2I5NzUifQ=="/>
  </w:docVars>
  <w:rsids>
    <w:rsidRoot w:val="00E8204E"/>
    <w:rsid w:val="0000163E"/>
    <w:rsid w:val="000207A0"/>
    <w:rsid w:val="00030DD1"/>
    <w:rsid w:val="00043B36"/>
    <w:rsid w:val="00054B14"/>
    <w:rsid w:val="0006176F"/>
    <w:rsid w:val="0008246D"/>
    <w:rsid w:val="00094689"/>
    <w:rsid w:val="000B6AB0"/>
    <w:rsid w:val="000E1005"/>
    <w:rsid w:val="00106138"/>
    <w:rsid w:val="00124694"/>
    <w:rsid w:val="00136D52"/>
    <w:rsid w:val="00174854"/>
    <w:rsid w:val="00174B8E"/>
    <w:rsid w:val="001900AC"/>
    <w:rsid w:val="0019760D"/>
    <w:rsid w:val="001F1AC4"/>
    <w:rsid w:val="00216E9D"/>
    <w:rsid w:val="002A6A70"/>
    <w:rsid w:val="002F5FEC"/>
    <w:rsid w:val="00332370"/>
    <w:rsid w:val="00347141"/>
    <w:rsid w:val="00374B1F"/>
    <w:rsid w:val="003A1D99"/>
    <w:rsid w:val="003B4D4E"/>
    <w:rsid w:val="003E1FFF"/>
    <w:rsid w:val="00405253"/>
    <w:rsid w:val="00424424"/>
    <w:rsid w:val="0046195E"/>
    <w:rsid w:val="005F2B18"/>
    <w:rsid w:val="005F4C2F"/>
    <w:rsid w:val="00606032"/>
    <w:rsid w:val="006225A1"/>
    <w:rsid w:val="006746E1"/>
    <w:rsid w:val="006C1E6F"/>
    <w:rsid w:val="00703E43"/>
    <w:rsid w:val="007149A1"/>
    <w:rsid w:val="00766478"/>
    <w:rsid w:val="00786ED7"/>
    <w:rsid w:val="007C05AF"/>
    <w:rsid w:val="007F146D"/>
    <w:rsid w:val="008430EF"/>
    <w:rsid w:val="00867BDB"/>
    <w:rsid w:val="008833AC"/>
    <w:rsid w:val="00883550"/>
    <w:rsid w:val="008C5472"/>
    <w:rsid w:val="008C77AC"/>
    <w:rsid w:val="008E61F2"/>
    <w:rsid w:val="008F0BC0"/>
    <w:rsid w:val="0090264F"/>
    <w:rsid w:val="00921DC0"/>
    <w:rsid w:val="009848E8"/>
    <w:rsid w:val="009D33AB"/>
    <w:rsid w:val="00A01F20"/>
    <w:rsid w:val="00A15C07"/>
    <w:rsid w:val="00A77DD5"/>
    <w:rsid w:val="00A821C7"/>
    <w:rsid w:val="00A85732"/>
    <w:rsid w:val="00AE557C"/>
    <w:rsid w:val="00B64B58"/>
    <w:rsid w:val="00B65E6C"/>
    <w:rsid w:val="00B67CDD"/>
    <w:rsid w:val="00B728CE"/>
    <w:rsid w:val="00B91E70"/>
    <w:rsid w:val="00B921B5"/>
    <w:rsid w:val="00BB6739"/>
    <w:rsid w:val="00BE45ED"/>
    <w:rsid w:val="00BE5621"/>
    <w:rsid w:val="00BF4EDE"/>
    <w:rsid w:val="00C03EF1"/>
    <w:rsid w:val="00C3534B"/>
    <w:rsid w:val="00C36BA7"/>
    <w:rsid w:val="00C54CF9"/>
    <w:rsid w:val="00C86201"/>
    <w:rsid w:val="00CA4314"/>
    <w:rsid w:val="00CA4772"/>
    <w:rsid w:val="00CE6140"/>
    <w:rsid w:val="00CF5F7F"/>
    <w:rsid w:val="00DB379A"/>
    <w:rsid w:val="00DC6915"/>
    <w:rsid w:val="00E550A8"/>
    <w:rsid w:val="00E6662F"/>
    <w:rsid w:val="00E8204E"/>
    <w:rsid w:val="00E87F30"/>
    <w:rsid w:val="00EA3767"/>
    <w:rsid w:val="00EC10C0"/>
    <w:rsid w:val="00F47504"/>
    <w:rsid w:val="00FB5F46"/>
    <w:rsid w:val="0C38257C"/>
    <w:rsid w:val="22516793"/>
    <w:rsid w:val="2352432F"/>
    <w:rsid w:val="26AF16A8"/>
    <w:rsid w:val="318618F5"/>
    <w:rsid w:val="33B73A4E"/>
    <w:rsid w:val="3CE83374"/>
    <w:rsid w:val="403D7918"/>
    <w:rsid w:val="407D1B7C"/>
    <w:rsid w:val="42A43C76"/>
    <w:rsid w:val="4B027E16"/>
    <w:rsid w:val="4B673F73"/>
    <w:rsid w:val="4B952743"/>
    <w:rsid w:val="4E8E6A70"/>
    <w:rsid w:val="61C6525A"/>
    <w:rsid w:val="6DDE27C4"/>
    <w:rsid w:val="70EA0953"/>
    <w:rsid w:val="754C462E"/>
    <w:rsid w:val="7C3A47BE"/>
    <w:rsid w:val="7F6D2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1"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黑体" w:hAnsi="黑体" w:eastAsia="黑体"/>
      <w:b/>
      <w:bCs/>
      <w:sz w:val="44"/>
      <w:szCs w:val="44"/>
    </w:rPr>
  </w:style>
  <w:style w:type="paragraph" w:styleId="3">
    <w:name w:val="heading 2"/>
    <w:basedOn w:val="1"/>
    <w:next w:val="1"/>
    <w:qFormat/>
    <w:uiPriority w:val="1"/>
    <w:pPr>
      <w:outlineLvl w:val="1"/>
    </w:pPr>
    <w:rPr>
      <w:rFonts w:ascii="宋体" w:hAnsi="宋体" w:eastAsia="宋体"/>
      <w:sz w:val="44"/>
      <w:szCs w:val="44"/>
    </w:rPr>
  </w:style>
  <w:style w:type="paragraph" w:styleId="4">
    <w:name w:val="heading 3"/>
    <w:basedOn w:val="1"/>
    <w:next w:val="1"/>
    <w:qFormat/>
    <w:uiPriority w:val="1"/>
    <w:pPr>
      <w:ind w:left="3"/>
      <w:outlineLvl w:val="2"/>
    </w:pPr>
    <w:rPr>
      <w:rFonts w:ascii="Arial Unicode MS" w:hAnsi="Arial Unicode MS" w:eastAsia="Arial Unicode MS"/>
      <w:sz w:val="36"/>
      <w:szCs w:val="36"/>
    </w:rPr>
  </w:style>
  <w:style w:type="paragraph" w:styleId="5">
    <w:name w:val="heading 4"/>
    <w:basedOn w:val="1"/>
    <w:next w:val="1"/>
    <w:qFormat/>
    <w:uiPriority w:val="1"/>
    <w:pPr>
      <w:outlineLvl w:val="3"/>
    </w:pPr>
    <w:rPr>
      <w:rFonts w:ascii="宋体" w:hAnsi="宋体" w:eastAsia="宋体"/>
      <w:sz w:val="32"/>
      <w:szCs w:val="32"/>
    </w:rPr>
  </w:style>
  <w:style w:type="paragraph" w:styleId="6">
    <w:name w:val="heading 5"/>
    <w:basedOn w:val="1"/>
    <w:next w:val="1"/>
    <w:qFormat/>
    <w:uiPriority w:val="1"/>
    <w:pPr>
      <w:ind w:left="2885"/>
      <w:outlineLvl w:val="4"/>
    </w:pPr>
    <w:rPr>
      <w:rFonts w:ascii="Microsoft JhengHei" w:hAnsi="Microsoft JhengHei" w:eastAsia="Microsoft JhengHei"/>
      <w:b/>
      <w:bCs/>
      <w:sz w:val="30"/>
      <w:szCs w:val="30"/>
    </w:rPr>
  </w:style>
  <w:style w:type="paragraph" w:styleId="7">
    <w:name w:val="heading 6"/>
    <w:basedOn w:val="1"/>
    <w:next w:val="1"/>
    <w:qFormat/>
    <w:uiPriority w:val="1"/>
    <w:pPr>
      <w:ind w:left="1358"/>
      <w:outlineLvl w:val="5"/>
    </w:pPr>
    <w:rPr>
      <w:rFonts w:ascii="Arial Unicode MS" w:hAnsi="Arial Unicode MS" w:eastAsia="Arial Unicode MS"/>
      <w:sz w:val="30"/>
      <w:szCs w:val="30"/>
    </w:rPr>
  </w:style>
  <w:style w:type="paragraph" w:styleId="8">
    <w:name w:val="heading 7"/>
    <w:basedOn w:val="1"/>
    <w:next w:val="1"/>
    <w:qFormat/>
    <w:uiPriority w:val="1"/>
    <w:pPr>
      <w:outlineLvl w:val="6"/>
    </w:pPr>
    <w:rPr>
      <w:rFonts w:ascii="黑体" w:hAnsi="黑体" w:eastAsia="黑体"/>
      <w:b/>
      <w:bCs/>
      <w:sz w:val="28"/>
      <w:szCs w:val="28"/>
    </w:rPr>
  </w:style>
  <w:style w:type="paragraph" w:styleId="9">
    <w:name w:val="heading 8"/>
    <w:basedOn w:val="1"/>
    <w:next w:val="1"/>
    <w:qFormat/>
    <w:uiPriority w:val="1"/>
    <w:pPr>
      <w:outlineLvl w:val="7"/>
    </w:pPr>
    <w:rPr>
      <w:rFonts w:ascii="宋体" w:hAnsi="宋体" w:eastAsia="宋体"/>
      <w:sz w:val="28"/>
      <w:szCs w:val="28"/>
    </w:rPr>
  </w:style>
  <w:style w:type="paragraph" w:styleId="10">
    <w:name w:val="heading 9"/>
    <w:basedOn w:val="1"/>
    <w:next w:val="1"/>
    <w:qFormat/>
    <w:uiPriority w:val="1"/>
    <w:pPr>
      <w:ind w:left="140"/>
      <w:outlineLvl w:val="8"/>
    </w:pPr>
    <w:rPr>
      <w:rFonts w:ascii="Microsoft JhengHei" w:hAnsi="Microsoft JhengHei" w:eastAsia="Microsoft JhengHei"/>
      <w:b/>
      <w:bCs/>
      <w:sz w:val="24"/>
      <w:szCs w:val="24"/>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33"/>
    <w:semiHidden/>
    <w:unhideWhenUsed/>
    <w:qFormat/>
    <w:uiPriority w:val="99"/>
  </w:style>
  <w:style w:type="paragraph" w:styleId="12">
    <w:name w:val="Body Text"/>
    <w:basedOn w:val="1"/>
    <w:qFormat/>
    <w:uiPriority w:val="1"/>
    <w:pPr>
      <w:ind w:left="120"/>
    </w:pPr>
    <w:rPr>
      <w:rFonts w:ascii="宋体" w:hAnsi="宋体" w:eastAsia="宋体"/>
      <w:sz w:val="21"/>
      <w:szCs w:val="21"/>
    </w:rPr>
  </w:style>
  <w:style w:type="paragraph" w:styleId="13">
    <w:name w:val="toc 3"/>
    <w:basedOn w:val="1"/>
    <w:next w:val="1"/>
    <w:qFormat/>
    <w:uiPriority w:val="39"/>
    <w:pPr>
      <w:spacing w:before="85"/>
      <w:ind w:left="537"/>
    </w:pPr>
    <w:rPr>
      <w:rFonts w:ascii="宋体" w:hAnsi="宋体" w:eastAsia="宋体"/>
      <w:sz w:val="21"/>
      <w:szCs w:val="21"/>
    </w:rPr>
  </w:style>
  <w:style w:type="paragraph" w:styleId="14">
    <w:name w:val="Date"/>
    <w:basedOn w:val="1"/>
    <w:next w:val="1"/>
    <w:link w:val="36"/>
    <w:semiHidden/>
    <w:unhideWhenUsed/>
    <w:qFormat/>
    <w:uiPriority w:val="99"/>
    <w:pPr>
      <w:ind w:left="100" w:leftChars="2500"/>
    </w:pPr>
  </w:style>
  <w:style w:type="paragraph" w:styleId="15">
    <w:name w:val="Balloon Text"/>
    <w:basedOn w:val="1"/>
    <w:link w:val="32"/>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558"/>
      <w:ind w:left="120"/>
    </w:pPr>
    <w:rPr>
      <w:rFonts w:ascii="宋体" w:hAnsi="宋体" w:eastAsia="宋体"/>
      <w:sz w:val="28"/>
      <w:szCs w:val="28"/>
    </w:rPr>
  </w:style>
  <w:style w:type="paragraph" w:styleId="19">
    <w:name w:val="toc 4"/>
    <w:basedOn w:val="1"/>
    <w:next w:val="1"/>
    <w:qFormat/>
    <w:uiPriority w:val="1"/>
    <w:pPr>
      <w:spacing w:before="85"/>
      <w:ind w:left="544"/>
    </w:pPr>
    <w:rPr>
      <w:rFonts w:ascii="宋体" w:hAnsi="宋体" w:eastAsia="宋体"/>
      <w:sz w:val="21"/>
      <w:szCs w:val="21"/>
    </w:rPr>
  </w:style>
  <w:style w:type="paragraph" w:styleId="20">
    <w:name w:val="toc 2"/>
    <w:basedOn w:val="1"/>
    <w:next w:val="1"/>
    <w:qFormat/>
    <w:uiPriority w:val="39"/>
    <w:pPr>
      <w:spacing w:before="85"/>
      <w:ind w:left="117"/>
    </w:pPr>
    <w:rPr>
      <w:rFonts w:ascii="宋体" w:hAnsi="宋体" w:eastAsia="宋体"/>
      <w:sz w:val="21"/>
      <w:szCs w:val="21"/>
    </w:rPr>
  </w:style>
  <w:style w:type="paragraph" w:styleId="21">
    <w:name w:val="annotation subject"/>
    <w:basedOn w:val="11"/>
    <w:next w:val="11"/>
    <w:link w:val="34"/>
    <w:semiHidden/>
    <w:unhideWhenUsed/>
    <w:qFormat/>
    <w:uiPriority w:val="99"/>
    <w:rPr>
      <w:b/>
      <w:bCs/>
    </w:rPr>
  </w:style>
  <w:style w:type="character" w:styleId="24">
    <w:name w:val="Hyperlink"/>
    <w:basedOn w:val="23"/>
    <w:unhideWhenUsed/>
    <w:qFormat/>
    <w:uiPriority w:val="99"/>
    <w:rPr>
      <w:color w:val="0000FF"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table" w:customStyle="1" w:styleId="26">
    <w:name w:val="Table Normal"/>
    <w:semiHidden/>
    <w:unhideWhenUsed/>
    <w:qFormat/>
    <w:uiPriority w:val="2"/>
    <w:tblPr>
      <w:tblCellMar>
        <w:top w:w="0" w:type="dxa"/>
        <w:left w:w="0" w:type="dxa"/>
        <w:bottom w:w="0" w:type="dxa"/>
        <w:right w:w="0" w:type="dxa"/>
      </w:tblCellMar>
    </w:tblPr>
  </w:style>
  <w:style w:type="paragraph" w:styleId="27">
    <w:name w:val="List Paragraph"/>
    <w:basedOn w:val="1"/>
    <w:qFormat/>
    <w:uiPriority w:val="1"/>
  </w:style>
  <w:style w:type="paragraph" w:customStyle="1" w:styleId="28">
    <w:name w:val="Table Paragraph"/>
    <w:basedOn w:val="1"/>
    <w:qFormat/>
    <w:uiPriority w:val="1"/>
  </w:style>
  <w:style w:type="character" w:customStyle="1" w:styleId="29">
    <w:name w:val="页眉 Char"/>
    <w:basedOn w:val="23"/>
    <w:link w:val="17"/>
    <w:qFormat/>
    <w:uiPriority w:val="99"/>
    <w:rPr>
      <w:sz w:val="18"/>
      <w:szCs w:val="18"/>
    </w:rPr>
  </w:style>
  <w:style w:type="character" w:customStyle="1" w:styleId="30">
    <w:name w:val="页脚 Char"/>
    <w:basedOn w:val="23"/>
    <w:link w:val="16"/>
    <w:qFormat/>
    <w:uiPriority w:val="99"/>
    <w:rPr>
      <w:sz w:val="18"/>
      <w:szCs w:val="18"/>
    </w:rPr>
  </w:style>
  <w:style w:type="paragraph" w:customStyle="1" w:styleId="31">
    <w:name w:val="TOC 标题1"/>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bCs w:val="0"/>
      <w:color w:val="376092" w:themeColor="accent1" w:themeShade="BF"/>
      <w:sz w:val="32"/>
      <w:szCs w:val="32"/>
      <w:lang w:eastAsia="zh-CN"/>
    </w:rPr>
  </w:style>
  <w:style w:type="character" w:customStyle="1" w:styleId="32">
    <w:name w:val="批注框文本 Char"/>
    <w:basedOn w:val="23"/>
    <w:link w:val="15"/>
    <w:semiHidden/>
    <w:qFormat/>
    <w:uiPriority w:val="99"/>
    <w:rPr>
      <w:sz w:val="18"/>
      <w:szCs w:val="18"/>
      <w:lang w:eastAsia="en-US"/>
    </w:rPr>
  </w:style>
  <w:style w:type="character" w:customStyle="1" w:styleId="33">
    <w:name w:val="批注文字 Char"/>
    <w:basedOn w:val="23"/>
    <w:link w:val="11"/>
    <w:semiHidden/>
    <w:qFormat/>
    <w:uiPriority w:val="99"/>
    <w:rPr>
      <w:sz w:val="22"/>
      <w:szCs w:val="22"/>
      <w:lang w:eastAsia="en-US"/>
    </w:rPr>
  </w:style>
  <w:style w:type="character" w:customStyle="1" w:styleId="34">
    <w:name w:val="批注主题 Char"/>
    <w:basedOn w:val="33"/>
    <w:link w:val="21"/>
    <w:semiHidden/>
    <w:qFormat/>
    <w:uiPriority w:val="99"/>
    <w:rPr>
      <w:b/>
      <w:bCs/>
      <w:sz w:val="22"/>
      <w:szCs w:val="22"/>
      <w:lang w:eastAsia="en-US"/>
    </w:rPr>
  </w:style>
  <w:style w:type="paragraph" w:customStyle="1" w:styleId="35">
    <w:name w:val="修订1"/>
    <w:hidden/>
    <w:semiHidden/>
    <w:qFormat/>
    <w:uiPriority w:val="99"/>
    <w:rPr>
      <w:rFonts w:asciiTheme="minorHAnsi" w:hAnsiTheme="minorHAnsi" w:eastAsiaTheme="minorEastAsia" w:cstheme="minorBidi"/>
      <w:sz w:val="22"/>
      <w:szCs w:val="22"/>
      <w:lang w:val="en-US" w:eastAsia="en-US" w:bidi="ar-SA"/>
    </w:rPr>
  </w:style>
  <w:style w:type="character" w:customStyle="1" w:styleId="36">
    <w:name w:val="日期 Char"/>
    <w:basedOn w:val="23"/>
    <w:link w:val="14"/>
    <w:semiHidden/>
    <w:qFormat/>
    <w:uiPriority w:val="99"/>
    <w:rPr>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2902</Words>
  <Characters>3060</Characters>
  <Lines>39</Lines>
  <Paragraphs>11</Paragraphs>
  <TotalTime>7</TotalTime>
  <ScaleCrop>false</ScaleCrop>
  <LinksUpToDate>false</LinksUpToDate>
  <CharactersWithSpaces>3082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2023-01-19T23:33:00Z</dcterms:created>
  <dc:creator>yuwenhai</dc:creator>
  <cp:lastModifiedBy>greatwall</cp:lastModifiedBy>
  <dcterms:modified xsi:type="dcterms:W3CDTF">2023-06-25T11:37:56Z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Wondershare PDFelement 专业版</vt:lpwstr>
  </property>
  <property fmtid="{D5CDD505-2E9C-101B-9397-08002B2CF9AE}" pid="4" name="LastSaved">
    <vt:filetime>2023-01-19T00:00:00Z</vt:filetime>
  </property>
  <property fmtid="{D5CDD505-2E9C-101B-9397-08002B2CF9AE}" pid="5" name="KSOProductBuildVer">
    <vt:lpwstr>2052-11.8.2.9864</vt:lpwstr>
  </property>
  <property fmtid="{D5CDD505-2E9C-101B-9397-08002B2CF9AE}" pid="6" name="ICV">
    <vt:lpwstr>74BDB8171E5F4229B6395AC5A239CCDB</vt:lpwstr>
  </property>
</Properties>
</file>