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6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ascii="楷体" w:hAnsi="楷体" w:eastAsia="楷体" w:cs="楷体"/>
          <w:sz w:val="28"/>
          <w:szCs w:val="28"/>
        </w:rPr>
        <w:t>5</w:t>
      </w:r>
    </w:p>
    <w:p>
      <w:pPr>
        <w:adjustRightInd w:val="0"/>
        <w:snapToGrid w:val="0"/>
        <w:jc w:val="center"/>
        <w:rPr>
          <w:rFonts w:eastAsia="仿宋" w:cs="宋体"/>
          <w:snapToGrid w:val="0"/>
          <w:sz w:val="28"/>
          <w:szCs w:val="28"/>
        </w:rPr>
      </w:pPr>
      <w:r>
        <w:rPr>
          <w:rFonts w:hint="eastAsia" w:ascii="方正小标宋简体" w:hAnsi="仿宋" w:eastAsia="方正小标宋简体"/>
          <w:sz w:val="40"/>
          <w:szCs w:val="40"/>
        </w:rPr>
        <w:t>海南省装配式建筑专项施工方案编制要点</w:t>
      </w: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adjustRightInd w:val="0"/>
        <w:snapToGrid w:val="0"/>
        <w:rPr>
          <w:rFonts w:eastAsia="仿宋" w:cs="宋体"/>
          <w:sz w:val="28"/>
        </w:rPr>
      </w:pP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jc w:val="left"/>
        <w:rPr>
          <w:rFonts w:eastAsia="仿宋" w:cs="宋体"/>
          <w:snapToGrid w:val="0"/>
          <w:sz w:val="32"/>
          <w:szCs w:val="32"/>
          <w:u w:val="single"/>
        </w:rPr>
      </w:pPr>
      <w:r>
        <w:rPr>
          <w:rFonts w:hint="eastAsia" w:eastAsia="仿宋" w:cs="宋体"/>
          <w:snapToGrid w:val="0"/>
          <w:sz w:val="32"/>
          <w:szCs w:val="32"/>
        </w:rPr>
        <w:t>项目名称：________________________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rPr>
          <w:rFonts w:hint="eastAsia" w:eastAsia="仿宋" w:cs="宋体"/>
          <w:snapToGrid w:val="0"/>
          <w:sz w:val="32"/>
          <w:szCs w:val="32"/>
        </w:rPr>
      </w:pPr>
      <w:r>
        <w:rPr>
          <w:rFonts w:hint="eastAsia" w:eastAsia="仿宋" w:cs="宋体"/>
          <w:snapToGrid w:val="0"/>
          <w:sz w:val="32"/>
          <w:szCs w:val="32"/>
        </w:rPr>
        <w:t>建设单位：________________________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rPr>
          <w:rFonts w:hint="eastAsia" w:eastAsia="仿宋" w:cs="宋体"/>
          <w:snapToGrid w:val="0"/>
          <w:sz w:val="32"/>
          <w:szCs w:val="32"/>
        </w:rPr>
      </w:pPr>
      <w:r>
        <w:rPr>
          <w:rFonts w:hint="eastAsia" w:eastAsia="仿宋" w:cs="宋体"/>
          <w:snapToGrid w:val="0"/>
          <w:sz w:val="32"/>
          <w:szCs w:val="32"/>
        </w:rPr>
        <w:t>编 制 人：________________________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rPr>
          <w:rFonts w:hint="eastAsia" w:eastAsia="仿宋" w:cs="宋体"/>
          <w:snapToGrid w:val="0"/>
          <w:sz w:val="32"/>
          <w:szCs w:val="32"/>
        </w:rPr>
      </w:pPr>
      <w:r>
        <w:rPr>
          <w:rFonts w:hint="eastAsia" w:eastAsia="仿宋" w:cs="宋体"/>
          <w:snapToGrid w:val="0"/>
          <w:sz w:val="32"/>
          <w:szCs w:val="32"/>
        </w:rPr>
        <w:t>审 核 人：________________________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rPr>
          <w:rFonts w:eastAsia="仿宋" w:cs="宋体"/>
          <w:snapToGrid w:val="0"/>
          <w:sz w:val="32"/>
          <w:szCs w:val="32"/>
        </w:rPr>
      </w:pPr>
      <w:r>
        <w:rPr>
          <w:rFonts w:hint="eastAsia" w:eastAsia="仿宋" w:cs="宋体"/>
          <w:snapToGrid w:val="0"/>
          <w:sz w:val="32"/>
          <w:szCs w:val="32"/>
        </w:rPr>
        <w:t>日    期：________________________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/>
          <w:bCs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lang w:val="zh-CN"/>
        </w:rPr>
        <w:t>目</w:t>
      </w: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lang w:val="zh-CN"/>
        </w:rPr>
        <w:t>录</w:t>
      </w:r>
    </w:p>
    <w:p>
      <w:pPr>
        <w:pStyle w:val="7"/>
        <w:tabs>
          <w:tab w:val="right" w:leader="dot" w:pos="8296"/>
        </w:tabs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b/>
          <w:bCs/>
          <w:sz w:val="28"/>
          <w:szCs w:val="28"/>
          <w:lang w:val="zh-CN"/>
        </w:rPr>
        <w:fldChar w:fldCharType="begin"/>
      </w:r>
      <w:r>
        <w:rPr>
          <w:rFonts w:ascii="仿宋" w:hAnsi="仿宋" w:eastAsia="仿宋"/>
          <w:b/>
          <w:bCs/>
          <w:sz w:val="28"/>
          <w:szCs w:val="28"/>
          <w:lang w:val="zh-CN"/>
        </w:rPr>
        <w:instrText xml:space="preserve"> TOC \o "1-3" \h \z \u </w:instrText>
      </w:r>
      <w:r>
        <w:rPr>
          <w:rFonts w:ascii="仿宋" w:hAnsi="仿宋" w:eastAsia="仿宋"/>
          <w:b/>
          <w:bCs/>
          <w:sz w:val="28"/>
          <w:szCs w:val="28"/>
          <w:lang w:val="zh-CN"/>
        </w:rPr>
        <w:fldChar w:fldCharType="separate"/>
      </w:r>
      <w:r>
        <w:rPr>
          <w:rStyle w:val="10"/>
          <w:rFonts w:ascii="仿宋" w:hAnsi="仿宋" w:eastAsia="仿宋"/>
          <w:sz w:val="28"/>
          <w:szCs w:val="28"/>
        </w:rPr>
        <w:fldChar w:fldCharType="begin"/>
      </w:r>
      <w:r>
        <w:rPr>
          <w:rStyle w:val="10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"_Toc136529151"</w:instrText>
      </w:r>
      <w:r>
        <w:rPr>
          <w:rStyle w:val="10"/>
          <w:rFonts w:ascii="仿宋" w:hAnsi="仿宋" w:eastAsia="仿宋"/>
          <w:sz w:val="28"/>
          <w:szCs w:val="28"/>
        </w:rPr>
        <w:instrText xml:space="preserve"> </w:instrText>
      </w:r>
      <w:r>
        <w:rPr>
          <w:rStyle w:val="10"/>
          <w:rFonts w:ascii="仿宋" w:hAnsi="仿宋" w:eastAsia="仿宋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/>
          <w:sz w:val="28"/>
          <w:szCs w:val="28"/>
        </w:rPr>
        <w:t>一、项目概况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0"/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pStyle w:val="7"/>
        <w:tabs>
          <w:tab w:val="right" w:leader="dot" w:pos="8296"/>
        </w:tabs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Style w:val="10"/>
          <w:rFonts w:ascii="仿宋" w:hAnsi="仿宋" w:eastAsia="仿宋"/>
          <w:sz w:val="28"/>
          <w:szCs w:val="28"/>
        </w:rPr>
        <w:fldChar w:fldCharType="begin"/>
      </w:r>
      <w:r>
        <w:rPr>
          <w:rStyle w:val="10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"_Toc136529152"</w:instrText>
      </w:r>
      <w:r>
        <w:rPr>
          <w:rStyle w:val="10"/>
          <w:rFonts w:ascii="仿宋" w:hAnsi="仿宋" w:eastAsia="仿宋"/>
          <w:sz w:val="28"/>
          <w:szCs w:val="28"/>
        </w:rPr>
        <w:instrText xml:space="preserve"> </w:instrText>
      </w:r>
      <w:r>
        <w:rPr>
          <w:rStyle w:val="10"/>
          <w:rFonts w:ascii="仿宋" w:hAnsi="仿宋" w:eastAsia="仿宋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/>
          <w:sz w:val="28"/>
          <w:szCs w:val="28"/>
        </w:rPr>
        <w:t>二、实施机制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0"/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pStyle w:val="7"/>
        <w:tabs>
          <w:tab w:val="right" w:leader="dot" w:pos="8296"/>
        </w:tabs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Style w:val="10"/>
          <w:rFonts w:ascii="仿宋" w:hAnsi="仿宋" w:eastAsia="仿宋"/>
          <w:sz w:val="28"/>
          <w:szCs w:val="28"/>
        </w:rPr>
        <w:fldChar w:fldCharType="begin"/>
      </w:r>
      <w:r>
        <w:rPr>
          <w:rStyle w:val="10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"_Toc136529153"</w:instrText>
      </w:r>
      <w:r>
        <w:rPr>
          <w:rStyle w:val="10"/>
          <w:rFonts w:ascii="仿宋" w:hAnsi="仿宋" w:eastAsia="仿宋"/>
          <w:sz w:val="28"/>
          <w:szCs w:val="28"/>
        </w:rPr>
        <w:instrText xml:space="preserve"> </w:instrText>
      </w:r>
      <w:r>
        <w:rPr>
          <w:rStyle w:val="10"/>
          <w:rFonts w:ascii="仿宋" w:hAnsi="仿宋" w:eastAsia="仿宋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/>
          <w:sz w:val="28"/>
          <w:szCs w:val="28"/>
        </w:rPr>
        <w:t>三、预制构件生产和运输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0"/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pStyle w:val="7"/>
        <w:tabs>
          <w:tab w:val="right" w:leader="dot" w:pos="8296"/>
        </w:tabs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Style w:val="10"/>
          <w:rFonts w:ascii="仿宋" w:hAnsi="仿宋" w:eastAsia="仿宋"/>
          <w:sz w:val="28"/>
          <w:szCs w:val="28"/>
        </w:rPr>
        <w:fldChar w:fldCharType="begin"/>
      </w:r>
      <w:r>
        <w:rPr>
          <w:rStyle w:val="10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"_Toc136529154"</w:instrText>
      </w:r>
      <w:r>
        <w:rPr>
          <w:rStyle w:val="10"/>
          <w:rFonts w:ascii="仿宋" w:hAnsi="仿宋" w:eastAsia="仿宋"/>
          <w:sz w:val="28"/>
          <w:szCs w:val="28"/>
        </w:rPr>
        <w:instrText xml:space="preserve"> </w:instrText>
      </w:r>
      <w:r>
        <w:rPr>
          <w:rStyle w:val="10"/>
          <w:rFonts w:ascii="仿宋" w:hAnsi="仿宋" w:eastAsia="仿宋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/>
          <w:sz w:val="28"/>
          <w:szCs w:val="28"/>
        </w:rPr>
        <w:t>四、装配式建筑施工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0"/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pStyle w:val="7"/>
        <w:tabs>
          <w:tab w:val="right" w:leader="dot" w:pos="8296"/>
        </w:tabs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10"/>
          <w:rFonts w:ascii="仿宋" w:hAnsi="仿宋" w:eastAsia="仿宋"/>
          <w:sz w:val="28"/>
          <w:szCs w:val="28"/>
        </w:rPr>
        <w:fldChar w:fldCharType="begin"/>
      </w:r>
      <w:r>
        <w:rPr>
          <w:rStyle w:val="10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"_Toc136529155"</w:instrText>
      </w:r>
      <w:r>
        <w:rPr>
          <w:rStyle w:val="10"/>
          <w:rFonts w:ascii="仿宋" w:hAnsi="仿宋" w:eastAsia="仿宋"/>
          <w:sz w:val="28"/>
          <w:szCs w:val="28"/>
        </w:rPr>
        <w:instrText xml:space="preserve"> </w:instrText>
      </w:r>
      <w:r>
        <w:rPr>
          <w:rStyle w:val="10"/>
          <w:rFonts w:ascii="仿宋" w:hAnsi="仿宋" w:eastAsia="仿宋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/>
          <w:sz w:val="28"/>
          <w:szCs w:val="28"/>
        </w:rPr>
        <w:t>五、装配式建筑其他技术应用情况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0"/>
          <w:rFonts w:ascii="仿宋" w:hAnsi="仿宋" w:eastAsia="仿宋"/>
          <w:sz w:val="28"/>
          <w:szCs w:val="28"/>
        </w:rPr>
        <w:fldChar w:fldCharType="end"/>
      </w:r>
      <w:r>
        <w:rPr>
          <w:rStyle w:val="10"/>
          <w:rFonts w:hint="eastAsia" w:ascii="仿宋" w:hAnsi="仿宋" w:eastAsia="仿宋"/>
          <w:sz w:val="28"/>
          <w:szCs w:val="28"/>
          <w:lang w:val="en-US" w:eastAsia="zh-CN"/>
        </w:rPr>
        <w:t>4</w:t>
      </w:r>
    </w:p>
    <w:p>
      <w:pPr>
        <w:pStyle w:val="7"/>
        <w:tabs>
          <w:tab w:val="right" w:leader="dot" w:pos="8296"/>
        </w:tabs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10"/>
          <w:rFonts w:ascii="仿宋" w:hAnsi="仿宋" w:eastAsia="仿宋"/>
          <w:sz w:val="28"/>
          <w:szCs w:val="28"/>
        </w:rPr>
        <w:fldChar w:fldCharType="begin"/>
      </w:r>
      <w:r>
        <w:rPr>
          <w:rStyle w:val="10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"_Toc136529156"</w:instrText>
      </w:r>
      <w:r>
        <w:rPr>
          <w:rStyle w:val="10"/>
          <w:rFonts w:ascii="仿宋" w:hAnsi="仿宋" w:eastAsia="仿宋"/>
          <w:sz w:val="28"/>
          <w:szCs w:val="28"/>
        </w:rPr>
        <w:instrText xml:space="preserve"> </w:instrText>
      </w:r>
      <w:r>
        <w:rPr>
          <w:rStyle w:val="10"/>
          <w:rFonts w:ascii="仿宋" w:hAnsi="仿宋" w:eastAsia="仿宋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/>
          <w:sz w:val="28"/>
          <w:szCs w:val="28"/>
        </w:rPr>
        <w:t>六、其它需要说明的内容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0"/>
          <w:rFonts w:ascii="仿宋" w:hAnsi="仿宋" w:eastAsia="仿宋"/>
          <w:sz w:val="28"/>
          <w:szCs w:val="28"/>
        </w:rPr>
        <w:fldChar w:fldCharType="end"/>
      </w:r>
      <w:r>
        <w:rPr>
          <w:rStyle w:val="10"/>
          <w:rFonts w:hint="eastAsia" w:ascii="仿宋" w:hAnsi="仿宋" w:eastAsia="仿宋"/>
          <w:sz w:val="28"/>
          <w:szCs w:val="28"/>
          <w:lang w:val="en-US" w:eastAsia="zh-CN"/>
        </w:rPr>
        <w:t>4</w:t>
      </w:r>
    </w:p>
    <w:p>
      <w:pPr>
        <w:jc w:val="center"/>
      </w:pPr>
      <w:r>
        <w:rPr>
          <w:rFonts w:ascii="仿宋" w:hAnsi="仿宋" w:eastAsia="仿宋"/>
          <w:b/>
          <w:bCs/>
          <w:sz w:val="28"/>
          <w:szCs w:val="28"/>
          <w:lang w:val="zh-CN"/>
        </w:rPr>
        <w:fldChar w:fldCharType="end"/>
      </w:r>
    </w:p>
    <w:p>
      <w:pPr>
        <w:pStyle w:val="2"/>
        <w:spacing w:line="240" w:lineRule="auto"/>
        <w:contextualSpacing/>
        <w:rPr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bookmarkStart w:id="0" w:name="_Toc136529151"/>
    </w:p>
    <w:p>
      <w:pPr>
        <w:pStyle w:val="2"/>
        <w:spacing w:line="240" w:lineRule="auto"/>
        <w:contextualSpacing/>
        <w:rPr>
          <w:rFonts w:eastAsia="黑体"/>
          <w:sz w:val="24"/>
          <w:szCs w:val="24"/>
        </w:rPr>
      </w:pPr>
      <w:r>
        <w:rPr>
          <w:rFonts w:hAnsi="黑体" w:eastAsia="黑体"/>
          <w:sz w:val="24"/>
          <w:szCs w:val="24"/>
        </w:rPr>
        <w:t>一、项目概况</w:t>
      </w:r>
      <w:bookmarkEnd w:id="0"/>
    </w:p>
    <w:tbl>
      <w:tblPr>
        <w:tblStyle w:val="8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60"/>
        <w:gridCol w:w="387"/>
        <w:gridCol w:w="1364"/>
        <w:gridCol w:w="1284"/>
        <w:gridCol w:w="164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748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项目地址</w:t>
            </w:r>
          </w:p>
        </w:tc>
        <w:tc>
          <w:tcPr>
            <w:tcW w:w="748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项目总投资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资金来源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</w:rPr>
              <w:t>政府投资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</w:rPr>
              <w:t>社会投资</w:t>
            </w:r>
            <w:r>
              <w:rPr>
                <w:rFonts w:hint="eastAsia" w:ascii="宋体" w:hAnsi="宋体"/>
                <w:sz w:val="20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项目性质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□居住建筑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□公共建筑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□工业建筑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</w:p>
        </w:tc>
        <w:tc>
          <w:tcPr>
            <w:tcW w:w="3035" w:type="dxa"/>
            <w:gridSpan w:val="3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总建筑面积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" w:type="dxa"/>
            <w:vMerge w:val="restart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地上建筑面积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64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地下建筑面积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eastAsia"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单体建筑数量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3035" w:type="dxa"/>
            <w:gridSpan w:val="3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装配式建筑总面积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" w:type="dxa"/>
            <w:vMerge w:val="restart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地上装配式建筑面积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eastAsia"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4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地下装配式替代面积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装配式建筑单体数量和楼号</w:t>
            </w:r>
          </w:p>
        </w:tc>
        <w:tc>
          <w:tcPr>
            <w:tcW w:w="1560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个，楼号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：  </w:t>
            </w:r>
          </w:p>
        </w:tc>
        <w:tc>
          <w:tcPr>
            <w:tcW w:w="3035" w:type="dxa"/>
            <w:gridSpan w:val="3"/>
            <w:vAlign w:val="center"/>
          </w:tcPr>
          <w:p>
            <w:r>
              <w:rPr>
                <w:rFonts w:hint="eastAsia" w:ascii="宋体" w:hAnsi="宋体"/>
                <w:kern w:val="0"/>
                <w:szCs w:val="21"/>
              </w:rPr>
              <w:t>装配式建筑面积占比（含地下装配式替代面积）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建设单位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法人代表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124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设计单位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法人代表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124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施工单位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法人代表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124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生产单位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法人代表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124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监理单位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法人代表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124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审图单位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法人代表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及联系电话</w:t>
            </w:r>
          </w:p>
        </w:tc>
        <w:tc>
          <w:tcPr>
            <w:tcW w:w="124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9019" w:type="dxa"/>
            <w:gridSpan w:val="7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项目简介：</w:t>
            </w:r>
            <w:r>
              <w:rPr>
                <w:rFonts w:ascii="宋体" w:hAnsi="宋体"/>
                <w:kern w:val="0"/>
                <w:szCs w:val="21"/>
              </w:rPr>
              <w:t>简要介绍项目的基本情况，包括建设单位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项目位置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用地面积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建筑面积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容积率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项目总投资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单体建筑数量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单体装配式建筑数量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装配式建筑面积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装配式建筑面积比例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单体装配式建筑</w:t>
            </w:r>
            <w:r>
              <w:rPr>
                <w:rFonts w:hint="eastAsia" w:ascii="宋体" w:hAnsi="宋体"/>
                <w:kern w:val="0"/>
                <w:szCs w:val="21"/>
              </w:rPr>
              <w:t>楼栋号、</w:t>
            </w:r>
            <w:r>
              <w:rPr>
                <w:rFonts w:ascii="宋体" w:hAnsi="宋体"/>
                <w:kern w:val="0"/>
                <w:szCs w:val="21"/>
              </w:rPr>
              <w:t>面积、结构类型、</w:t>
            </w:r>
            <w:r>
              <w:rPr>
                <w:rFonts w:hint="eastAsia" w:ascii="宋体" w:hAnsi="宋体"/>
                <w:kern w:val="0"/>
                <w:szCs w:val="21"/>
              </w:rPr>
              <w:t>部品部件应用</w:t>
            </w:r>
            <w:r>
              <w:rPr>
                <w:rFonts w:ascii="宋体" w:hAnsi="宋体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</w:rPr>
              <w:t>全装修、</w:t>
            </w:r>
            <w:r>
              <w:rPr>
                <w:rFonts w:ascii="宋体" w:hAnsi="宋体"/>
                <w:kern w:val="0"/>
                <w:szCs w:val="21"/>
              </w:rPr>
              <w:t>装配率等。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pStyle w:val="2"/>
        <w:spacing w:before="0" w:after="0" w:line="240" w:lineRule="auto"/>
        <w:contextualSpacing/>
        <w:rPr>
          <w:rFonts w:hAnsi="黑体" w:eastAsia="黑体"/>
          <w:sz w:val="28"/>
          <w:szCs w:val="28"/>
        </w:rPr>
      </w:pPr>
      <w:bookmarkStart w:id="1" w:name="_Toc136529152"/>
      <w:r>
        <w:rPr>
          <w:rFonts w:hAnsi="黑体" w:eastAsia="黑体"/>
          <w:sz w:val="28"/>
          <w:szCs w:val="28"/>
        </w:rPr>
        <w:t>二、实施机制</w:t>
      </w:r>
      <w:bookmarkEnd w:id="1"/>
    </w:p>
    <w:p>
      <w:pPr>
        <w:widowControl/>
        <w:spacing w:line="240" w:lineRule="auto"/>
        <w:ind w:firstLine="560" w:firstLineChars="200"/>
        <w:contextualSpacing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装配式建筑统筹协调及管理人员配置情况</w:t>
      </w:r>
      <w:r>
        <w:rPr>
          <w:rFonts w:hint="eastAsia" w:eastAsia="仿宋_GB2312"/>
          <w:sz w:val="28"/>
          <w:szCs w:val="28"/>
        </w:rPr>
        <w:t>、验收制度等。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1.建设单位统筹协调参建各方的工作机制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2.管理人员配置情况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包括建设、设计、施工、监理单位</w:t>
      </w:r>
      <w:r>
        <w:rPr>
          <w:rFonts w:hint="eastAsia" w:eastAsia="仿宋_GB2312"/>
          <w:sz w:val="28"/>
          <w:szCs w:val="28"/>
        </w:rPr>
        <w:t>负责人、</w:t>
      </w:r>
      <w:r>
        <w:rPr>
          <w:rFonts w:eastAsia="仿宋_GB2312"/>
          <w:sz w:val="28"/>
          <w:szCs w:val="28"/>
        </w:rPr>
        <w:t>现场管理人员、联系电话</w:t>
      </w:r>
      <w:r>
        <w:rPr>
          <w:rFonts w:hint="eastAsia" w:eastAsia="仿宋_GB2312"/>
          <w:sz w:val="28"/>
          <w:szCs w:val="28"/>
        </w:rPr>
        <w:t>等</w:t>
      </w:r>
      <w:r>
        <w:rPr>
          <w:rFonts w:eastAsia="仿宋_GB2312"/>
          <w:sz w:val="28"/>
          <w:szCs w:val="28"/>
        </w:rPr>
        <w:t>。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3.装配式建筑验收制度</w:t>
      </w:r>
    </w:p>
    <w:p>
      <w:pPr>
        <w:pStyle w:val="2"/>
        <w:spacing w:before="0" w:after="0" w:line="240" w:lineRule="auto"/>
        <w:contextualSpacing/>
        <w:rPr>
          <w:rFonts w:hint="eastAsia" w:hAnsi="黑体" w:eastAsia="黑体"/>
          <w:sz w:val="28"/>
          <w:szCs w:val="28"/>
        </w:rPr>
      </w:pPr>
      <w:bookmarkStart w:id="2" w:name="_Toc136529153"/>
      <w:r>
        <w:rPr>
          <w:rFonts w:hAnsi="黑体" w:eastAsia="黑体"/>
          <w:sz w:val="28"/>
          <w:szCs w:val="28"/>
        </w:rPr>
        <w:t>三、</w:t>
      </w:r>
      <w:r>
        <w:rPr>
          <w:rFonts w:hint="eastAsia" w:hAnsi="黑体" w:eastAsia="黑体"/>
          <w:sz w:val="28"/>
          <w:szCs w:val="28"/>
        </w:rPr>
        <w:t>预制构件生产和运输</w:t>
      </w:r>
      <w:bookmarkEnd w:id="2"/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包括预制构件的生产概况、以及生产、运输、堆放等过程质量控制措施。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</w:t>
      </w:r>
      <w:r>
        <w:rPr>
          <w:rFonts w:eastAsia="仿宋_GB2312"/>
          <w:sz w:val="28"/>
          <w:szCs w:val="28"/>
        </w:rPr>
        <w:t>预制构件生产概况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（二）</w:t>
      </w:r>
      <w:r>
        <w:rPr>
          <w:rFonts w:eastAsia="仿宋_GB2312"/>
          <w:sz w:val="28"/>
          <w:szCs w:val="28"/>
        </w:rPr>
        <w:t>预制构件生产的质量控制要点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（三）</w:t>
      </w:r>
      <w:r>
        <w:rPr>
          <w:rFonts w:eastAsia="仿宋_GB2312"/>
          <w:sz w:val="28"/>
          <w:szCs w:val="28"/>
        </w:rPr>
        <w:t>预制构件标</w:t>
      </w:r>
      <w:r>
        <w:rPr>
          <w:rFonts w:hint="eastAsia" w:eastAsia="仿宋_GB2312"/>
          <w:sz w:val="28"/>
          <w:szCs w:val="28"/>
        </w:rPr>
        <w:t>识</w:t>
      </w:r>
      <w:r>
        <w:rPr>
          <w:rFonts w:eastAsia="仿宋_GB2312"/>
          <w:sz w:val="28"/>
          <w:szCs w:val="28"/>
        </w:rPr>
        <w:t>及成品保护措施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（四）</w:t>
      </w:r>
      <w:r>
        <w:rPr>
          <w:rFonts w:eastAsia="仿宋_GB2312"/>
          <w:sz w:val="28"/>
          <w:szCs w:val="28"/>
        </w:rPr>
        <w:t>预制构件运输路线</w:t>
      </w:r>
    </w:p>
    <w:p>
      <w:pPr>
        <w:pStyle w:val="2"/>
        <w:spacing w:before="0" w:after="0" w:line="240" w:lineRule="auto"/>
        <w:contextualSpacing/>
        <w:rPr>
          <w:rFonts w:hAnsi="黑体" w:eastAsia="黑体"/>
          <w:sz w:val="28"/>
          <w:szCs w:val="28"/>
        </w:rPr>
      </w:pPr>
      <w:bookmarkStart w:id="3" w:name="_Toc136529154"/>
      <w:r>
        <w:rPr>
          <w:rFonts w:hint="eastAsia" w:hAnsi="黑体" w:eastAsia="黑体"/>
          <w:sz w:val="28"/>
          <w:szCs w:val="28"/>
        </w:rPr>
        <w:t>四</w:t>
      </w:r>
      <w:r>
        <w:rPr>
          <w:rFonts w:hAnsi="黑体" w:eastAsia="黑体"/>
          <w:sz w:val="28"/>
          <w:szCs w:val="28"/>
        </w:rPr>
        <w:t>、装配式建筑施工</w:t>
      </w:r>
      <w:bookmarkEnd w:id="3"/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</w:t>
      </w:r>
      <w:r>
        <w:rPr>
          <w:rFonts w:eastAsia="仿宋_GB2312"/>
          <w:sz w:val="28"/>
          <w:szCs w:val="28"/>
        </w:rPr>
        <w:t>施工总平面布置图和施工计划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包括项目出入口位置图、施工道路图、各栋塔吊布置图、预制构件堆放场地位置图、施工总体计划和标准层工期安排。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二</w:t>
      </w:r>
      <w:r>
        <w:rPr>
          <w:rFonts w:eastAsia="仿宋_GB2312"/>
          <w:sz w:val="28"/>
          <w:szCs w:val="28"/>
        </w:rPr>
        <w:t>）预制构件吊装和安装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包括吊装和安装的前期准备工作，以及过程中的质量控制、成品保护等。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1.各栋塔吊选型、预制构件起吊分析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2.吊具准备、各种预制构件的安装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3.预制构件连接详图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4.施工质量控制要点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5.安全保</w:t>
      </w:r>
      <w:r>
        <w:rPr>
          <w:rFonts w:hint="eastAsia" w:eastAsia="仿宋_GB2312"/>
          <w:sz w:val="28"/>
          <w:szCs w:val="28"/>
        </w:rPr>
        <w:t>障</w:t>
      </w:r>
      <w:r>
        <w:rPr>
          <w:rFonts w:eastAsia="仿宋_GB2312"/>
          <w:sz w:val="28"/>
          <w:szCs w:val="28"/>
        </w:rPr>
        <w:t>措施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三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主体结构预制构件施工</w:t>
      </w:r>
    </w:p>
    <w:p>
      <w:pPr>
        <w:widowControl/>
        <w:spacing w:line="240" w:lineRule="auto"/>
        <w:ind w:firstLine="560" w:firstLineChars="200"/>
        <w:contextualSpacing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主体结构预制构件方案应包括构件选型分析，平面布置图、安装连接、防开裂措施等</w:t>
      </w:r>
    </w:p>
    <w:p>
      <w:pPr>
        <w:widowControl/>
        <w:spacing w:line="240" w:lineRule="auto"/>
        <w:ind w:firstLine="560" w:firstLineChars="200"/>
        <w:contextualSpacing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1.水平、竖向主体结构预制构件选型分析</w:t>
      </w:r>
    </w:p>
    <w:p>
      <w:pPr>
        <w:widowControl/>
        <w:spacing w:line="240" w:lineRule="auto"/>
        <w:ind w:firstLine="560" w:firstLineChars="200"/>
        <w:contextualSpacing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2.预制构件平面布置图</w:t>
      </w:r>
    </w:p>
    <w:p>
      <w:pPr>
        <w:widowControl/>
        <w:spacing w:line="240" w:lineRule="auto"/>
        <w:ind w:firstLine="560" w:firstLineChars="200"/>
        <w:contextualSpacing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3.预制构件吊装、安装、现场浇筑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4.施工质量控制要点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四</w:t>
      </w:r>
      <w:r>
        <w:rPr>
          <w:rFonts w:eastAsia="仿宋_GB2312"/>
          <w:sz w:val="28"/>
          <w:szCs w:val="28"/>
        </w:rPr>
        <w:t>）预制内</w:t>
      </w:r>
      <w:r>
        <w:rPr>
          <w:rFonts w:hint="eastAsia" w:eastAsia="仿宋_GB2312"/>
          <w:sz w:val="28"/>
          <w:szCs w:val="28"/>
        </w:rPr>
        <w:t>（外）</w:t>
      </w:r>
      <w:r>
        <w:rPr>
          <w:rFonts w:eastAsia="仿宋_GB2312"/>
          <w:sz w:val="28"/>
          <w:szCs w:val="28"/>
        </w:rPr>
        <w:t>墙板施工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预制内</w:t>
      </w:r>
      <w:r>
        <w:rPr>
          <w:rFonts w:hint="eastAsia" w:eastAsia="仿宋_GB2312"/>
          <w:sz w:val="28"/>
          <w:szCs w:val="28"/>
        </w:rPr>
        <w:t>（外）</w:t>
      </w:r>
      <w:r>
        <w:rPr>
          <w:rFonts w:eastAsia="仿宋_GB2312"/>
          <w:sz w:val="28"/>
          <w:szCs w:val="28"/>
        </w:rPr>
        <w:t>墙板方案应包括内</w:t>
      </w:r>
      <w:bookmarkStart w:id="6" w:name="_GoBack"/>
      <w:bookmarkEnd w:id="6"/>
      <w:r>
        <w:rPr>
          <w:rFonts w:hint="default" w:eastAsia="仿宋_GB2312"/>
          <w:sz w:val="28"/>
          <w:szCs w:val="28"/>
          <w:lang w:val="en"/>
        </w:rPr>
        <w:t>(</w:t>
      </w:r>
      <w:r>
        <w:rPr>
          <w:rFonts w:hint="eastAsia" w:eastAsia="仿宋_GB2312"/>
          <w:sz w:val="28"/>
          <w:szCs w:val="28"/>
          <w:lang w:val="en" w:eastAsia="zh-CN"/>
        </w:rPr>
        <w:t>外）</w:t>
      </w:r>
      <w:r>
        <w:rPr>
          <w:rFonts w:eastAsia="仿宋_GB2312"/>
          <w:sz w:val="28"/>
          <w:szCs w:val="28"/>
        </w:rPr>
        <w:t>墙板选型分析、平面布置图、墙板防开裂质量控制措施等。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1.预制内</w:t>
      </w:r>
      <w:r>
        <w:rPr>
          <w:rFonts w:hint="eastAsia" w:eastAsia="仿宋_GB2312"/>
          <w:sz w:val="28"/>
          <w:szCs w:val="28"/>
        </w:rPr>
        <w:t>（外）</w:t>
      </w:r>
      <w:r>
        <w:rPr>
          <w:rFonts w:eastAsia="仿宋_GB2312"/>
          <w:sz w:val="28"/>
          <w:szCs w:val="28"/>
        </w:rPr>
        <w:t>墙板类型的选择分析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2.预制内</w:t>
      </w:r>
      <w:r>
        <w:rPr>
          <w:rFonts w:hint="eastAsia" w:eastAsia="仿宋_GB2312"/>
          <w:sz w:val="28"/>
          <w:szCs w:val="28"/>
        </w:rPr>
        <w:t>（外）</w:t>
      </w:r>
      <w:r>
        <w:rPr>
          <w:rFonts w:eastAsia="仿宋_GB2312"/>
          <w:sz w:val="28"/>
          <w:szCs w:val="28"/>
        </w:rPr>
        <w:t>墙板平面布置图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3.预制内</w:t>
      </w:r>
      <w:r>
        <w:rPr>
          <w:rFonts w:hint="eastAsia" w:eastAsia="仿宋_GB2312"/>
          <w:sz w:val="28"/>
          <w:szCs w:val="28"/>
        </w:rPr>
        <w:t>（外）</w:t>
      </w:r>
      <w:r>
        <w:rPr>
          <w:rFonts w:eastAsia="仿宋_GB2312"/>
          <w:sz w:val="28"/>
          <w:szCs w:val="28"/>
        </w:rPr>
        <w:t>墙板的堆放、运输和安装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4.施工质量控制要点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5.安全保</w:t>
      </w:r>
      <w:r>
        <w:rPr>
          <w:rFonts w:hint="eastAsia" w:eastAsia="仿宋_GB2312"/>
          <w:sz w:val="28"/>
          <w:szCs w:val="28"/>
        </w:rPr>
        <w:t>障</w:t>
      </w:r>
      <w:r>
        <w:rPr>
          <w:rFonts w:eastAsia="仿宋_GB2312"/>
          <w:sz w:val="28"/>
          <w:szCs w:val="28"/>
        </w:rPr>
        <w:t>措施</w:t>
      </w:r>
    </w:p>
    <w:p>
      <w:pPr>
        <w:widowControl/>
        <w:spacing w:line="240" w:lineRule="auto"/>
        <w:ind w:firstLine="560" w:firstLineChars="200"/>
        <w:contextualSpacing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五</w:t>
      </w:r>
      <w:r>
        <w:rPr>
          <w:rFonts w:eastAsia="仿宋_GB2312"/>
          <w:sz w:val="28"/>
          <w:szCs w:val="28"/>
        </w:rPr>
        <w:t>）全装修</w:t>
      </w:r>
      <w:r>
        <w:rPr>
          <w:rFonts w:hint="eastAsia" w:eastAsia="仿宋_GB2312"/>
          <w:sz w:val="28"/>
          <w:szCs w:val="28"/>
        </w:rPr>
        <w:t>施工</w:t>
      </w:r>
    </w:p>
    <w:p>
      <w:pPr>
        <w:widowControl/>
        <w:spacing w:line="240" w:lineRule="auto"/>
        <w:ind w:firstLine="560" w:firstLineChars="200"/>
        <w:contextualSpacing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装修内容作简单介绍</w:t>
      </w:r>
      <w:r>
        <w:rPr>
          <w:rFonts w:hint="eastAsia" w:eastAsia="仿宋_GB2312"/>
          <w:sz w:val="28"/>
          <w:szCs w:val="28"/>
        </w:rPr>
        <w:t>，包含全装修做法表、集成卫生间、集成厨房等做法。项目采用装配式内装修施工的情况。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六</w:t>
      </w:r>
      <w:r>
        <w:rPr>
          <w:rFonts w:eastAsia="仿宋_GB2312"/>
          <w:sz w:val="28"/>
          <w:szCs w:val="28"/>
        </w:rPr>
        <w:t>）其他装配式施工（根据项目装配式施工情况填写）</w:t>
      </w:r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如地下室</w:t>
      </w:r>
      <w:r>
        <w:rPr>
          <w:rFonts w:hint="eastAsia" w:eastAsia="仿宋_GB2312"/>
          <w:sz w:val="28"/>
          <w:szCs w:val="28"/>
        </w:rPr>
        <w:t>顶板支撑方案、叠合板支撑方案、外脚手架施工方案、高精砌筑施工工艺、干式工法楼地面施工工艺等。</w:t>
      </w:r>
    </w:p>
    <w:p>
      <w:pPr>
        <w:pStyle w:val="2"/>
        <w:spacing w:before="0" w:after="0" w:line="240" w:lineRule="auto"/>
        <w:contextualSpacing/>
        <w:rPr>
          <w:rFonts w:hAnsi="黑体" w:eastAsia="黑体"/>
          <w:sz w:val="28"/>
          <w:szCs w:val="28"/>
        </w:rPr>
      </w:pPr>
      <w:bookmarkStart w:id="4" w:name="_Toc136529155"/>
      <w:r>
        <w:rPr>
          <w:rFonts w:hint="eastAsia" w:hAnsi="黑体" w:eastAsia="黑体"/>
          <w:sz w:val="28"/>
          <w:szCs w:val="28"/>
        </w:rPr>
        <w:t>五</w:t>
      </w:r>
      <w:r>
        <w:rPr>
          <w:rFonts w:hAnsi="黑体" w:eastAsia="黑体"/>
          <w:sz w:val="28"/>
          <w:szCs w:val="28"/>
        </w:rPr>
        <w:t>、装配式建筑其他技术应用情况</w:t>
      </w:r>
      <w:bookmarkEnd w:id="4"/>
    </w:p>
    <w:p>
      <w:pPr>
        <w:widowControl/>
        <w:spacing w:line="240" w:lineRule="auto"/>
        <w:ind w:firstLine="560" w:firstLineChars="200"/>
        <w:contextualSpacing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新技术、新材料、新设备、新工艺等相关技术的应用情况</w:t>
      </w:r>
      <w:r>
        <w:rPr>
          <w:rFonts w:hint="eastAsia" w:eastAsia="仿宋_GB2312"/>
          <w:sz w:val="28"/>
          <w:szCs w:val="28"/>
        </w:rPr>
        <w:t>。包含且不限于墙体与窗框一体化、组合成型钢筋制品、装配式市政设施、小区配套附属工程标准化、太阳能光伏建筑一体化等内容。</w:t>
      </w:r>
    </w:p>
    <w:p>
      <w:pPr>
        <w:pStyle w:val="2"/>
        <w:spacing w:before="0" w:after="0" w:line="240" w:lineRule="auto"/>
        <w:contextualSpacing/>
        <w:rPr>
          <w:rFonts w:hAnsi="黑体" w:eastAsia="黑体"/>
          <w:sz w:val="28"/>
          <w:szCs w:val="28"/>
        </w:rPr>
      </w:pPr>
      <w:bookmarkStart w:id="5" w:name="_Toc136529156"/>
      <w:r>
        <w:rPr>
          <w:rFonts w:hint="eastAsia" w:hAnsi="黑体" w:eastAsia="黑体"/>
          <w:sz w:val="28"/>
          <w:szCs w:val="28"/>
        </w:rPr>
        <w:t>六</w:t>
      </w:r>
      <w:r>
        <w:rPr>
          <w:rFonts w:hAnsi="黑体" w:eastAsia="黑体"/>
          <w:sz w:val="28"/>
          <w:szCs w:val="28"/>
        </w:rPr>
        <w:t>、其它需要说明的内容</w:t>
      </w:r>
      <w:bookmarkEnd w:id="5"/>
    </w:p>
    <w:p>
      <w:pPr>
        <w:widowControl/>
        <w:spacing w:line="240" w:lineRule="auto"/>
        <w:ind w:firstLine="560" w:firstLineChars="200"/>
        <w:contextualSpacing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包含且不限于产业工人</w:t>
      </w:r>
      <w:r>
        <w:rPr>
          <w:rFonts w:eastAsia="仿宋_GB2312"/>
          <w:sz w:val="28"/>
          <w:szCs w:val="28"/>
        </w:rPr>
        <w:t>上岗培训</w:t>
      </w:r>
      <w:r>
        <w:rPr>
          <w:rFonts w:hint="eastAsia" w:eastAsia="仿宋_GB2312"/>
          <w:sz w:val="28"/>
          <w:szCs w:val="28"/>
        </w:rPr>
        <w:t>及管理方案、安全文明施工保障措施、疫情防控措施</w:t>
      </w:r>
      <w:r>
        <w:rPr>
          <w:rFonts w:eastAsia="仿宋_GB2312"/>
          <w:sz w:val="28"/>
          <w:szCs w:val="28"/>
        </w:rPr>
        <w:t>等</w:t>
      </w:r>
      <w:r>
        <w:rPr>
          <w:rFonts w:hint="eastAsia" w:eastAsia="仿宋_GB2312"/>
          <w:sz w:val="28"/>
          <w:szCs w:val="28"/>
        </w:rPr>
        <w:t>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iZDQ2NjhkY2Y4NDk3ODEwMThjYWZhODBjMzA1MmIifQ=="/>
  </w:docVars>
  <w:rsids>
    <w:rsidRoot w:val="00F2580A"/>
    <w:rsid w:val="00F2580A"/>
    <w:rsid w:val="018D0933"/>
    <w:rsid w:val="04A74A2F"/>
    <w:rsid w:val="08211367"/>
    <w:rsid w:val="124A16EE"/>
    <w:rsid w:val="177779D8"/>
    <w:rsid w:val="293B2B6B"/>
    <w:rsid w:val="2C054667"/>
    <w:rsid w:val="33290B2A"/>
    <w:rsid w:val="3AC37828"/>
    <w:rsid w:val="3FD64F46"/>
    <w:rsid w:val="40240166"/>
    <w:rsid w:val="45E36925"/>
    <w:rsid w:val="4A235717"/>
    <w:rsid w:val="4DFB427A"/>
    <w:rsid w:val="4F9A07AC"/>
    <w:rsid w:val="528A5CF5"/>
    <w:rsid w:val="540C54BB"/>
    <w:rsid w:val="59F84C82"/>
    <w:rsid w:val="6D080DEC"/>
    <w:rsid w:val="71EB25E4"/>
    <w:rsid w:val="73A6496A"/>
    <w:rsid w:val="74F5241F"/>
    <w:rsid w:val="7A993E33"/>
    <w:rsid w:val="9B9B9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批注框文本 Char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标题 1 Char"/>
    <w:basedOn w:val="9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14">
    <w:name w:val="页脚 Char"/>
    <w:link w:val="5"/>
    <w:qFormat/>
    <w:uiPriority w:val="99"/>
    <w:rPr>
      <w:rFonts w:ascii="Times New Roman" w:hAnsi="Times New Roman"/>
      <w:kern w:val="2"/>
      <w:sz w:val="18"/>
    </w:rPr>
  </w:style>
  <w:style w:type="character" w:customStyle="1" w:styleId="15">
    <w:name w:val="页眉 Char"/>
    <w:link w:val="6"/>
    <w:qFormat/>
    <w:uiPriority w:val="99"/>
    <w:rPr>
      <w:rFonts w:ascii="Times New Roman" w:hAns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1410</Words>
  <Characters>1002</Characters>
  <Lines>8</Lines>
  <Paragraphs>4</Paragraphs>
  <TotalTime>2</TotalTime>
  <ScaleCrop>false</ScaleCrop>
  <LinksUpToDate>false</LinksUpToDate>
  <CharactersWithSpaces>2408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2023-06-02T00:30:00Z</dcterms:created>
  <dc:creator>Administrator</dc:creator>
  <cp:lastModifiedBy>greatwall</cp:lastModifiedBy>
  <dcterms:modified xsi:type="dcterms:W3CDTF">2023-06-26T17:26:12Z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A249DFD88A4E4DCC8A505F405977369F</vt:lpwstr>
  </property>
</Properties>
</file>